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Jenner &amp; Block LLP</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919 Third Avenue</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New York, New York 10022-3908</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February 5, 2020</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Green Thumb Industries Inc.</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No. 1 to Registration Statement on Form 10 (File No. 000-56132)</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 xml:space="preserve">On behalf of Green Thumb Industries Inc., a corporation organized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1 (“</w:t>
      </w:r>
      <w:r>
        <w:rPr>
          <w:rFonts w:ascii="Arial" w:cs="Arial" w:eastAsia="Arial" w:hAnsi="Arial"/>
          <w:sz w:val="18"/>
          <w:szCs w:val="18"/>
          <w:i w:val="1"/>
          <w:iCs w:val="1"/>
          <w:color w:val="auto"/>
        </w:rPr>
        <w:t>Amendment No. 1</w:t>
      </w:r>
      <w:r>
        <w:rPr>
          <w:rFonts w:ascii="Arial" w:cs="Arial" w:eastAsia="Arial" w:hAnsi="Arial"/>
          <w:sz w:val="18"/>
          <w:szCs w:val="18"/>
          <w:color w:val="auto"/>
        </w:rPr>
        <w:t xml:space="preserve">”) to the Registration Statement (the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w:t>
      </w:r>
      <w:r>
        <w:rPr>
          <w:rFonts w:ascii="Arial" w:cs="Arial" w:eastAsia="Arial" w:hAnsi="Arial"/>
          <w:sz w:val="18"/>
          <w:szCs w:val="18"/>
          <w:color w:val="auto"/>
        </w:rPr>
        <w:t>) on Form 10 of the Company, together with Exhibits, marked to indicate changes from the Registration Statement as originally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December 20, 2019.</w:t>
      </w:r>
    </w:p>
    <w:p>
      <w:pPr>
        <w:spacing w:after="0" w:line="188"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Amendment No. 1 reflects the responses of the Company to comments received from the Staff of the Commission (the “</w:t>
      </w:r>
      <w:r>
        <w:rPr>
          <w:rFonts w:ascii="Arial" w:cs="Arial" w:eastAsia="Arial" w:hAnsi="Arial"/>
          <w:sz w:val="18"/>
          <w:szCs w:val="18"/>
          <w:i w:val="1"/>
          <w:iCs w:val="1"/>
          <w:color w:val="auto"/>
        </w:rPr>
        <w:t>Staff</w:t>
      </w:r>
      <w:r>
        <w:rPr>
          <w:rFonts w:ascii="Arial" w:cs="Arial" w:eastAsia="Arial" w:hAnsi="Arial"/>
          <w:sz w:val="18"/>
          <w:szCs w:val="18"/>
          <w:color w:val="auto"/>
        </w:rPr>
        <w:t>”) in an e-mail letter, dated January 17, 2020 (the “</w:t>
      </w:r>
      <w:r>
        <w:rPr>
          <w:rFonts w:ascii="Arial" w:cs="Arial" w:eastAsia="Arial" w:hAnsi="Arial"/>
          <w:sz w:val="18"/>
          <w:szCs w:val="18"/>
          <w:i w:val="1"/>
          <w:iCs w:val="1"/>
          <w:color w:val="auto"/>
        </w:rPr>
        <w:t>Comment Letter</w:t>
      </w:r>
      <w:r>
        <w:rPr>
          <w:rFonts w:ascii="Arial" w:cs="Arial" w:eastAsia="Arial" w:hAnsi="Arial"/>
          <w:sz w:val="18"/>
          <w:szCs w:val="18"/>
          <w:color w:val="auto"/>
        </w:rPr>
        <w:t>”).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1.</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on Form 10-12G</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General Development of the Business, page 4</w:t>
      </w:r>
    </w:p>
    <w:p>
      <w:pPr>
        <w:spacing w:after="0" w:line="127" w:lineRule="exact"/>
        <w:rPr>
          <w:sz w:val="24"/>
          <w:szCs w:val="24"/>
          <w:color w:val="auto"/>
        </w:rPr>
      </w:pPr>
    </w:p>
    <w:p>
      <w:pPr>
        <w:ind w:left="960" w:right="40" w:hanging="533"/>
        <w:spacing w:after="0" w:line="255" w:lineRule="auto"/>
        <w:tabs>
          <w:tab w:leader="none" w:pos="9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discuss the development of the retail and consumer packaged goods businesses over the past five years. In this regard, we note that your disclosure on page 72 indicates that Mr. Kovler founded GTI in 2014. Also, revise the disclosures on page 4 to discuss the purpose of the January 1, 2018 and June 12, 2018 transactions and indicate, if applicable, whether they were conducted with third parties or with related parties.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1</w:t>
      </w:r>
    </w:p>
    <w:p>
      <w:pPr>
        <w:spacing w:after="0" w:line="113" w:lineRule="exact"/>
        <w:rPr>
          <w:sz w:val="24"/>
          <w:szCs w:val="24"/>
          <w:color w:val="auto"/>
        </w:rPr>
      </w:pPr>
    </w:p>
    <w:p>
      <w:pPr>
        <w:ind w:right="160"/>
        <w:spacing w:after="0" w:line="300" w:lineRule="auto"/>
        <w:rPr>
          <w:sz w:val="20"/>
          <w:szCs w:val="20"/>
          <w:color w:val="auto"/>
        </w:rPr>
      </w:pPr>
      <w:r>
        <w:rPr>
          <w:rFonts w:ascii="Arial" w:cs="Arial" w:eastAsia="Arial" w:hAnsi="Arial"/>
          <w:sz w:val="17"/>
          <w:szCs w:val="17"/>
          <w:color w:val="auto"/>
        </w:rPr>
        <w:t>Please see the revised disclosures on pages 2, 3 and 4 of Amendment No. 1 which discuss the development of the retail and consumer packaged goods businesses over the past five years and provide information concerning the January 1, 2018 and June 12, 2018 transactions.</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ITEM 1. BUSINESS</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 page 7</w:t>
      </w:r>
    </w:p>
    <w:p>
      <w:pPr>
        <w:spacing w:after="0" w:line="127" w:lineRule="exact"/>
        <w:rPr>
          <w:sz w:val="24"/>
          <w:szCs w:val="24"/>
          <w:color w:val="auto"/>
        </w:rPr>
      </w:pPr>
    </w:p>
    <w:p>
      <w:pPr>
        <w:ind w:left="960" w:right="320" w:hanging="533"/>
        <w:spacing w:after="0" w:line="296" w:lineRule="auto"/>
        <w:tabs>
          <w:tab w:leader="none" w:pos="9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With reference to the first paragraph of Regulation S-K, Item 101(c)(1), please revise and expand your Business discussion to include separate descriptions, where appropriate, concerning your consumer products operations and your retail operations. For instance, we note that you currently present a unified discussion concerning competitive conditions in the industry and your U.S. national growth strategy without regard to segment. Similarly, we note that your geographic information disclosure on page 4 is not segment specific.</w:t>
      </w:r>
    </w:p>
    <w:p>
      <w:pPr>
        <w:sectPr>
          <w:pgSz w:w="11900" w:h="16838" w:orient="portrait"/>
          <w:cols w:equalWidth="0" w:num="1">
            <w:col w:w="10860"/>
          </w:cols>
          <w:pgMar w:left="500" w:top="232" w:right="5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When we analyze our business, we look at it through the lens of what we believe to be the exponential opportunity for growth in the entire U.S. cannabis industry which we believe is still in its nascent development stages without regard to specific segments. Therefore, we do not analyze our business by segment, and we do not believe that segments are “material to an understanding of the registrant’s business taken as a whole” within the meaning of the second sentence of the first paragraph of Item 101(c)(1) of Regulation S-K. For instance, as the Staff correctly notes in the Comment Letter, we present a unified discussion concerning competitive market conditions in the industry and our U.S. national growth strategy without regard to segment, and we respectfully submit that in the context of an industry that represents an exponential emerging growth opportunity without regard to segment that this is appropriate.</w:t>
      </w:r>
    </w:p>
    <w:p>
      <w:pPr>
        <w:spacing w:after="0" w:line="193"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Please see the revised disclosure on pages 7 and 8 of Amendment No. 1 which includes separate descriptions concerning the Company’s consumer products operations and the Company’s retail operations.</w:t>
      </w:r>
    </w:p>
    <w:p>
      <w:pPr>
        <w:spacing w:after="0" w:line="201" w:lineRule="exact"/>
        <w:rPr>
          <w:sz w:val="20"/>
          <w:szCs w:val="20"/>
          <w:color w:val="auto"/>
        </w:rPr>
      </w:pPr>
    </w:p>
    <w:p>
      <w:pPr>
        <w:ind w:left="960" w:hanging="533"/>
        <w:spacing w:after="0"/>
        <w:tabs>
          <w:tab w:leader="none" w:pos="9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Revise to provide the revenue history by product class as required by Item 101(c)(1)(i) of Regulation S-K or advise.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113" w:lineRule="exact"/>
        <w:rPr>
          <w:sz w:val="20"/>
          <w:szCs w:val="20"/>
          <w:color w:val="auto"/>
        </w:rPr>
      </w:pPr>
    </w:p>
    <w:p>
      <w:pPr>
        <w:jc w:val="both"/>
        <w:ind w:right="300"/>
        <w:spacing w:after="0" w:line="258" w:lineRule="auto"/>
        <w:rPr>
          <w:sz w:val="20"/>
          <w:szCs w:val="20"/>
          <w:color w:val="auto"/>
        </w:rPr>
      </w:pPr>
      <w:r>
        <w:rPr>
          <w:rFonts w:ascii="Arial" w:cs="Arial" w:eastAsia="Arial" w:hAnsi="Arial"/>
          <w:sz w:val="18"/>
          <w:szCs w:val="18"/>
          <w:color w:val="auto"/>
        </w:rPr>
        <w:t>As discussed in our response to Comment 2 immediately above, we do not believe that segments are “material to an understanding of the registrant’s business taken as a whole” within the meaning of Item 101(c)(1) of Regulation S-K, and we therefore respectfully submit that this information is not required.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Please see the revised disclosure on pages 7 and 8 of Amendment No. 1 which provides the Company’s revenue history by product class.</w:t>
      </w:r>
    </w:p>
    <w:p>
      <w:pPr>
        <w:spacing w:after="0" w:line="258" w:lineRule="exact"/>
        <w:rPr>
          <w:sz w:val="20"/>
          <w:szCs w:val="20"/>
          <w:color w:val="auto"/>
        </w:rPr>
      </w:pPr>
    </w:p>
    <w:p>
      <w:pPr>
        <w:ind w:left="960" w:right="440" w:hanging="533"/>
        <w:spacing w:after="0" w:line="270"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provide additional disclosure concerning your retail chains, Rise and Essence. For instance, revise, as applicable, to discuss whether there are differences in terms of their respective markets and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Please see the revised disclosure on pages 7 and 8 of Amendment No. 1 which discusses the Company’s retail chains, Rise and Essence.</w:t>
      </w:r>
    </w:p>
    <w:p>
      <w:pPr>
        <w:spacing w:after="0" w:line="258" w:lineRule="exact"/>
        <w:rPr>
          <w:sz w:val="20"/>
          <w:szCs w:val="20"/>
          <w:color w:val="auto"/>
        </w:rPr>
      </w:pPr>
    </w:p>
    <w:p>
      <w:pPr>
        <w:ind w:left="960" w:right="40" w:hanging="533"/>
        <w:spacing w:after="0" w:line="258" w:lineRule="auto"/>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clarify your disclosure concerning your “ability to open a total of 96 stores.” In this regard, please clarify whether this means that you have the licenses as well as the funds to open 60 new/additional stores. Discuss, as applicable, your plans and the status of these additional stores.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5</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Please see the revised disclosure on pages 7 and 8 of Amendment No. 1 which discusses the Company’s ability to open a total of 96 stores.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 Patents and Trademarks, page 9</w:t>
      </w:r>
    </w:p>
    <w:p>
      <w:pPr>
        <w:spacing w:after="0" w:line="127" w:lineRule="exact"/>
        <w:rPr>
          <w:sz w:val="20"/>
          <w:szCs w:val="20"/>
          <w:color w:val="auto"/>
        </w:rPr>
      </w:pPr>
    </w:p>
    <w:p>
      <w:pPr>
        <w:ind w:left="960" w:right="200" w:hanging="533"/>
        <w:spacing w:after="0" w:line="258" w:lineRule="auto"/>
        <w:tabs>
          <w:tab w:leader="none" w:pos="9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9 that you own or have licenses “under patents.” With respect to material patents, please revise your disclosure to identify the specific product(s) to which such patents relate and the scope of patent protection. Indicate whether the patents are owned or licensed from third parties.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revised disclosure on pages 9 and 10 of Amendment No. 1 which discusses details of the Company’s patents.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page 10</w:t>
      </w:r>
    </w:p>
    <w:p>
      <w:pPr>
        <w:spacing w:after="0" w:line="127" w:lineRule="exact"/>
        <w:rPr>
          <w:sz w:val="20"/>
          <w:szCs w:val="20"/>
          <w:color w:val="auto"/>
        </w:rPr>
      </w:pPr>
    </w:p>
    <w:p>
      <w:pPr>
        <w:ind w:left="960" w:right="100" w:hanging="533"/>
        <w:spacing w:after="0" w:line="255" w:lineRule="auto"/>
        <w:tabs>
          <w:tab w:leader="none" w:pos="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Your disclosures on pages 10 and 45 explain that effective inventory management is critical to your ongoing success and that you face supply and demand risks. Accordingly, please revise your discussion concerning your consumer products segment to provide additional disclosure describing your distribution arrangements with vendors. With reference to Item 101(c)(1)(viii) of Regulation S-K, also revise to provide disclosure concerning backlog orders.</w:t>
      </w:r>
    </w:p>
    <w:p>
      <w:pPr>
        <w:sectPr>
          <w:pgSz w:w="11900" w:h="16838" w:orient="portrait"/>
          <w:cols w:equalWidth="0" w:num="1">
            <w:col w:w="10880"/>
          </w:cols>
          <w:pgMar w:left="500" w:top="419"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7</w:t>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Please see the revised disclosure on pages 10 and 11 of Amendment No. 1 which describes the Company’s distribution arrangements and provides information concerning backlog orders. Please also see the additional disclosure in the risk factor entitled “The Corporation is dependent on key inputs, suppliers and skilled labor” on page 45 of Amendment No. 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Corporation may be subject to constraints on marketing its products, page 37</w:t>
      </w:r>
    </w:p>
    <w:p>
      <w:pPr>
        <w:spacing w:after="0" w:line="127" w:lineRule="exact"/>
        <w:rPr>
          <w:sz w:val="20"/>
          <w:szCs w:val="20"/>
          <w:color w:val="auto"/>
        </w:rPr>
      </w:pPr>
    </w:p>
    <w:p>
      <w:pPr>
        <w:ind w:left="960" w:right="240" w:hanging="533"/>
        <w:spacing w:after="0" w:line="270" w:lineRule="auto"/>
        <w:tabs>
          <w:tab w:leader="none" w:pos="9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here, and elsewhere as applicable, to identify and discuss the restrictions that may limit your ability to compete for market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8</w:t>
      </w:r>
    </w:p>
    <w:p>
      <w:pPr>
        <w:spacing w:after="0" w:line="113"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Please see the additional disclosure in the risk factor entitled “The Corporation may be subject to constraints on marketing its products” on page 38 of Amendment No. 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page 41</w:t>
      </w:r>
    </w:p>
    <w:p>
      <w:pPr>
        <w:spacing w:after="0" w:line="127" w:lineRule="exact"/>
        <w:rPr>
          <w:sz w:val="20"/>
          <w:szCs w:val="20"/>
          <w:color w:val="auto"/>
        </w:rPr>
      </w:pPr>
    </w:p>
    <w:p>
      <w:pPr>
        <w:ind w:left="960" w:right="60" w:hanging="533"/>
        <w:spacing w:after="0" w:line="253" w:lineRule="auto"/>
        <w:tabs>
          <w:tab w:leader="none" w:pos="9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Your risk disclosure indicates that you currently operate parts of your business through joint ventures. Please revise your Business section to discuss your use of joint ventures and other strategic alliances. With reference to your disclosure on page 35, also tell us whether state limitations on licenses necessitate use of joint ventures. In your revised disclosure, describe how your joint ventures are typically structured and discuss the material terms of your current joint ventures. Also, tell us whether Exhibit 21.1 reflects all or some of your joint venture arrangements.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9</w:t>
      </w:r>
    </w:p>
    <w:p>
      <w:pPr>
        <w:spacing w:after="0" w:line="11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Please see the revised disclosure on page 10 of Amendment No. 1 which discusses the Company’s use of joint ventures and other strategic alliances. Please see the additional disclosure in the risk factor entitled “The Corporation may face limitations on ownership of cannabis licenses” on page 35 of Amendment No. 1.</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Exhibit 21.1 includes the material subsidiaries of the Company but is not an exhaustive list of the Company’s subsidiaries as it omits the Company’s subsidiaries which are not “significant subsidiaries” as permitted by Item 601(b)(21) of Regulation S-K. Ohio Investors 2017, LLC, the joint venture owner of GTI Ohio, LLC, is listed on Exhibit 21.1 with the applicable Class A and Class G Units. The Company also has joint ventures for the operation of (i) a medical marijuana dispensary in Effingham, Illinois (NH Medicinal Dispensaries, LLC) of which the Company holds a 50% interest, (ii) a medical marijuana dispensary in Westport, Connecticut (Bluepoint Wellness of Westport, LLC) of which the Company holds a 46% interest, and (iii) an RMD (Registered Marijuana Dispensary, as described on pages 19-20 of Amendment No. 1) in Chicopee, Massachusetts (Cal Funding, LLC) of which the Company holds less than a 10%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Securities, page 49</w:t>
      </w:r>
    </w:p>
    <w:p>
      <w:pPr>
        <w:spacing w:after="0" w:line="127" w:lineRule="exact"/>
        <w:rPr>
          <w:sz w:val="20"/>
          <w:szCs w:val="20"/>
          <w:color w:val="auto"/>
        </w:rPr>
      </w:pPr>
    </w:p>
    <w:p>
      <w:pPr>
        <w:ind w:left="960" w:right="100" w:hanging="533"/>
        <w:spacing w:after="0" w:line="270" w:lineRule="auto"/>
        <w:tabs>
          <w:tab w:leader="none" w:pos="9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With reference to your disclosure on page 87, please revise to add a risk factor that addresses your ability to issue an unlimited number of Subordinate Voting Shares, Multiple Voting Shares, and Super Voting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10</w:t>
      </w:r>
    </w:p>
    <w:p>
      <w:pPr>
        <w:spacing w:after="0" w:line="113"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Please see the additional risk factor entitled “Additional issuances of Super Voting Shares, Multiple Voting Shares or Subordinate Voting Shares may result in dilution” on page 50 of Amendment No. 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 page 53</w:t>
      </w:r>
    </w:p>
    <w:p>
      <w:pPr>
        <w:spacing w:after="0" w:line="127" w:lineRule="exact"/>
        <w:rPr>
          <w:sz w:val="20"/>
          <w:szCs w:val="20"/>
          <w:color w:val="auto"/>
        </w:rPr>
      </w:pPr>
    </w:p>
    <w:p>
      <w:pPr>
        <w:ind w:left="960" w:hanging="533"/>
        <w:spacing w:after="0" w:line="258" w:lineRule="auto"/>
        <w:tabs>
          <w:tab w:leader="none" w:pos="9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Please quantify in your disclosure, if possible, how much of the material increase in net revenues is due to business combinations, increased sales volume, introduction of new products, or increased sales prices. Refer to Item 303(a)(3)(iii) and Instruction 4 of Regulation S-K, Section III.D of Release No. 33-6835, and Section III.B of Release No. 33-8350.</w:t>
      </w:r>
    </w:p>
    <w:p>
      <w:pPr>
        <w:sectPr>
          <w:pgSz w:w="11900" w:h="16838" w:orient="portrait"/>
          <w:cols w:equalWidth="0" w:num="1">
            <w:col w:w="10880"/>
          </w:cols>
          <w:pgMar w:left="500" w:top="419"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11</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increase in net revenues was attributable to acquisitions, new locations opened (non-acquisition) and organic growth. The Company did not introduce any new products (meaning products other than cannabis-related products) which contributed in any meaningful way to the material increase in sales. Further, the pricing of the Company’s products has remained relatively unchanged when compared to prior periods. Please see the revised disclosure on page 56 of Amendment No. 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page 56</w:t>
      </w:r>
    </w:p>
    <w:p>
      <w:pPr>
        <w:spacing w:after="0" w:line="127" w:lineRule="exact"/>
        <w:rPr>
          <w:sz w:val="20"/>
          <w:szCs w:val="20"/>
          <w:color w:val="auto"/>
        </w:rPr>
      </w:pPr>
    </w:p>
    <w:p>
      <w:pPr>
        <w:ind w:left="960" w:right="280" w:hanging="533"/>
        <w:spacing w:after="0" w:line="258" w:lineRule="auto"/>
        <w:tabs>
          <w:tab w:leader="none" w:pos="9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your disclosure of the factors causing material changes in your gross profit percentage. For example, describe the significant causes underlying the increase in your gross profit percentage from 41% for 2017 to 45% for 2018. Refer to Instruction 4 to Item 303(a) of Regulation 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12</w:t>
      </w:r>
    </w:p>
    <w:p>
      <w:pPr>
        <w:spacing w:after="0" w:line="11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increase in gross margin percentage in 2018 was primarily driven by an increase in retail sales and additional retail store openings during 2018 where margins, on average, are higher than margins achieved from the Company’s wholesale business. Please see the revised disclosure on page 58 of Amendment No. 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 page 62</w:t>
      </w:r>
    </w:p>
    <w:p>
      <w:pPr>
        <w:spacing w:after="0" w:line="127" w:lineRule="exact"/>
        <w:rPr>
          <w:sz w:val="20"/>
          <w:szCs w:val="20"/>
          <w:color w:val="auto"/>
        </w:rPr>
      </w:pPr>
    </w:p>
    <w:p>
      <w:pPr>
        <w:ind w:left="960" w:right="60" w:hanging="533"/>
        <w:spacing w:after="0" w:line="270" w:lineRule="auto"/>
        <w:tabs>
          <w:tab w:leader="none" w:pos="9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material implications of uncertainties associated with the methods, assumptions and estimates underlying the fair value of your licenses and permits intangible assets. Refer to Release 33-8350.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13</w:t>
      </w:r>
    </w:p>
    <w:p>
      <w:pPr>
        <w:spacing w:after="0" w:line="113" w:lineRule="exact"/>
        <w:rPr>
          <w:sz w:val="20"/>
          <w:szCs w:val="20"/>
          <w:color w:val="auto"/>
        </w:rPr>
      </w:pPr>
    </w:p>
    <w:p>
      <w:pPr>
        <w:ind w:right="260"/>
        <w:spacing w:after="0" w:line="333" w:lineRule="auto"/>
        <w:rPr>
          <w:sz w:val="20"/>
          <w:szCs w:val="20"/>
          <w:color w:val="auto"/>
        </w:rPr>
      </w:pPr>
      <w:r>
        <w:rPr>
          <w:rFonts w:ascii="Arial" w:cs="Arial" w:eastAsia="Arial" w:hAnsi="Arial"/>
          <w:sz w:val="16"/>
          <w:szCs w:val="16"/>
          <w:color w:val="auto"/>
        </w:rPr>
        <w:t>To appropriately consider the risk of non-renewal for certain cannabis licenses, the Company applies probability weighting to the expected future net cash flows in calculating the fair value of these intangible assets. Please see the revised disclosure on page 65 of Amendment No. 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DIRECTORS AND EXECUTIVE OFFICERS, page 69</w:t>
      </w:r>
    </w:p>
    <w:p>
      <w:pPr>
        <w:spacing w:after="0" w:line="127" w:lineRule="exact"/>
        <w:rPr>
          <w:sz w:val="20"/>
          <w:szCs w:val="20"/>
          <w:color w:val="auto"/>
        </w:rPr>
      </w:pPr>
    </w:p>
    <w:p>
      <w:pPr>
        <w:ind w:left="960" w:right="20" w:hanging="533"/>
        <w:spacing w:after="0" w:line="270" w:lineRule="auto"/>
        <w:tabs>
          <w:tab w:leader="none" w:pos="9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this section to clearly disclose each officer and director’s business experience during the past five years. Refer to Item 401(e) of Regulation 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14</w:t>
      </w:r>
    </w:p>
    <w:p>
      <w:pPr>
        <w:spacing w:after="0" w:line="113"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color w:val="auto"/>
        </w:rPr>
        <w:t>Please see the revised disclosures on pages 71-74 of Amendment No. 1 which discuss each officer and director’s business experience during the past five years.</w:t>
      </w:r>
    </w:p>
    <w:p>
      <w:pPr>
        <w:spacing w:after="0" w:line="175" w:lineRule="exact"/>
        <w:rPr>
          <w:sz w:val="20"/>
          <w:szCs w:val="20"/>
          <w:color w:val="auto"/>
        </w:rPr>
      </w:pPr>
    </w:p>
    <w:p>
      <w:pPr>
        <w:ind w:right="4980"/>
        <w:spacing w:after="0" w:line="379" w:lineRule="auto"/>
        <w:rPr>
          <w:sz w:val="20"/>
          <w:szCs w:val="20"/>
          <w:color w:val="auto"/>
        </w:rPr>
      </w:pPr>
      <w:r>
        <w:rPr>
          <w:rFonts w:ascii="Arial" w:cs="Arial" w:eastAsia="Arial" w:hAnsi="Arial"/>
          <w:sz w:val="18"/>
          <w:szCs w:val="18"/>
          <w:b w:val="1"/>
          <w:bCs w:val="1"/>
          <w:i w:val="1"/>
          <w:iCs w:val="1"/>
          <w:color w:val="auto"/>
        </w:rPr>
        <w:t>Green Thumb Industries Inc. Consolidated and Combined Financial Statements Consolidated Statements of Operations, page F-3</w:t>
      </w:r>
    </w:p>
    <w:p>
      <w:pPr>
        <w:ind w:left="960" w:right="60" w:hanging="533"/>
        <w:spacing w:after="0" w:line="306" w:lineRule="auto"/>
        <w:tabs>
          <w:tab w:leader="none" w:pos="96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Please show us the calculation of the weighted average number of shares outstanding for 2018 (130,102,523 shares) and how this amount reflects the Transaction described in Note 3 and the issued and outstanding shares in Note 13. Provide us the same analysis for your weighted average number of shares outstanding for the nine months ended September 30, 2019 (190,126,766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15</w:t>
      </w:r>
    </w:p>
    <w:p>
      <w:pPr>
        <w:spacing w:after="0" w:line="113"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response to the Staff’s comment, please see the following table which illustrates the calculation of the weighted average number of shares outstanding for 2018:</w:t>
      </w:r>
    </w:p>
    <w:p>
      <w:pPr>
        <w:sectPr>
          <w:pgSz w:w="11900" w:h="16838" w:orient="portrait"/>
          <w:cols w:equalWidth="0" w:num="1">
            <w:col w:w="10860"/>
          </w:cols>
          <w:pgMar w:left="500" w:top="419"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Line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Subordinate</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Multiple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Super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w:t>
            </w:r>
          </w:p>
        </w:tc>
        <w:tc>
          <w:tcPr>
            <w:tcW w:w="24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Transaction Description</w:t>
            </w:r>
          </w:p>
        </w:tc>
        <w:tc>
          <w:tcPr>
            <w:tcW w:w="88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1"/>
              </w:rPr>
              <w:t>Voting</w:t>
            </w: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Voting</w:t>
            </w:r>
          </w:p>
        </w:tc>
        <w:tc>
          <w:tcPr>
            <w:tcW w:w="820" w:type="dxa"/>
            <w:vAlign w:val="bottom"/>
            <w:gridSpan w:val="2"/>
          </w:tcPr>
          <w:p>
            <w:pPr>
              <w:jc w:val="right"/>
              <w:ind w:right="280"/>
              <w:spacing w:after="0" w:line="143" w:lineRule="exact"/>
              <w:rPr>
                <w:sz w:val="20"/>
                <w:szCs w:val="20"/>
                <w:color w:val="auto"/>
              </w:rPr>
            </w:pPr>
            <w:r>
              <w:rPr>
                <w:rFonts w:ascii="Arial" w:cs="Arial" w:eastAsia="Arial" w:hAnsi="Arial"/>
                <w:sz w:val="14"/>
                <w:szCs w:val="14"/>
                <w:b w:val="1"/>
                <w:bCs w:val="1"/>
                <w:color w:val="auto"/>
              </w:rPr>
              <w:t>Voting</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Options</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RSUs</w:t>
            </w: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Cumulative</w:t>
            </w:r>
          </w:p>
        </w:tc>
        <w:tc>
          <w:tcPr>
            <w:tcW w:w="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Days</w:t>
            </w:r>
          </w:p>
        </w:tc>
        <w:tc>
          <w:tcPr>
            <w:tcW w:w="36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280" w:type="dxa"/>
            <w:vAlign w:val="bottom"/>
            <w:tcBorders>
              <w:top w:val="single" w:sz="8" w:color="CCEEFF"/>
            </w:tcBorders>
            <w:shd w:val="clear" w:color="auto" w:fill="CCEEFF"/>
          </w:tcPr>
          <w:p>
            <w:pPr>
              <w:jc w:val="center"/>
              <w:spacing w:after="0" w:line="133"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6"/>
              </w:rPr>
              <w:t>12/31/2017</w:t>
            </w:r>
          </w:p>
        </w:tc>
        <w:tc>
          <w:tcPr>
            <w:tcW w:w="12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9"/>
              <w:spacing w:after="0" w:line="13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64,408,300</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4"/>
              </w:rPr>
              <w:t>43,119,800</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9"/>
              <w:spacing w:after="0" w:line="13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9"/>
              <w:spacing w:after="0" w:line="13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5"/>
              </w:rPr>
              <w:t>107,528,100</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w w:val="95"/>
              </w:rPr>
              <w:t>107,528,100</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2</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6/12/2018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Issuance of Bayswater Shares</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500,439</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500,439</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108,028,539</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44.7%</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w w:val="99"/>
              </w:rPr>
              <w:t>48,019,398</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3</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6/12/2018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RTO</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10,744,995</w:t>
            </w:r>
          </w:p>
        </w:tc>
        <w:tc>
          <w:tcPr>
            <w:tcW w:w="8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18,689,200</w:t>
            </w:r>
          </w:p>
        </w:tc>
        <w:tc>
          <w:tcPr>
            <w:tcW w:w="8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221,100</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29,655,295</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137,683,834</w:t>
            </w:r>
          </w:p>
        </w:tc>
        <w:tc>
          <w:tcPr>
            <w:tcW w:w="440" w:type="dxa"/>
            <w:vAlign w:val="bottom"/>
            <w:gridSpan w:val="3"/>
            <w:shd w:val="clear" w:color="auto" w:fill="CCEEFF"/>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4</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6/12/2018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285,200</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285,200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137,969,034</w:t>
            </w:r>
          </w:p>
        </w:tc>
        <w:tc>
          <w:tcPr>
            <w:tcW w:w="4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5</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6/29/2018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600,000</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600,000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138,569,034</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4.7%</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6,425,955</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6</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6/29/2018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RSUs granted</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902,000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902,000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139,471,034</w:t>
            </w:r>
          </w:p>
        </w:tc>
        <w:tc>
          <w:tcPr>
            <w:tcW w:w="4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7</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7/3/2018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w w:val="96"/>
              </w:rPr>
              <w:t>Conversion from Multiple to Subordinate</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100,000</w:t>
            </w:r>
          </w:p>
        </w:tc>
        <w:tc>
          <w:tcPr>
            <w:tcW w:w="8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(100,000)</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139,471,034</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1,528,450</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8</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7/12/2018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RSUs granted</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151,000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151,000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139,622,034</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2.5%</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3,439,012</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9</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8/2/2018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Bought deal</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7,300,000</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7,300,000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146,922,034</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5.8%</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8,033,049</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10</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8/29/2018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RSUs granted</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7" w:lineRule="exact"/>
              <w:rPr>
                <w:sz w:val="20"/>
                <w:szCs w:val="20"/>
                <w:color w:val="auto"/>
              </w:rPr>
            </w:pPr>
            <w:r>
              <w:rPr>
                <w:rFonts w:ascii="Arial" w:cs="Arial" w:eastAsia="Arial" w:hAnsi="Arial"/>
                <w:sz w:val="14"/>
                <w:szCs w:val="14"/>
                <w:color w:val="auto"/>
              </w:rPr>
              <w:t>250,000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250,000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147,172,034</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7.4%</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w w:val="99"/>
              </w:rPr>
              <w:t>10,868,205</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76"/>
              </w:rPr>
              <w:t>11</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8/29/2018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470,000</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470,000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147,642,034</w:t>
            </w:r>
          </w:p>
        </w:tc>
        <w:tc>
          <w:tcPr>
            <w:tcW w:w="440" w:type="dxa"/>
            <w:vAlign w:val="bottom"/>
            <w:gridSpan w:val="3"/>
            <w:shd w:val="clear" w:color="auto" w:fill="CCEEFF"/>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12</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9/4/2018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w w:val="96"/>
              </w:rPr>
              <w:t>Conversion from Multiple to Subordinate</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100,000</w:t>
            </w:r>
          </w:p>
        </w:tc>
        <w:tc>
          <w:tcPr>
            <w:tcW w:w="8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(100,000)</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147,642,034</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1.6%</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2,426,992</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13</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9/6/2018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Exercise of Options</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19,964</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(19,964)</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147,642,034</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0.5%</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808,997</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14</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9/10/2018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Exercise of Options</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114,080</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(114,080)</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147,642,034</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1.1%</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1,617,995</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15</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9/12/2018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Exercise of Options</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19,964</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(19,964)</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147,642,034</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0.5%</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808,997</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16</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10/1/2018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w w:val="96"/>
              </w:rPr>
              <w:t>Conversion from Multiple to Subordinate</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100,000</w:t>
            </w:r>
          </w:p>
        </w:tc>
        <w:tc>
          <w:tcPr>
            <w:tcW w:w="8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(100,000)</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147,642,034</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5.2%</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7,685,476</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17</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10/9/2018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Shares Issuance</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87,742</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87,742</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147,729,776</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2.2%</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3,235,990</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18</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10/17/2018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Shares Issuance</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5,083,000</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5,083,000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152,812,776</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2.2%</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3,237,913</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19</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10/26/2018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RSUs granted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5,000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5,000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152,817,776</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2.5%</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3,767,986</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20</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10/26/2018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43,000</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43,000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152,860,776</w:t>
            </w:r>
          </w:p>
        </w:tc>
        <w:tc>
          <w:tcPr>
            <w:tcW w:w="4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21</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11/1/2018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154,500</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154,500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153,015,276</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1.6%</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2,512,780</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22</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11/7/2018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Shares Issuance</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3,296,500</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3,296,500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156,311,776</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1.6%</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2,515,320</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23</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11/30/2018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80,500</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80,500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156,392,276</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6.3%</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9,849,783</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24</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12/4/2018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w w:val="96"/>
              </w:rPr>
              <w:t>Conversion from Multiple to Subordinate</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17,451,600</w:t>
            </w:r>
          </w:p>
        </w:tc>
        <w:tc>
          <w:tcPr>
            <w:tcW w:w="8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w w:val="95"/>
              </w:rPr>
              <w:t>(17,451,600)</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156,392,276</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1.1%</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1,713,888</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25</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12/4/2018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Conversion from Super to Multiple</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889,600</w:t>
            </w: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(889,600)</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156,392,276</w:t>
            </w:r>
          </w:p>
        </w:tc>
        <w:tc>
          <w:tcPr>
            <w:tcW w:w="440" w:type="dxa"/>
            <w:vAlign w:val="bottom"/>
            <w:gridSpan w:val="3"/>
            <w:shd w:val="clear" w:color="auto" w:fill="CCEEFF"/>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26</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12/6/2018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Shares Issuance</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489,347</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489,347</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156,881,623</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0.5%</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856,944</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27</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12/10/2018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w w:val="96"/>
              </w:rPr>
              <w:t>Conversion from Multiple to Subordinate</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1,561,800</w:t>
            </w:r>
          </w:p>
        </w:tc>
        <w:tc>
          <w:tcPr>
            <w:tcW w:w="8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(1,561,800)</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156,881,623</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1,719,251</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28</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12/24/2018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w w:val="96"/>
              </w:rPr>
              <w:t>Conversion from Multiple to Subordinate</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247,200</w:t>
            </w:r>
          </w:p>
        </w:tc>
        <w:tc>
          <w:tcPr>
            <w:tcW w:w="8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(247,200)</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156,881,623</w:t>
            </w:r>
          </w:p>
        </w:tc>
        <w:tc>
          <w:tcPr>
            <w:tcW w:w="3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3.8%</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6,017,377</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29</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12/28/2018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RSUs granted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296,000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296,000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157,177,623</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1,719,251</w:t>
            </w:r>
          </w:p>
        </w:tc>
        <w:tc>
          <w:tcPr>
            <w:tcW w:w="0" w:type="dxa"/>
            <w:vAlign w:val="bottom"/>
          </w:tcPr>
          <w:p>
            <w:pPr>
              <w:spacing w:after="0"/>
              <w:rPr>
                <w:sz w:val="1"/>
                <w:szCs w:val="1"/>
                <w:color w:val="auto"/>
              </w:rPr>
            </w:pPr>
          </w:p>
        </w:tc>
      </w:tr>
      <w:tr>
        <w:trPr>
          <w:trHeight w:val="147"/>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30</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12/28/2018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Options granted</w:t>
            </w:r>
          </w:p>
        </w:tc>
        <w:tc>
          <w:tcPr>
            <w:tcW w:w="8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200,000</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200,000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157,377,623</w:t>
            </w:r>
          </w:p>
        </w:tc>
        <w:tc>
          <w:tcPr>
            <w:tcW w:w="4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31</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12/31/2018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RSUs forfeited</w:t>
            </w:r>
          </w:p>
        </w:tc>
        <w:tc>
          <w:tcPr>
            <w:tcW w:w="88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(15,000)</w:t>
            </w:r>
          </w:p>
        </w:tc>
        <w:tc>
          <w:tcPr>
            <w:tcW w:w="8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(15,000)</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5"/>
              </w:rPr>
              <w:t>157,362,623</w:t>
            </w:r>
          </w:p>
        </w:tc>
        <w:tc>
          <w:tcPr>
            <w:tcW w:w="3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0.8%</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1,293,515</w:t>
            </w:r>
          </w:p>
        </w:tc>
        <w:tc>
          <w:tcPr>
            <w:tcW w:w="0" w:type="dxa"/>
            <w:vAlign w:val="bottom"/>
          </w:tcPr>
          <w:p>
            <w:pPr>
              <w:spacing w:after="0"/>
              <w:rPr>
                <w:sz w:val="1"/>
                <w:szCs w:val="1"/>
                <w:color w:val="auto"/>
              </w:rPr>
            </w:pPr>
          </w:p>
        </w:tc>
      </w:tr>
      <w:tr>
        <w:trPr>
          <w:trHeight w:val="153"/>
        </w:trPr>
        <w:tc>
          <w:tcPr>
            <w:tcW w:w="280" w:type="dxa"/>
            <w:vAlign w:val="bottom"/>
          </w:tcPr>
          <w:p>
            <w:pPr>
              <w:jc w:val="center"/>
              <w:spacing w:after="0" w:line="147" w:lineRule="exact"/>
              <w:rPr>
                <w:sz w:val="20"/>
                <w:szCs w:val="20"/>
                <w:color w:val="auto"/>
              </w:rPr>
            </w:pPr>
            <w:r>
              <w:rPr>
                <w:rFonts w:ascii="Arial" w:cs="Arial" w:eastAsia="Arial" w:hAnsi="Arial"/>
                <w:sz w:val="14"/>
                <w:szCs w:val="14"/>
                <w:color w:val="auto"/>
              </w:rPr>
              <w:t>32</w:t>
            </w:r>
          </w:p>
        </w:tc>
        <w:tc>
          <w:tcPr>
            <w:tcW w:w="900" w:type="dxa"/>
            <w:vAlign w:val="bottom"/>
            <w:gridSpan w:val="3"/>
          </w:tcPr>
          <w:p>
            <w:pPr>
              <w:jc w:val="right"/>
              <w:ind w:right="120"/>
              <w:spacing w:after="0" w:line="147" w:lineRule="exact"/>
              <w:rPr>
                <w:sz w:val="20"/>
                <w:szCs w:val="20"/>
                <w:color w:val="auto"/>
              </w:rPr>
            </w:pPr>
            <w:r>
              <w:rPr>
                <w:rFonts w:ascii="Arial" w:cs="Arial" w:eastAsia="Arial" w:hAnsi="Arial"/>
                <w:sz w:val="14"/>
                <w:szCs w:val="14"/>
                <w:color w:val="auto"/>
              </w:rPr>
              <w:t>12/31/2018</w:t>
            </w:r>
          </w:p>
        </w:tc>
        <w:tc>
          <w:tcPr>
            <w:tcW w:w="2440" w:type="dxa"/>
            <w:vAlign w:val="bottom"/>
            <w:gridSpan w:val="2"/>
          </w:tcPr>
          <w:p>
            <w:pPr>
              <w:spacing w:after="0" w:line="147" w:lineRule="exact"/>
              <w:rPr>
                <w:sz w:val="20"/>
                <w:szCs w:val="20"/>
                <w:color w:val="auto"/>
              </w:rPr>
            </w:pPr>
            <w:r>
              <w:rPr>
                <w:rFonts w:ascii="Arial" w:cs="Arial" w:eastAsia="Arial" w:hAnsi="Arial"/>
                <w:sz w:val="14"/>
                <w:szCs w:val="14"/>
                <w:color w:val="auto"/>
              </w:rPr>
              <w:t>Options forfeited</w:t>
            </w:r>
          </w:p>
        </w:tc>
        <w:tc>
          <w:tcPr>
            <w:tcW w:w="760" w:type="dxa"/>
            <w:vAlign w:val="bottom"/>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(2,000)</w:t>
            </w:r>
          </w:p>
        </w:tc>
        <w:tc>
          <w:tcPr>
            <w:tcW w:w="76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(2,000)</w:t>
            </w: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w w:val="95"/>
              </w:rPr>
              <w:t>157,360,623</w:t>
            </w:r>
          </w:p>
        </w:tc>
        <w:tc>
          <w:tcPr>
            <w:tcW w:w="440" w:type="dxa"/>
            <w:vAlign w:val="bottom"/>
            <w:gridSpan w:val="3"/>
          </w:tcPr>
          <w:p>
            <w:pPr>
              <w:jc w:val="center"/>
              <w:ind w:right="100"/>
              <w:spacing w:after="0" w:line="147" w:lineRule="exact"/>
              <w:rPr>
                <w:sz w:val="20"/>
                <w:szCs w:val="20"/>
                <w:color w:val="auto"/>
              </w:rPr>
            </w:pPr>
            <w:r>
              <w:rPr>
                <w:rFonts w:ascii="Arial" w:cs="Arial" w:eastAsia="Arial" w:hAnsi="Arial"/>
                <w:sz w:val="14"/>
                <w:szCs w:val="14"/>
                <w:color w:val="auto"/>
                <w:w w:val="99"/>
              </w:rPr>
              <w:t>—</w:t>
            </w:r>
          </w:p>
        </w:tc>
        <w:tc>
          <w:tcPr>
            <w:tcW w:w="56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8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rPr>
              <w:t>33</w:t>
            </w:r>
          </w:p>
        </w:tc>
        <w:tc>
          <w:tcPr>
            <w:tcW w:w="900" w:type="dxa"/>
            <w:vAlign w:val="bottom"/>
            <w:gridSpan w:val="3"/>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12/31/2018</w:t>
            </w:r>
          </w:p>
        </w:tc>
        <w:tc>
          <w:tcPr>
            <w:tcW w:w="24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Ending</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43,920,131</w:t>
            </w: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67,723,000</w:t>
            </w:r>
          </w:p>
        </w:tc>
        <w:tc>
          <w:tcPr>
            <w:tcW w:w="1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4"/>
              </w:rPr>
              <w:t>42,451,300</w:t>
            </w: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1,677,192</w:t>
            </w: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1,589,000</w:t>
            </w:r>
          </w:p>
        </w:tc>
        <w:tc>
          <w:tcPr>
            <w:tcW w:w="1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5"/>
              </w:rPr>
              <w:t>157,360,623</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7" w:lineRule="exact"/>
              <w:rPr>
                <w:sz w:val="20"/>
                <w:szCs w:val="20"/>
                <w:color w:val="auto"/>
              </w:rPr>
            </w:pPr>
            <w:r>
              <w:rPr>
                <w:rFonts w:ascii="Arial" w:cs="Arial" w:eastAsia="Arial" w:hAnsi="Arial"/>
                <w:sz w:val="14"/>
                <w:szCs w:val="14"/>
                <w:color w:val="auto"/>
                <w:w w:val="99"/>
              </w:rPr>
              <w:t>—</w:t>
            </w:r>
          </w:p>
        </w:tc>
        <w:tc>
          <w:tcPr>
            <w:tcW w:w="120" w:type="dxa"/>
            <w:vAlign w:val="bottom"/>
            <w:gridSpan w:val="2"/>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0.0%</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9"/>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ind w:right="9"/>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ind w:right="9"/>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ind w:right="9"/>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ind w:right="9"/>
              <w:spacing w:after="0" w:line="14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0" w:lineRule="exact"/>
              <w:rPr>
                <w:sz w:val="20"/>
                <w:szCs w:val="20"/>
                <w:color w:val="auto"/>
              </w:rPr>
            </w:pPr>
            <w:r>
              <w:rPr>
                <w:rFonts w:ascii="Arial" w:cs="Arial" w:eastAsia="Arial" w:hAnsi="Arial"/>
                <w:sz w:val="14"/>
                <w:szCs w:val="14"/>
                <w:color w:val="auto"/>
              </w:rPr>
              <w:t>365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w w:val="96"/>
              </w:rPr>
              <w:t>100.0%</w:t>
            </w: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w w:val="89"/>
              </w:rPr>
              <w:t>130,102,523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i w:val="1"/>
          <w:iCs w:val="1"/>
          <w:color w:val="auto"/>
        </w:rPr>
        <w:t xml:space="preserve">Reverse Take Over (“RTO”) Transaction </w:t>
      </w:r>
      <w:r>
        <w:rPr>
          <w:rFonts w:ascii="Arial" w:cs="Arial" w:eastAsia="Arial" w:hAnsi="Arial"/>
          <w:sz w:val="18"/>
          <w:szCs w:val="18"/>
          <w:color w:val="auto"/>
        </w:rPr>
        <w:t>– The RTO transaction (also referred to as the “</w:t>
      </w:r>
      <w:r>
        <w:rPr>
          <w:rFonts w:ascii="Arial" w:cs="Arial" w:eastAsia="Arial" w:hAnsi="Arial"/>
          <w:sz w:val="18"/>
          <w:szCs w:val="18"/>
          <w:i w:val="1"/>
          <w:iCs w:val="1"/>
          <w:color w:val="auto"/>
        </w:rPr>
        <w:t>Transaction</w:t>
      </w:r>
      <w:r>
        <w:rPr>
          <w:rFonts w:ascii="Arial" w:cs="Arial" w:eastAsia="Arial" w:hAnsi="Arial"/>
          <w:sz w:val="18"/>
          <w:szCs w:val="18"/>
          <w:color w:val="auto"/>
        </w:rPr>
        <w:t>”) (as reflected in Note 3 and Note 13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is illustrated above on Lines 2 and 3. The below excerpts from the Form-10 provide the sections within the document where each element has been disclosed:</w:t>
      </w:r>
    </w:p>
    <w:p>
      <w:pPr>
        <w:spacing w:after="0" w:line="93" w:lineRule="exact"/>
        <w:rPr>
          <w:sz w:val="20"/>
          <w:szCs w:val="20"/>
          <w:color w:val="auto"/>
        </w:rPr>
      </w:pPr>
    </w:p>
    <w:p>
      <w:pPr>
        <w:ind w:left="960" w:hanging="42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Line 2, Subordinate Voting Shares</w:t>
      </w:r>
    </w:p>
    <w:p>
      <w:pPr>
        <w:spacing w:after="0" w:line="126" w:lineRule="exact"/>
        <w:rPr>
          <w:rFonts w:ascii="Arial" w:cs="Arial" w:eastAsia="Arial" w:hAnsi="Arial"/>
          <w:sz w:val="18"/>
          <w:szCs w:val="18"/>
          <w:color w:val="auto"/>
        </w:rPr>
      </w:pPr>
    </w:p>
    <w:p>
      <w:pPr>
        <w:ind w:left="2060" w:right="420" w:hanging="539"/>
        <w:spacing w:after="0" w:line="274" w:lineRule="auto"/>
        <w:tabs>
          <w:tab w:leader="none" w:pos="2060" w:val="left"/>
        </w:tabs>
        <w:numPr>
          <w:ilvl w:val="1"/>
          <w:numId w:val="16"/>
        </w:numPr>
        <w:rPr>
          <w:rFonts w:ascii="Arial" w:cs="Arial" w:eastAsia="Arial" w:hAnsi="Arial"/>
          <w:sz w:val="13"/>
          <w:szCs w:val="13"/>
          <w:color w:val="auto"/>
        </w:rPr>
      </w:pPr>
      <w:r>
        <w:rPr>
          <w:rFonts w:ascii="Arial" w:cs="Arial" w:eastAsia="Arial" w:hAnsi="Arial"/>
          <w:sz w:val="17"/>
          <w:szCs w:val="17"/>
          <w:color w:val="auto"/>
        </w:rPr>
        <w:t>The 500,439 Subordinate Voting Shares included on Line 2 in the above calculation represent the conversion of the shares of Bayswater (the Company prior to the completion of the RTO transaction as hereinafter defined) into the Company’s Subordinated Voting Shares using the conversion ratio of 368 to 1. This amount is discussed on page F-33, (c) – Private Placement of Shares in Connection with Reverse Takeover.</w:t>
      </w:r>
    </w:p>
    <w:p>
      <w:pPr>
        <w:spacing w:after="0" w:line="81" w:lineRule="exact"/>
        <w:rPr>
          <w:rFonts w:ascii="Arial" w:cs="Arial" w:eastAsia="Arial" w:hAnsi="Arial"/>
          <w:sz w:val="13"/>
          <w:szCs w:val="13"/>
          <w:color w:val="auto"/>
        </w:rPr>
      </w:pPr>
    </w:p>
    <w:p>
      <w:pPr>
        <w:ind w:left="960" w:hanging="42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Line 3, Subordinate Voting Shares</w:t>
      </w:r>
    </w:p>
    <w:p>
      <w:pPr>
        <w:spacing w:after="0" w:line="126" w:lineRule="exact"/>
        <w:rPr>
          <w:rFonts w:ascii="Arial" w:cs="Arial" w:eastAsia="Arial" w:hAnsi="Arial"/>
          <w:sz w:val="18"/>
          <w:szCs w:val="18"/>
          <w:color w:val="auto"/>
        </w:rPr>
      </w:pPr>
    </w:p>
    <w:p>
      <w:pPr>
        <w:ind w:left="2060" w:right="280" w:hanging="539"/>
        <w:spacing w:after="0" w:line="269" w:lineRule="auto"/>
        <w:tabs>
          <w:tab w:leader="none" w:pos="2060" w:val="left"/>
        </w:tabs>
        <w:numPr>
          <w:ilvl w:val="1"/>
          <w:numId w:val="16"/>
        </w:numPr>
        <w:rPr>
          <w:rFonts w:ascii="Arial" w:cs="Arial" w:eastAsia="Arial" w:hAnsi="Arial"/>
          <w:sz w:val="13"/>
          <w:szCs w:val="13"/>
          <w:color w:val="auto"/>
        </w:rPr>
      </w:pPr>
      <w:r>
        <w:rPr>
          <w:rFonts w:ascii="Arial" w:cs="Arial" w:eastAsia="Arial" w:hAnsi="Arial"/>
          <w:sz w:val="17"/>
          <w:szCs w:val="17"/>
          <w:color w:val="auto"/>
        </w:rPr>
        <w:t>The 10,744,995 Subordinate Voting shares included in Line 3 in the above calculation represent the conversion of Subscription Receipts which were sold in April 2018, for the potential purchase of GTI FinCo, Inc. and were held in escrow until the RTO were to occur. Upon the RTO transaction, simultaneously with the issuance of shares of the Company to the holders of the Subscription Receipts, the funds held in the escrow account were released to the Company, and the shares converted into the 10,744,995 Subordinate Voting shares of the Company. This item is disclosed on F-33, (c) – Private Placement of Shares in Connection with Reverse Takeover.</w:t>
      </w:r>
    </w:p>
    <w:p>
      <w:pPr>
        <w:spacing w:after="0" w:line="86" w:lineRule="exact"/>
        <w:rPr>
          <w:rFonts w:ascii="Arial" w:cs="Arial" w:eastAsia="Arial" w:hAnsi="Arial"/>
          <w:sz w:val="13"/>
          <w:szCs w:val="13"/>
          <w:color w:val="auto"/>
        </w:rPr>
      </w:pPr>
    </w:p>
    <w:p>
      <w:pPr>
        <w:ind w:left="960" w:hanging="42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Line 3, Multiple Voting Shares</w:t>
      </w:r>
    </w:p>
    <w:p>
      <w:pPr>
        <w:spacing w:after="0" w:line="126" w:lineRule="exact"/>
        <w:rPr>
          <w:rFonts w:ascii="Arial" w:cs="Arial" w:eastAsia="Arial" w:hAnsi="Arial"/>
          <w:sz w:val="18"/>
          <w:szCs w:val="18"/>
          <w:color w:val="auto"/>
        </w:rPr>
      </w:pPr>
    </w:p>
    <w:p>
      <w:pPr>
        <w:ind w:left="2060" w:right="320" w:hanging="539"/>
        <w:spacing w:after="0" w:line="270" w:lineRule="auto"/>
        <w:tabs>
          <w:tab w:leader="none" w:pos="2060" w:val="left"/>
        </w:tabs>
        <w:numPr>
          <w:ilvl w:val="1"/>
          <w:numId w:val="16"/>
        </w:numPr>
        <w:rPr>
          <w:rFonts w:ascii="Arial" w:cs="Arial" w:eastAsia="Arial" w:hAnsi="Arial"/>
          <w:sz w:val="14"/>
          <w:szCs w:val="14"/>
          <w:color w:val="auto"/>
        </w:rPr>
      </w:pPr>
      <w:r>
        <w:rPr>
          <w:rFonts w:ascii="Arial" w:cs="Arial" w:eastAsia="Arial" w:hAnsi="Arial"/>
          <w:sz w:val="18"/>
          <w:szCs w:val="18"/>
          <w:color w:val="auto"/>
        </w:rPr>
        <w:t>The 18,689,200 Multiple Voting shares included on Line 3 in the above calculation represent the sum of three items each of which relate to the RTO:</w:t>
      </w:r>
    </w:p>
    <w:p>
      <w:pPr>
        <w:spacing w:after="0" w:line="81" w:lineRule="exact"/>
        <w:rPr>
          <w:rFonts w:ascii="Arial" w:cs="Arial" w:eastAsia="Arial" w:hAnsi="Arial"/>
          <w:sz w:val="14"/>
          <w:szCs w:val="14"/>
          <w:color w:val="auto"/>
        </w:rPr>
      </w:pPr>
    </w:p>
    <w:p>
      <w:pPr>
        <w:ind w:left="2820" w:right="280" w:hanging="431"/>
        <w:spacing w:after="0" w:line="271" w:lineRule="auto"/>
        <w:tabs>
          <w:tab w:leader="none" w:pos="2820" w:val="left"/>
        </w:tabs>
        <w:numPr>
          <w:ilvl w:val="2"/>
          <w:numId w:val="16"/>
        </w:numPr>
        <w:rPr>
          <w:rFonts w:ascii="Arial" w:cs="Arial" w:eastAsia="Arial" w:hAnsi="Arial"/>
          <w:sz w:val="17"/>
          <w:szCs w:val="17"/>
          <w:color w:val="auto"/>
        </w:rPr>
      </w:pPr>
      <w:r>
        <w:rPr>
          <w:rFonts w:ascii="Arial" w:cs="Arial" w:eastAsia="Arial" w:hAnsi="Arial"/>
          <w:sz w:val="17"/>
          <w:szCs w:val="17"/>
          <w:color w:val="auto"/>
        </w:rPr>
        <w:t>On April 30, 2018, the Company issued a $45,000,000 convertible promissory note to various accredited investors in contemplation of the RTO. On June 12, 2018, the convertible note payable was converted into 122,442 Multiple Voting Shares and 2,211 Super Voting Shares. Both Multiple Voting Shares and Super Voting Shares are convertible into Subordinate Voting Shares at a ratio of 100 to 1. These amounts are disclosed on page F-32, (c) – Private Placement of Shares in Connection with Reverse Takeover.</w:t>
      </w:r>
    </w:p>
    <w:p>
      <w:pPr>
        <w:spacing w:after="0" w:line="83" w:lineRule="exact"/>
        <w:rPr>
          <w:rFonts w:ascii="Arial" w:cs="Arial" w:eastAsia="Arial" w:hAnsi="Arial"/>
          <w:sz w:val="17"/>
          <w:szCs w:val="17"/>
          <w:color w:val="auto"/>
        </w:rPr>
      </w:pPr>
    </w:p>
    <w:p>
      <w:pPr>
        <w:ind w:left="2820" w:right="440" w:hanging="431"/>
        <w:spacing w:after="0" w:line="300" w:lineRule="auto"/>
        <w:tabs>
          <w:tab w:leader="none" w:pos="2820" w:val="left"/>
        </w:tabs>
        <w:numPr>
          <w:ilvl w:val="2"/>
          <w:numId w:val="16"/>
        </w:numPr>
        <w:rPr>
          <w:rFonts w:ascii="Arial" w:cs="Arial" w:eastAsia="Arial" w:hAnsi="Arial"/>
          <w:sz w:val="17"/>
          <w:szCs w:val="17"/>
          <w:color w:val="auto"/>
        </w:rPr>
      </w:pPr>
      <w:r>
        <w:rPr>
          <w:rFonts w:ascii="Arial" w:cs="Arial" w:eastAsia="Arial" w:hAnsi="Arial"/>
          <w:sz w:val="17"/>
          <w:szCs w:val="17"/>
          <w:color w:val="auto"/>
        </w:rPr>
        <w:t>On June 12, 2018 as part of the RTO transaction, the Company issued 4,550 Multiple Voting Shares which was issued for gross proceeds of $2,730,000. This amount is disclosed on page F-33.</w:t>
      </w:r>
    </w:p>
    <w:p>
      <w:pPr>
        <w:sectPr>
          <w:pgSz w:w="11900" w:h="16838" w:orient="portrait"/>
          <w:cols w:equalWidth="0" w:num="1">
            <w:col w:w="11160"/>
          </w:cols>
          <w:pgMar w:left="500" w:top="41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34" w:lineRule="exact"/>
        <w:rPr>
          <w:sz w:val="20"/>
          <w:szCs w:val="20"/>
          <w:color w:val="auto"/>
        </w:rPr>
      </w:pPr>
    </w:p>
    <w:p>
      <w:pPr>
        <w:ind w:left="2820" w:right="260" w:hanging="431"/>
        <w:spacing w:after="0" w:line="296" w:lineRule="auto"/>
        <w:tabs>
          <w:tab w:leader="none" w:pos="28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 equivalent. This amount is disclosed on page F-33, (e) – Changes in Ownership and Noncontrolling Interests.</w:t>
      </w:r>
    </w:p>
    <w:p>
      <w:pPr>
        <w:spacing w:after="0" w:line="66" w:lineRule="exact"/>
        <w:rPr>
          <w:rFonts w:ascii="Arial" w:cs="Arial" w:eastAsia="Arial" w:hAnsi="Arial"/>
          <w:sz w:val="16"/>
          <w:szCs w:val="16"/>
          <w:color w:val="auto"/>
        </w:rPr>
      </w:pPr>
    </w:p>
    <w:p>
      <w:pPr>
        <w:ind w:left="2060" w:hanging="539"/>
        <w:spacing w:after="0"/>
        <w:tabs>
          <w:tab w:leader="none" w:pos="2060" w:val="left"/>
        </w:tabs>
        <w:numPr>
          <w:ilvl w:val="0"/>
          <w:numId w:val="17"/>
        </w:numPr>
        <w:rPr>
          <w:rFonts w:ascii="Arial" w:cs="Arial" w:eastAsia="Arial" w:hAnsi="Arial"/>
          <w:sz w:val="14"/>
          <w:szCs w:val="14"/>
          <w:color w:val="auto"/>
        </w:rPr>
      </w:pPr>
      <w:r>
        <w:rPr>
          <w:rFonts w:ascii="Arial" w:cs="Arial" w:eastAsia="Arial" w:hAnsi="Arial"/>
          <w:sz w:val="18"/>
          <w:szCs w:val="18"/>
          <w:color w:val="auto"/>
        </w:rPr>
        <w:t>On a Subordinate Voting share basis, the total amount included on Line 3, is calculated as follows:</w:t>
      </w:r>
    </w:p>
    <w:p>
      <w:pPr>
        <w:spacing w:after="0" w:line="104"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Multiple</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8"/>
              </w:rPr>
              <w:t>Conversion</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Subordinate</w:t>
            </w:r>
          </w:p>
        </w:tc>
        <w:tc>
          <w:tcPr>
            <w:tcW w:w="0" w:type="dxa"/>
            <w:vAlign w:val="bottom"/>
          </w:tcPr>
          <w:p>
            <w:pPr>
              <w:spacing w:after="0"/>
              <w:rPr>
                <w:sz w:val="1"/>
                <w:szCs w:val="1"/>
                <w:color w:val="auto"/>
              </w:rPr>
            </w:pPr>
          </w:p>
        </w:tc>
      </w:tr>
      <w:tr>
        <w:trPr>
          <w:trHeight w:val="147"/>
        </w:trPr>
        <w:tc>
          <w:tcPr>
            <w:tcW w:w="4380" w:type="dxa"/>
            <w:vAlign w:val="bottom"/>
          </w:tcPr>
          <w:p>
            <w:pPr>
              <w:spacing w:after="0"/>
              <w:rPr>
                <w:sz w:val="12"/>
                <w:szCs w:val="12"/>
                <w:color w:val="auto"/>
              </w:rPr>
            </w:pPr>
          </w:p>
        </w:tc>
        <w:tc>
          <w:tcPr>
            <w:tcW w:w="1020" w:type="dxa"/>
            <w:vAlign w:val="bottom"/>
            <w:gridSpan w:val="3"/>
          </w:tcPr>
          <w:p>
            <w:pPr>
              <w:jc w:val="center"/>
              <w:ind w:right="380"/>
              <w:spacing w:after="0" w:line="147" w:lineRule="exact"/>
              <w:rPr>
                <w:sz w:val="20"/>
                <w:szCs w:val="20"/>
                <w:color w:val="auto"/>
              </w:rPr>
            </w:pPr>
            <w:r>
              <w:rPr>
                <w:rFonts w:ascii="Arial" w:cs="Arial" w:eastAsia="Arial" w:hAnsi="Arial"/>
                <w:sz w:val="14"/>
                <w:szCs w:val="14"/>
                <w:b w:val="1"/>
                <w:bCs w:val="1"/>
                <w:color w:val="auto"/>
                <w:w w:val="91"/>
              </w:rPr>
              <w:t>Voting</w:t>
            </w: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0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Factor</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Voting Shares</w:t>
            </w:r>
          </w:p>
        </w:tc>
        <w:tc>
          <w:tcPr>
            <w:tcW w:w="0" w:type="dxa"/>
            <w:vAlign w:val="bottom"/>
          </w:tcPr>
          <w:p>
            <w:pPr>
              <w:spacing w:after="0"/>
              <w:rPr>
                <w:sz w:val="1"/>
                <w:szCs w:val="1"/>
                <w:color w:val="auto"/>
              </w:rPr>
            </w:pPr>
          </w:p>
        </w:tc>
      </w:tr>
      <w:tr>
        <w:trPr>
          <w:trHeight w:val="207"/>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Shares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122,442</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12,244,200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Share Issuance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4,550</w:t>
            </w:r>
          </w:p>
        </w:tc>
        <w:tc>
          <w:tcPr>
            <w:tcW w:w="3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455,000</w:t>
            </w:r>
          </w:p>
        </w:tc>
        <w:tc>
          <w:tcPr>
            <w:tcW w:w="0" w:type="dxa"/>
            <w:vAlign w:val="bottom"/>
          </w:tcPr>
          <w:p>
            <w:pPr>
              <w:spacing w:after="0"/>
              <w:rPr>
                <w:sz w:val="1"/>
                <w:szCs w:val="1"/>
                <w:color w:val="auto"/>
              </w:rPr>
            </w:pP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NCI</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59,900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5,990,000</w:t>
            </w:r>
          </w:p>
        </w:tc>
        <w:tc>
          <w:tcPr>
            <w:tcW w:w="0" w:type="dxa"/>
            <w:vAlign w:val="bottom"/>
          </w:tcPr>
          <w:p>
            <w:pPr>
              <w:spacing w:after="0"/>
              <w:rPr>
                <w:sz w:val="1"/>
                <w:szCs w:val="1"/>
                <w:color w:val="auto"/>
              </w:rPr>
            </w:pPr>
          </w:p>
        </w:tc>
      </w:tr>
      <w:tr>
        <w:trPr>
          <w:trHeight w:val="220"/>
        </w:trPr>
        <w:tc>
          <w:tcPr>
            <w:tcW w:w="4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186,892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18,689,200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960" w:hanging="42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Line 3, Super Voting Shares</w:t>
      </w:r>
    </w:p>
    <w:p>
      <w:pPr>
        <w:spacing w:after="0" w:line="126" w:lineRule="exact"/>
        <w:rPr>
          <w:rFonts w:ascii="Arial" w:cs="Arial" w:eastAsia="Arial" w:hAnsi="Arial"/>
          <w:sz w:val="18"/>
          <w:szCs w:val="18"/>
          <w:color w:val="auto"/>
        </w:rPr>
      </w:pPr>
    </w:p>
    <w:p>
      <w:pPr>
        <w:ind w:left="2060" w:hanging="539"/>
        <w:spacing w:after="0" w:line="258" w:lineRule="auto"/>
        <w:tabs>
          <w:tab w:leader="none" w:pos="2060" w:val="left"/>
        </w:tabs>
        <w:numPr>
          <w:ilvl w:val="1"/>
          <w:numId w:val="18"/>
        </w:numPr>
        <w:rPr>
          <w:rFonts w:ascii="Arial" w:cs="Arial" w:eastAsia="Arial" w:hAnsi="Arial"/>
          <w:sz w:val="14"/>
          <w:szCs w:val="14"/>
          <w:color w:val="auto"/>
        </w:rPr>
      </w:pPr>
      <w:r>
        <w:rPr>
          <w:rFonts w:ascii="Arial" w:cs="Arial" w:eastAsia="Arial" w:hAnsi="Arial"/>
          <w:sz w:val="18"/>
          <w:szCs w:val="18"/>
          <w:color w:val="auto"/>
        </w:rPr>
        <w:t>The 221,100 Super Voting Shares included on Line 3 in the above calculation relate to the 2,211 Super Voting Shares issued in conjunction with the convertible debt discussed above. The shares converted on a Subordinate Voting Share basis is calculated as follows:</w:t>
      </w:r>
    </w:p>
    <w:p>
      <w:pPr>
        <w:spacing w:after="0" w:line="70"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Super</w:t>
            </w: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Conversion</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Subordinate</w:t>
            </w:r>
          </w:p>
        </w:tc>
        <w:tc>
          <w:tcPr>
            <w:tcW w:w="0" w:type="dxa"/>
            <w:vAlign w:val="bottom"/>
          </w:tcPr>
          <w:p>
            <w:pPr>
              <w:spacing w:after="0"/>
              <w:rPr>
                <w:sz w:val="1"/>
                <w:szCs w:val="1"/>
                <w:color w:val="auto"/>
              </w:rPr>
            </w:pPr>
          </w:p>
        </w:tc>
      </w:tr>
      <w:tr>
        <w:trPr>
          <w:trHeight w:val="147"/>
        </w:trPr>
        <w:tc>
          <w:tcPr>
            <w:tcW w:w="4460" w:type="dxa"/>
            <w:vAlign w:val="bottom"/>
          </w:tcPr>
          <w:p>
            <w:pPr>
              <w:spacing w:after="0"/>
              <w:rPr>
                <w:sz w:val="12"/>
                <w:szCs w:val="12"/>
                <w:color w:val="auto"/>
              </w:rPr>
            </w:pPr>
          </w:p>
        </w:tc>
        <w:tc>
          <w:tcPr>
            <w:tcW w:w="8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Voting</w:t>
            </w:r>
          </w:p>
        </w:tc>
        <w:tc>
          <w:tcPr>
            <w:tcW w:w="1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Factor</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Voting Shares</w:t>
            </w:r>
          </w:p>
        </w:tc>
        <w:tc>
          <w:tcPr>
            <w:tcW w:w="0" w:type="dxa"/>
            <w:vAlign w:val="bottom"/>
          </w:tcPr>
          <w:p>
            <w:pPr>
              <w:spacing w:after="0"/>
              <w:rPr>
                <w:sz w:val="1"/>
                <w:szCs w:val="1"/>
                <w:color w:val="auto"/>
              </w:rPr>
            </w:pPr>
          </w:p>
        </w:tc>
      </w:tr>
      <w:tr>
        <w:trPr>
          <w:trHeight w:val="207"/>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Shares</w:t>
            </w:r>
          </w:p>
        </w:tc>
        <w:tc>
          <w:tcPr>
            <w:tcW w:w="4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2,211</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calculation for the Company’s weighted average number of shares outstanding for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31,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Line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Subordinate</w:t>
            </w: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Multiple</w:t>
            </w: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Super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ind w:left="140"/>
              <w:spacing w:after="0" w:line="107" w:lineRule="exact"/>
              <w:rPr>
                <w:sz w:val="20"/>
                <w:szCs w:val="20"/>
                <w:color w:val="auto"/>
              </w:rPr>
            </w:pPr>
            <w:r>
              <w:rPr>
                <w:rFonts w:ascii="Arial" w:cs="Arial" w:eastAsia="Arial" w:hAnsi="Arial"/>
                <w:sz w:val="11"/>
                <w:szCs w:val="11"/>
                <w:b w:val="1"/>
                <w:bCs w:val="1"/>
                <w:color w:val="auto"/>
              </w:rPr>
              <w:t>Voting</w:t>
            </w:r>
          </w:p>
        </w:tc>
        <w:tc>
          <w:tcPr>
            <w:tcW w:w="720" w:type="dxa"/>
            <w:vAlign w:val="bottom"/>
            <w:gridSpan w:val="2"/>
          </w:tcPr>
          <w:p>
            <w:pPr>
              <w:jc w:val="right"/>
              <w:ind w:right="300"/>
              <w:spacing w:after="0" w:line="107" w:lineRule="exact"/>
              <w:rPr>
                <w:sz w:val="20"/>
                <w:szCs w:val="20"/>
                <w:color w:val="auto"/>
              </w:rPr>
            </w:pPr>
            <w:r>
              <w:rPr>
                <w:rFonts w:ascii="Arial" w:cs="Arial" w:eastAsia="Arial" w:hAnsi="Arial"/>
                <w:sz w:val="11"/>
                <w:szCs w:val="11"/>
                <w:b w:val="1"/>
                <w:bCs w:val="1"/>
                <w:color w:val="auto"/>
              </w:rPr>
              <w:t>Voting</w:t>
            </w:r>
          </w:p>
        </w:tc>
        <w:tc>
          <w:tcPr>
            <w:tcW w:w="700" w:type="dxa"/>
            <w:vAlign w:val="bottom"/>
            <w:gridSpan w:val="2"/>
          </w:tcPr>
          <w:p>
            <w:pPr>
              <w:jc w:val="right"/>
              <w:ind w:right="280"/>
              <w:spacing w:after="0" w:line="107" w:lineRule="exact"/>
              <w:rPr>
                <w:sz w:val="20"/>
                <w:szCs w:val="20"/>
                <w:color w:val="auto"/>
              </w:rPr>
            </w:pPr>
            <w:r>
              <w:rPr>
                <w:rFonts w:ascii="Arial" w:cs="Arial" w:eastAsia="Arial" w:hAnsi="Arial"/>
                <w:sz w:val="11"/>
                <w:szCs w:val="11"/>
                <w:b w:val="1"/>
                <w:bCs w:val="1"/>
                <w:color w:val="auto"/>
              </w:rPr>
              <w:t>Voting</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spacing w:after="0" w:line="107" w:lineRule="exact"/>
              <w:rPr>
                <w:sz w:val="20"/>
                <w:szCs w:val="20"/>
                <w:color w:val="auto"/>
              </w:rPr>
            </w:pPr>
            <w:r>
              <w:rPr>
                <w:rFonts w:ascii="Arial" w:cs="Arial" w:eastAsia="Arial" w:hAnsi="Arial"/>
                <w:sz w:val="11"/>
                <w:szCs w:val="11"/>
                <w:b w:val="1"/>
                <w:bCs w:val="1"/>
                <w:color w:val="auto"/>
              </w:rPr>
              <w:t>Subscription</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jc w:val="right"/>
              <w:ind w:right="100"/>
              <w:spacing w:after="0" w:line="107" w:lineRule="exact"/>
              <w:rPr>
                <w:sz w:val="20"/>
                <w:szCs w:val="20"/>
                <w:color w:val="auto"/>
              </w:rPr>
            </w:pPr>
            <w:r>
              <w:rPr>
                <w:rFonts w:ascii="Arial" w:cs="Arial" w:eastAsia="Arial" w:hAnsi="Arial"/>
                <w:sz w:val="11"/>
                <w:szCs w:val="11"/>
                <w:b w:val="1"/>
                <w:bCs w:val="1"/>
                <w:color w:val="auto"/>
                <w:w w:val="96"/>
              </w:rPr>
              <w:t>Weighted</w:t>
            </w:r>
          </w:p>
        </w:tc>
        <w:tc>
          <w:tcPr>
            <w:tcW w:w="0" w:type="dxa"/>
            <w:vAlign w:val="bottom"/>
          </w:tcPr>
          <w:p>
            <w:pPr>
              <w:spacing w:after="0"/>
              <w:rPr>
                <w:sz w:val="1"/>
                <w:szCs w:val="1"/>
                <w:color w:val="auto"/>
              </w:rPr>
            </w:pPr>
          </w:p>
        </w:tc>
      </w:tr>
      <w:tr>
        <w:trPr>
          <w:trHeight w:val="153"/>
        </w:trPr>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100" w:type="dxa"/>
            <w:vAlign w:val="bottom"/>
          </w:tcPr>
          <w:p>
            <w:pPr>
              <w:spacing w:after="0"/>
              <w:rPr>
                <w:sz w:val="13"/>
                <w:szCs w:val="13"/>
                <w:color w:val="auto"/>
              </w:rPr>
            </w:pPr>
          </w:p>
        </w:tc>
        <w:tc>
          <w:tcPr>
            <w:tcW w:w="660" w:type="dxa"/>
            <w:vAlign w:val="bottom"/>
            <w:gridSpan w:val="2"/>
          </w:tcPr>
          <w:p>
            <w:pPr>
              <w:ind w:left="160"/>
              <w:spacing w:after="0"/>
              <w:rPr>
                <w:sz w:val="20"/>
                <w:szCs w:val="20"/>
                <w:color w:val="auto"/>
              </w:rPr>
            </w:pPr>
            <w:r>
              <w:rPr>
                <w:rFonts w:ascii="Arial" w:cs="Arial" w:eastAsia="Arial" w:hAnsi="Arial"/>
                <w:sz w:val="11"/>
                <w:szCs w:val="11"/>
                <w:b w:val="1"/>
                <w:bCs w:val="1"/>
                <w:color w:val="auto"/>
              </w:rPr>
              <w:t>Date</w:t>
            </w:r>
          </w:p>
        </w:tc>
        <w:tc>
          <w:tcPr>
            <w:tcW w:w="2840" w:type="dxa"/>
            <w:vAlign w:val="bottom"/>
            <w:gridSpan w:val="2"/>
          </w:tcPr>
          <w:p>
            <w:pPr>
              <w:ind w:left="820"/>
              <w:spacing w:after="0"/>
              <w:rPr>
                <w:sz w:val="20"/>
                <w:szCs w:val="20"/>
                <w:color w:val="auto"/>
              </w:rPr>
            </w:pPr>
            <w:r>
              <w:rPr>
                <w:rFonts w:ascii="Arial" w:cs="Arial" w:eastAsia="Arial" w:hAnsi="Arial"/>
                <w:sz w:val="11"/>
                <w:szCs w:val="11"/>
                <w:b w:val="1"/>
                <w:bCs w:val="1"/>
                <w:color w:val="auto"/>
              </w:rPr>
              <w:t>Transaction Description</w:t>
            </w: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6"/>
              </w:rPr>
              <w:t>Options</w:t>
            </w:r>
          </w:p>
        </w:tc>
        <w:tc>
          <w:tcPr>
            <w:tcW w:w="6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RSUs</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Receipts</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Cumulative</w:t>
            </w: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rPr>
              <w:t>Days</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07"/>
        </w:trPr>
        <w:tc>
          <w:tcPr>
            <w:tcW w:w="220" w:type="dxa"/>
            <w:vAlign w:val="bottom"/>
            <w:tcBorders>
              <w:top w:val="single" w:sz="8" w:color="CCEEFF"/>
            </w:tcBorders>
            <w:shd w:val="clear" w:color="auto" w:fill="CCEEFF"/>
          </w:tcPr>
          <w:p>
            <w:pPr>
              <w:jc w:val="center"/>
              <w:spacing w:after="0" w:line="107" w:lineRule="exact"/>
              <w:rPr>
                <w:sz w:val="20"/>
                <w:szCs w:val="20"/>
                <w:color w:val="auto"/>
              </w:rPr>
            </w:pPr>
            <w:r>
              <w:rPr>
                <w:rFonts w:ascii="Arial" w:cs="Arial" w:eastAsia="Arial" w:hAnsi="Arial"/>
                <w:sz w:val="11"/>
                <w:szCs w:val="11"/>
                <w:color w:val="auto"/>
                <w:w w:val="97"/>
              </w:rPr>
              <w:t>1</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94"/>
              </w:rPr>
              <w:t>12/31/2018</w:t>
            </w:r>
          </w:p>
        </w:tc>
        <w:tc>
          <w:tcPr>
            <w:tcW w:w="120" w:type="dxa"/>
            <w:vAlign w:val="bottom"/>
            <w:tcBorders>
              <w:top w:val="single" w:sz="8" w:color="CCEEFF"/>
            </w:tcBorders>
            <w:shd w:val="clear" w:color="auto" w:fill="CCEEFF"/>
          </w:tcPr>
          <w:p>
            <w:pPr>
              <w:spacing w:after="0"/>
              <w:rPr>
                <w:sz w:val="9"/>
                <w:szCs w:val="9"/>
                <w:color w:val="auto"/>
              </w:rPr>
            </w:pPr>
          </w:p>
        </w:tc>
        <w:tc>
          <w:tcPr>
            <w:tcW w:w="2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rPr>
              <w:t>43,920,131</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98"/>
              </w:rPr>
              <w:t>67,723,000</w:t>
            </w:r>
          </w:p>
        </w:tc>
        <w:tc>
          <w:tcPr>
            <w:tcW w:w="1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90"/>
              </w:rPr>
              <w:t>42,451,300</w:t>
            </w:r>
          </w:p>
        </w:tc>
        <w:tc>
          <w:tcPr>
            <w:tcW w:w="1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89"/>
              </w:rPr>
              <w:t>1,677,192</w:t>
            </w:r>
          </w:p>
        </w:tc>
        <w:tc>
          <w:tcPr>
            <w:tcW w:w="1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93"/>
              </w:rPr>
              <w:t>1,589,000</w:t>
            </w: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180"/>
              <w:spacing w:after="0" w:line="107" w:lineRule="exact"/>
              <w:rPr>
                <w:sz w:val="20"/>
                <w:szCs w:val="20"/>
                <w:color w:val="auto"/>
              </w:rPr>
            </w:pPr>
            <w:r>
              <w:rPr>
                <w:rFonts w:ascii="Arial" w:cs="Arial" w:eastAsia="Arial" w:hAnsi="Arial"/>
                <w:sz w:val="11"/>
                <w:szCs w:val="11"/>
                <w:color w:val="auto"/>
                <w:w w:val="81"/>
              </w:rPr>
              <w:t>2,123,000</w:t>
            </w: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91"/>
              </w:rPr>
              <w:t>159,483,623</w:t>
            </w: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7" w:lineRule="exact"/>
              <w:rPr>
                <w:sz w:val="20"/>
                <w:szCs w:val="20"/>
                <w:color w:val="auto"/>
              </w:rPr>
            </w:pPr>
            <w:r>
              <w:rPr>
                <w:rFonts w:ascii="Arial" w:cs="Arial" w:eastAsia="Arial" w:hAnsi="Arial"/>
                <w:sz w:val="11"/>
                <w:szCs w:val="11"/>
                <w:color w:val="auto"/>
                <w:w w:val="94"/>
              </w:rPr>
              <w:t>159,483,623</w:t>
            </w:r>
          </w:p>
        </w:tc>
        <w:tc>
          <w:tcPr>
            <w:tcW w:w="1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97"/>
              </w:rPr>
              <w:t>2</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1/1/2019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542,416</w:t>
            </w:r>
          </w:p>
        </w:tc>
        <w:tc>
          <w:tcPr>
            <w:tcW w:w="14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Arial" w:cs="Arial" w:eastAsia="Arial" w:hAnsi="Arial"/>
                <w:sz w:val="11"/>
                <w:szCs w:val="11"/>
                <w:color w:val="auto"/>
              </w:rPr>
              <w:t>3,100,000</w:t>
            </w:r>
          </w:p>
        </w:tc>
        <w:tc>
          <w:tcPr>
            <w:tcW w:w="160" w:type="dxa"/>
            <w:vAlign w:val="bottom"/>
          </w:tcPr>
          <w:p>
            <w:pPr>
              <w:spacing w:after="0"/>
              <w:rPr>
                <w:sz w:val="10"/>
                <w:szCs w:val="10"/>
                <w:color w:val="auto"/>
              </w:rPr>
            </w:pP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0" w:lineRule="exact"/>
              <w:rPr>
                <w:sz w:val="20"/>
                <w:szCs w:val="20"/>
                <w:color w:val="auto"/>
              </w:rPr>
            </w:pPr>
            <w:r>
              <w:rPr>
                <w:rFonts w:ascii="Arial" w:cs="Arial" w:eastAsia="Arial" w:hAnsi="Arial"/>
                <w:sz w:val="11"/>
                <w:szCs w:val="11"/>
                <w:color w:val="auto"/>
              </w:rPr>
              <w:t>3,642,416</w:t>
            </w:r>
          </w:p>
        </w:tc>
        <w:tc>
          <w:tcPr>
            <w:tcW w:w="18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163,126,039</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0.4%</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584,189</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7"/>
              </w:rPr>
              <w:t>3</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1/3/2019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591,491</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591,491</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163,717,530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0.7%</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1,195,063</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97"/>
              </w:rPr>
              <w:t>4</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1/9/2019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163,714,530</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6</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2.2%</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3,598,187</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7"/>
              </w:rPr>
              <w:t>5</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1/15/2019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13,200</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(13,200)</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163,714,530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2.2%</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3,598,122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97"/>
              </w:rPr>
              <w:t>6</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1/30/2019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(15,000)</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163,699,530</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15</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5.5%</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8,995,304</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7"/>
              </w:rPr>
              <w:t>7</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428,383</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428,383</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164,127,913</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0.7%</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1,199,264</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97"/>
              </w:rPr>
              <w:t>8</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Options granted</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90,000</w:t>
            </w:r>
          </w:p>
        </w:tc>
        <w:tc>
          <w:tcPr>
            <w:tcW w:w="180" w:type="dxa"/>
            <w:vAlign w:val="bottom"/>
          </w:tcPr>
          <w:p>
            <w:pPr>
              <w:spacing w:after="0"/>
              <w:rPr>
                <w:sz w:val="10"/>
                <w:szCs w:val="10"/>
                <w:color w:val="auto"/>
              </w:rPr>
            </w:pP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0" w:lineRule="exact"/>
              <w:rPr>
                <w:sz w:val="20"/>
                <w:szCs w:val="20"/>
                <w:color w:val="auto"/>
              </w:rPr>
            </w:pPr>
            <w:r>
              <w:rPr>
                <w:rFonts w:ascii="Arial" w:cs="Arial" w:eastAsia="Arial" w:hAnsi="Arial"/>
                <w:sz w:val="11"/>
                <w:szCs w:val="11"/>
                <w:color w:val="auto"/>
              </w:rPr>
              <w:t>90,000</w:t>
            </w:r>
          </w:p>
        </w:tc>
        <w:tc>
          <w:tcPr>
            <w:tcW w:w="18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164,217,913</w:t>
            </w:r>
          </w:p>
        </w:tc>
        <w:tc>
          <w:tcPr>
            <w:tcW w:w="140" w:type="dxa"/>
            <w:vAlign w:val="bottom"/>
          </w:tcPr>
          <w:p>
            <w:pPr>
              <w:spacing w:after="0"/>
              <w:rPr>
                <w:sz w:val="10"/>
                <w:szCs w:val="10"/>
                <w:color w:val="auto"/>
              </w:rPr>
            </w:pPr>
          </w:p>
        </w:tc>
        <w:tc>
          <w:tcPr>
            <w:tcW w:w="360" w:type="dxa"/>
            <w:vAlign w:val="bottom"/>
            <w:gridSpan w:val="2"/>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97"/>
              </w:rPr>
              <w:t>9</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RSUs granted</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75,000</w:t>
            </w:r>
          </w:p>
        </w:tc>
        <w:tc>
          <w:tcPr>
            <w:tcW w:w="1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75,000</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164,292,913</w:t>
            </w:r>
          </w:p>
        </w:tc>
        <w:tc>
          <w:tcPr>
            <w:tcW w:w="1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10</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6,122,100</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9"/>
              </w:rPr>
              <w:t>(6,122,100)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164,292,913</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3.7%</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6,018,055</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11</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2/11/2019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Options granted</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20,000</w:t>
            </w: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20,000</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164,312,913</w:t>
            </w:r>
          </w:p>
        </w:tc>
        <w:tc>
          <w:tcPr>
            <w:tcW w:w="1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12</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260"/>
              <w:spacing w:after="0" w:line="120" w:lineRule="exact"/>
              <w:rPr>
                <w:sz w:val="20"/>
                <w:szCs w:val="20"/>
                <w:color w:val="auto"/>
              </w:rPr>
            </w:pPr>
            <w:r>
              <w:rPr>
                <w:rFonts w:ascii="Arial" w:cs="Arial" w:eastAsia="Arial" w:hAnsi="Arial"/>
                <w:sz w:val="11"/>
                <w:szCs w:val="11"/>
                <w:color w:val="auto"/>
              </w:rPr>
              <w:t>472,500</w:t>
            </w:r>
          </w:p>
        </w:tc>
        <w:tc>
          <w:tcPr>
            <w:tcW w:w="580" w:type="dxa"/>
            <w:vAlign w:val="bottom"/>
          </w:tcPr>
          <w:p>
            <w:pPr>
              <w:jc w:val="right"/>
              <w:spacing w:after="0" w:line="120" w:lineRule="exact"/>
              <w:rPr>
                <w:sz w:val="20"/>
                <w:szCs w:val="20"/>
                <w:color w:val="auto"/>
              </w:rPr>
            </w:pPr>
            <w:r>
              <w:rPr>
                <w:rFonts w:ascii="Arial" w:cs="Arial" w:eastAsia="Arial" w:hAnsi="Arial"/>
                <w:sz w:val="11"/>
                <w:szCs w:val="11"/>
                <w:color w:val="auto"/>
              </w:rPr>
              <w:t>472,500</w:t>
            </w:r>
          </w:p>
        </w:tc>
        <w:tc>
          <w:tcPr>
            <w:tcW w:w="18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164,785,413</w:t>
            </w:r>
          </w:p>
        </w:tc>
        <w:tc>
          <w:tcPr>
            <w:tcW w:w="140" w:type="dxa"/>
            <w:vAlign w:val="bottom"/>
          </w:tcPr>
          <w:p>
            <w:pPr>
              <w:spacing w:after="0"/>
              <w:rPr>
                <w:sz w:val="10"/>
                <w:szCs w:val="10"/>
                <w:color w:val="auto"/>
              </w:rPr>
            </w:pPr>
          </w:p>
        </w:tc>
        <w:tc>
          <w:tcPr>
            <w:tcW w:w="360" w:type="dxa"/>
            <w:vAlign w:val="bottom"/>
            <w:gridSpan w:val="2"/>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13</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2/12/2019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6,539,746</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449,000</w:t>
            </w: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6,988,746</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171,774,159</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0.4%</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603,610</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14</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2/12/2019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and Super to Subordinate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11,004,100</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89"/>
              </w:rPr>
              <w:t>(11,003,800)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171,774,159</w:t>
            </w:r>
          </w:p>
        </w:tc>
        <w:tc>
          <w:tcPr>
            <w:tcW w:w="140" w:type="dxa"/>
            <w:vAlign w:val="bottom"/>
          </w:tcPr>
          <w:p>
            <w:pPr>
              <w:spacing w:after="0"/>
              <w:rPr>
                <w:sz w:val="10"/>
                <w:szCs w:val="10"/>
                <w:color w:val="auto"/>
              </w:rPr>
            </w:pPr>
          </w:p>
        </w:tc>
        <w:tc>
          <w:tcPr>
            <w:tcW w:w="360" w:type="dxa"/>
            <w:vAlign w:val="bottom"/>
            <w:gridSpan w:val="2"/>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15</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2/12/2019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171,771,159</w:t>
            </w:r>
          </w:p>
        </w:tc>
        <w:tc>
          <w:tcPr>
            <w:tcW w:w="1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16</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2/13/2019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171,768,159</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0.4%</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629,198</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17</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2/14/2019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171,766,159</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0.4%</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629,187</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18</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2/16/2019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171,763,159</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0.7%</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1,258,360</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19</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2/19/2019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(14,000)</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(14,000)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171,749,159</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1.1%</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1,887,507</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20</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2/21/2019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5,562,490</w:t>
            </w:r>
          </w:p>
        </w:tc>
        <w:tc>
          <w:tcPr>
            <w:tcW w:w="140" w:type="dxa"/>
            <w:vAlign w:val="bottom"/>
          </w:tcPr>
          <w:p>
            <w:pPr>
              <w:spacing w:after="0"/>
              <w:rPr>
                <w:sz w:val="10"/>
                <w:szCs w:val="10"/>
                <w:color w:val="auto"/>
              </w:rPr>
            </w:pP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221,000</w:t>
            </w:r>
          </w:p>
        </w:tc>
        <w:tc>
          <w:tcPr>
            <w:tcW w:w="18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Arial" w:cs="Arial" w:eastAsia="Arial" w:hAnsi="Arial"/>
                <w:sz w:val="11"/>
                <w:szCs w:val="11"/>
                <w:color w:val="auto"/>
              </w:rPr>
              <w:t>100,000</w:t>
            </w:r>
          </w:p>
        </w:tc>
        <w:tc>
          <w:tcPr>
            <w:tcW w:w="180" w:type="dxa"/>
            <w:vAlign w:val="bottom"/>
          </w:tcPr>
          <w:p>
            <w:pPr>
              <w:spacing w:after="0"/>
              <w:rPr>
                <w:sz w:val="10"/>
                <w:szCs w:val="10"/>
                <w:color w:val="auto"/>
              </w:rPr>
            </w:pP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0" w:lineRule="exact"/>
              <w:rPr>
                <w:sz w:val="20"/>
                <w:szCs w:val="20"/>
                <w:color w:val="auto"/>
              </w:rPr>
            </w:pPr>
            <w:r>
              <w:rPr>
                <w:rFonts w:ascii="Arial" w:cs="Arial" w:eastAsia="Arial" w:hAnsi="Arial"/>
                <w:sz w:val="11"/>
                <w:szCs w:val="11"/>
                <w:color w:val="auto"/>
              </w:rPr>
              <w:t>5,883,490</w:t>
            </w:r>
          </w:p>
        </w:tc>
        <w:tc>
          <w:tcPr>
            <w:tcW w:w="18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177,632,649</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2</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0.7%</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1,258,236</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21</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2/22/2019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99,569</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4,000</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85,966</w:t>
            </w:r>
          </w:p>
        </w:tc>
        <w:tc>
          <w:tcPr>
            <w:tcW w:w="1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260"/>
              <w:spacing w:after="0" w:line="120" w:lineRule="exact"/>
              <w:rPr>
                <w:sz w:val="20"/>
                <w:szCs w:val="20"/>
                <w:color w:val="auto"/>
              </w:rPr>
            </w:pPr>
            <w:r>
              <w:rPr>
                <w:rFonts w:ascii="Arial" w:cs="Arial" w:eastAsia="Arial" w:hAnsi="Arial"/>
                <w:sz w:val="11"/>
                <w:szCs w:val="11"/>
                <w:color w:val="auto"/>
              </w:rPr>
              <w:t>793,448</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982,983</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178,615,632</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0.4%</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650,669</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22</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3/1/2019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w w:val="94"/>
              </w:rPr>
              <w:t>Conversion from Multiple to Subordinate and Share Issuance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2,006,988</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9"/>
              </w:rPr>
              <w:t>(1,641,800)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0" w:lineRule="exact"/>
              <w:rPr>
                <w:sz w:val="20"/>
                <w:szCs w:val="20"/>
                <w:color w:val="auto"/>
              </w:rPr>
            </w:pPr>
            <w:r>
              <w:rPr>
                <w:rFonts w:ascii="Arial" w:cs="Arial" w:eastAsia="Arial" w:hAnsi="Arial"/>
                <w:sz w:val="11"/>
                <w:szCs w:val="11"/>
                <w:color w:val="auto"/>
              </w:rPr>
              <w:t>365,188</w:t>
            </w:r>
          </w:p>
        </w:tc>
        <w:tc>
          <w:tcPr>
            <w:tcW w:w="18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178,980,820</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7</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2.6%</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4,579,888</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23</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3/4/2019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178,975,820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1.1%</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1,966,822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24</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3/5/2019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19,800</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(19,800)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178,975,820</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0.4%</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655,589</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25</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3/7/2019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178,972,820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0.7%</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1,311,178</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26</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3/11/2019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(15,000)</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178,957,820</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4</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1.5%</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2,622,312</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27</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3/22/2019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178,955,820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4.0%</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7,210,755</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28</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3/22/2019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200,000</w:t>
            </w:r>
          </w:p>
        </w:tc>
        <w:tc>
          <w:tcPr>
            <w:tcW w:w="140" w:type="dxa"/>
            <w:vAlign w:val="bottom"/>
          </w:tcPr>
          <w:p>
            <w:pPr>
              <w:spacing w:after="0"/>
              <w:rPr>
                <w:sz w:val="10"/>
                <w:szCs w:val="10"/>
                <w:color w:val="auto"/>
              </w:rPr>
            </w:pPr>
          </w:p>
        </w:tc>
        <w:tc>
          <w:tcPr>
            <w:tcW w:w="7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178,955,820</w:t>
            </w:r>
          </w:p>
        </w:tc>
        <w:tc>
          <w:tcPr>
            <w:tcW w:w="140" w:type="dxa"/>
            <w:vAlign w:val="bottom"/>
          </w:tcPr>
          <w:p>
            <w:pPr>
              <w:spacing w:after="0"/>
              <w:rPr>
                <w:sz w:val="10"/>
                <w:szCs w:val="10"/>
                <w:color w:val="auto"/>
              </w:rPr>
            </w:pPr>
          </w:p>
        </w:tc>
        <w:tc>
          <w:tcPr>
            <w:tcW w:w="360" w:type="dxa"/>
            <w:vAlign w:val="bottom"/>
            <w:gridSpan w:val="2"/>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29</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4/12/2019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RSUs granted</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557,950</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557,950</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179,513,770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7.7%</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w w:val="98"/>
              </w:rPr>
              <w:t>13,765,832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30</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4/12/2019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Options granted</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84,000</w:t>
            </w:r>
          </w:p>
        </w:tc>
        <w:tc>
          <w:tcPr>
            <w:tcW w:w="180" w:type="dxa"/>
            <w:vAlign w:val="bottom"/>
          </w:tcPr>
          <w:p>
            <w:pPr>
              <w:spacing w:after="0"/>
              <w:rPr>
                <w:sz w:val="10"/>
                <w:szCs w:val="10"/>
                <w:color w:val="auto"/>
              </w:rPr>
            </w:pPr>
          </w:p>
        </w:tc>
        <w:tc>
          <w:tcPr>
            <w:tcW w:w="66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20" w:lineRule="exact"/>
              <w:rPr>
                <w:sz w:val="20"/>
                <w:szCs w:val="20"/>
                <w:color w:val="auto"/>
              </w:rPr>
            </w:pPr>
            <w:r>
              <w:rPr>
                <w:rFonts w:ascii="Arial" w:cs="Arial" w:eastAsia="Arial" w:hAnsi="Arial"/>
                <w:sz w:val="11"/>
                <w:szCs w:val="11"/>
                <w:color w:val="auto"/>
              </w:rPr>
              <w:t>84,000</w:t>
            </w:r>
          </w:p>
        </w:tc>
        <w:tc>
          <w:tcPr>
            <w:tcW w:w="18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179,597,770</w:t>
            </w:r>
          </w:p>
        </w:tc>
        <w:tc>
          <w:tcPr>
            <w:tcW w:w="140" w:type="dxa"/>
            <w:vAlign w:val="bottom"/>
          </w:tcPr>
          <w:p>
            <w:pPr>
              <w:spacing w:after="0"/>
              <w:rPr>
                <w:sz w:val="10"/>
                <w:szCs w:val="10"/>
                <w:color w:val="auto"/>
              </w:rPr>
            </w:pPr>
          </w:p>
        </w:tc>
        <w:tc>
          <w:tcPr>
            <w:tcW w:w="360" w:type="dxa"/>
            <w:vAlign w:val="bottom"/>
            <w:gridSpan w:val="2"/>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31</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4/12/2019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Options granted</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218,964</w:t>
            </w:r>
          </w:p>
        </w:tc>
        <w:tc>
          <w:tcPr>
            <w:tcW w:w="1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218,964</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179,816,734</w:t>
            </w:r>
          </w:p>
        </w:tc>
        <w:tc>
          <w:tcPr>
            <w:tcW w:w="140" w:type="dxa"/>
            <w:vAlign w:val="bottom"/>
            <w:shd w:val="clear" w:color="auto" w:fill="CCEEFF"/>
          </w:tcPr>
          <w:p>
            <w:pPr>
              <w:spacing w:after="0"/>
              <w:rPr>
                <w:sz w:val="10"/>
                <w:szCs w:val="10"/>
                <w:color w:val="auto"/>
              </w:rPr>
            </w:pPr>
          </w:p>
        </w:tc>
        <w:tc>
          <w:tcPr>
            <w:tcW w:w="360" w:type="dxa"/>
            <w:vAlign w:val="bottom"/>
            <w:gridSpan w:val="2"/>
            <w:shd w:val="clear" w:color="auto" w:fill="CCEEFF"/>
          </w:tcPr>
          <w:p>
            <w:pPr>
              <w:ind w:left="80"/>
              <w:spacing w:after="0" w:line="120" w:lineRule="exact"/>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0.0%</w:t>
            </w:r>
          </w:p>
        </w:tc>
        <w:tc>
          <w:tcPr>
            <w:tcW w:w="6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32</w:t>
            </w:r>
          </w:p>
        </w:tc>
        <w:tc>
          <w:tcPr>
            <w:tcW w:w="76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4/15/2019</w:t>
            </w:r>
          </w:p>
        </w:tc>
        <w:tc>
          <w:tcPr>
            <w:tcW w:w="284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(33,000)</w:t>
            </w:r>
          </w:p>
        </w:tc>
        <w:tc>
          <w:tcPr>
            <w:tcW w:w="7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(33,000)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179,783,734</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3</w:t>
            </w:r>
          </w:p>
        </w:tc>
        <w:tc>
          <w:tcPr>
            <w:tcW w:w="120" w:type="dxa"/>
            <w:vAlign w:val="bottom"/>
          </w:tcPr>
          <w:p>
            <w:pPr>
              <w:spacing w:after="0"/>
              <w:rPr>
                <w:sz w:val="10"/>
                <w:szCs w:val="10"/>
                <w:color w:val="auto"/>
              </w:rPr>
            </w:pPr>
          </w:p>
        </w:tc>
        <w:tc>
          <w:tcPr>
            <w:tcW w:w="400" w:type="dxa"/>
            <w:vAlign w:val="bottom"/>
            <w:gridSpan w:val="2"/>
          </w:tcPr>
          <w:p>
            <w:pPr>
              <w:ind w:left="40"/>
              <w:spacing w:after="0" w:line="120" w:lineRule="exact"/>
              <w:rPr>
                <w:sz w:val="20"/>
                <w:szCs w:val="20"/>
                <w:color w:val="auto"/>
              </w:rPr>
            </w:pPr>
            <w:r>
              <w:rPr>
                <w:rFonts w:ascii="Arial" w:cs="Arial" w:eastAsia="Arial" w:hAnsi="Arial"/>
                <w:sz w:val="11"/>
                <w:szCs w:val="11"/>
                <w:color w:val="auto"/>
              </w:rPr>
              <w:t>1.1%</w:t>
            </w:r>
          </w:p>
        </w:tc>
        <w:tc>
          <w:tcPr>
            <w:tcW w:w="60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1,976,008</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33</w:t>
            </w:r>
          </w:p>
        </w:tc>
        <w:tc>
          <w:tcPr>
            <w:tcW w:w="76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4/19/2019</w:t>
            </w:r>
          </w:p>
        </w:tc>
        <w:tc>
          <w:tcPr>
            <w:tcW w:w="284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744,000</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(744,000)</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179,783,734</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0"/>
                <w:szCs w:val="10"/>
                <w:color w:val="auto"/>
              </w:rPr>
            </w:pPr>
          </w:p>
        </w:tc>
        <w:tc>
          <w:tcPr>
            <w:tcW w:w="400" w:type="dxa"/>
            <w:vAlign w:val="bottom"/>
            <w:gridSpan w:val="2"/>
            <w:shd w:val="clear" w:color="auto" w:fill="CCEEFF"/>
          </w:tcPr>
          <w:p>
            <w:pPr>
              <w:ind w:left="40"/>
              <w:spacing w:after="0" w:line="120" w:lineRule="exact"/>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2,634,194</w:t>
            </w:r>
          </w:p>
        </w:tc>
        <w:tc>
          <w:tcPr>
            <w:tcW w:w="0" w:type="dxa"/>
            <w:vAlign w:val="bottom"/>
          </w:tcPr>
          <w:p>
            <w:pPr>
              <w:spacing w:after="0"/>
              <w:rPr>
                <w:sz w:val="1"/>
                <w:szCs w:val="1"/>
                <w:color w:val="auto"/>
              </w:rPr>
            </w:pPr>
          </w:p>
        </w:tc>
      </w:tr>
      <w:tr>
        <w:trPr>
          <w:trHeight w:val="135"/>
        </w:trPr>
        <w:tc>
          <w:tcPr>
            <w:tcW w:w="220" w:type="dxa"/>
            <w:vAlign w:val="bottom"/>
          </w:tcPr>
          <w:p>
            <w:pPr>
              <w:jc w:val="center"/>
              <w:spacing w:after="0"/>
              <w:rPr>
                <w:sz w:val="20"/>
                <w:szCs w:val="20"/>
                <w:color w:val="auto"/>
              </w:rPr>
            </w:pPr>
            <w:r>
              <w:rPr>
                <w:rFonts w:ascii="Arial" w:cs="Arial" w:eastAsia="Arial" w:hAnsi="Arial"/>
                <w:sz w:val="11"/>
                <w:szCs w:val="11"/>
                <w:color w:val="auto"/>
                <w:w w:val="81"/>
              </w:rPr>
              <w:t>34</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4/26/2019</w:t>
            </w:r>
          </w:p>
        </w:tc>
        <w:tc>
          <w:tcPr>
            <w:tcW w:w="2840" w:type="dxa"/>
            <w:vAlign w:val="bottom"/>
            <w:gridSpan w:val="2"/>
          </w:tcPr>
          <w:p>
            <w:pPr>
              <w:spacing w:after="0"/>
              <w:rPr>
                <w:sz w:val="20"/>
                <w:szCs w:val="20"/>
                <w:color w:val="auto"/>
              </w:rPr>
            </w:pPr>
            <w:r>
              <w:rPr>
                <w:rFonts w:ascii="Arial" w:cs="Arial" w:eastAsia="Arial" w:hAnsi="Arial"/>
                <w:sz w:val="11"/>
                <w:szCs w:val="11"/>
                <w:color w:val="auto"/>
              </w:rPr>
              <w:t>RSUs granted</w:t>
            </w: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3,000</w:t>
            </w:r>
          </w:p>
        </w:tc>
        <w:tc>
          <w:tcPr>
            <w:tcW w:w="180" w:type="dxa"/>
            <w:vAlign w:val="bottom"/>
          </w:tcPr>
          <w:p>
            <w:pPr>
              <w:spacing w:after="0"/>
              <w:rPr>
                <w:sz w:val="11"/>
                <w:szCs w:val="11"/>
                <w:color w:val="auto"/>
              </w:rPr>
            </w:pPr>
          </w:p>
        </w:tc>
        <w:tc>
          <w:tcPr>
            <w:tcW w:w="7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3,000</w:t>
            </w:r>
          </w:p>
        </w:tc>
        <w:tc>
          <w:tcPr>
            <w:tcW w:w="1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4"/>
              </w:rPr>
              <w:t>179,786,734</w:t>
            </w:r>
          </w:p>
        </w:tc>
        <w:tc>
          <w:tcPr>
            <w:tcW w:w="14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400" w:type="dxa"/>
            <w:vAlign w:val="bottom"/>
            <w:gridSpan w:val="2"/>
          </w:tcPr>
          <w:p>
            <w:pPr>
              <w:ind w:left="40"/>
              <w:spacing w:after="0"/>
              <w:rPr>
                <w:sz w:val="20"/>
                <w:szCs w:val="20"/>
                <w:color w:val="auto"/>
              </w:rPr>
            </w:pPr>
            <w:r>
              <w:rPr>
                <w:rFonts w:ascii="Arial" w:cs="Arial" w:eastAsia="Arial" w:hAnsi="Arial"/>
                <w:sz w:val="11"/>
                <w:szCs w:val="11"/>
                <w:color w:val="auto"/>
              </w:rPr>
              <w:t>2.6%</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4,609,839</w:t>
            </w:r>
          </w:p>
        </w:tc>
        <w:tc>
          <w:tcPr>
            <w:tcW w:w="0" w:type="dxa"/>
            <w:vAlign w:val="bottom"/>
          </w:tcPr>
          <w:p>
            <w:pPr>
              <w:spacing w:after="0"/>
              <w:rPr>
                <w:sz w:val="1"/>
                <w:szCs w:val="1"/>
                <w:color w:val="auto"/>
              </w:rPr>
            </w:pPr>
          </w:p>
        </w:tc>
      </w:tr>
    </w:tbl>
    <w:p>
      <w:pPr>
        <w:sectPr>
          <w:pgSz w:w="11900" w:h="16838" w:orient="portrait"/>
          <w:cols w:equalWidth="0" w:num="1">
            <w:col w:w="10880"/>
          </w:cols>
          <w:pgMar w:left="500" w:top="419"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Line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Subordinate</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Multiple</w:t>
            </w:r>
          </w:p>
        </w:tc>
        <w:tc>
          <w:tcPr>
            <w:tcW w:w="7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Super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280"/>
              <w:spacing w:after="0" w:line="107" w:lineRule="exact"/>
              <w:rPr>
                <w:sz w:val="20"/>
                <w:szCs w:val="20"/>
                <w:color w:val="auto"/>
              </w:rPr>
            </w:pPr>
            <w:r>
              <w:rPr>
                <w:rFonts w:ascii="Arial" w:cs="Arial" w:eastAsia="Arial" w:hAnsi="Arial"/>
                <w:sz w:val="11"/>
                <w:szCs w:val="11"/>
                <w:b w:val="1"/>
                <w:bCs w:val="1"/>
                <w:color w:val="auto"/>
              </w:rPr>
              <w:t>Voting</w:t>
            </w:r>
          </w:p>
        </w:tc>
        <w:tc>
          <w:tcPr>
            <w:tcW w:w="700" w:type="dxa"/>
            <w:vAlign w:val="bottom"/>
            <w:gridSpan w:val="2"/>
          </w:tcPr>
          <w:p>
            <w:pPr>
              <w:jc w:val="right"/>
              <w:ind w:right="280"/>
              <w:spacing w:after="0" w:line="107" w:lineRule="exact"/>
              <w:rPr>
                <w:sz w:val="20"/>
                <w:szCs w:val="20"/>
                <w:color w:val="auto"/>
              </w:rPr>
            </w:pPr>
            <w:r>
              <w:rPr>
                <w:rFonts w:ascii="Arial" w:cs="Arial" w:eastAsia="Arial" w:hAnsi="Arial"/>
                <w:sz w:val="11"/>
                <w:szCs w:val="11"/>
                <w:b w:val="1"/>
                <w:bCs w:val="1"/>
                <w:color w:val="auto"/>
              </w:rPr>
              <w:t>Voting</w:t>
            </w:r>
          </w:p>
        </w:tc>
        <w:tc>
          <w:tcPr>
            <w:tcW w:w="700" w:type="dxa"/>
            <w:vAlign w:val="bottom"/>
            <w:gridSpan w:val="2"/>
          </w:tcPr>
          <w:p>
            <w:pPr>
              <w:jc w:val="right"/>
              <w:ind w:right="300"/>
              <w:spacing w:after="0" w:line="107" w:lineRule="exact"/>
              <w:rPr>
                <w:sz w:val="20"/>
                <w:szCs w:val="20"/>
                <w:color w:val="auto"/>
              </w:rPr>
            </w:pPr>
            <w:r>
              <w:rPr>
                <w:rFonts w:ascii="Arial" w:cs="Arial" w:eastAsia="Arial" w:hAnsi="Arial"/>
                <w:sz w:val="11"/>
                <w:szCs w:val="11"/>
                <w:b w:val="1"/>
                <w:bCs w:val="1"/>
                <w:color w:val="auto"/>
              </w:rPr>
              <w:t>Voting</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200"/>
              <w:spacing w:after="0" w:line="107" w:lineRule="exact"/>
              <w:rPr>
                <w:sz w:val="20"/>
                <w:szCs w:val="20"/>
                <w:color w:val="auto"/>
              </w:rPr>
            </w:pPr>
            <w:r>
              <w:rPr>
                <w:rFonts w:ascii="Arial" w:cs="Arial" w:eastAsia="Arial" w:hAnsi="Arial"/>
                <w:sz w:val="11"/>
                <w:szCs w:val="11"/>
                <w:b w:val="1"/>
                <w:bCs w:val="1"/>
                <w:color w:val="auto"/>
                <w:w w:val="83"/>
              </w:rPr>
              <w:t>Subscription</w:t>
            </w: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gridSpan w:val="2"/>
          </w:tcPr>
          <w:p>
            <w:pPr>
              <w:jc w:val="right"/>
              <w:ind w:right="120"/>
              <w:spacing w:after="0" w:line="107"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3"/>
        </w:trPr>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100" w:type="dxa"/>
            <w:vAlign w:val="bottom"/>
          </w:tcPr>
          <w:p>
            <w:pPr>
              <w:spacing w:after="0"/>
              <w:rPr>
                <w:sz w:val="11"/>
                <w:szCs w:val="11"/>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Date</w:t>
            </w:r>
          </w:p>
        </w:tc>
        <w:tc>
          <w:tcPr>
            <w:tcW w:w="2820" w:type="dxa"/>
            <w:vAlign w:val="bottom"/>
            <w:gridSpan w:val="2"/>
          </w:tcPr>
          <w:p>
            <w:pPr>
              <w:ind w:left="800"/>
              <w:spacing w:after="0"/>
              <w:rPr>
                <w:sz w:val="20"/>
                <w:szCs w:val="20"/>
                <w:color w:val="auto"/>
              </w:rPr>
            </w:pPr>
            <w:r>
              <w:rPr>
                <w:rFonts w:ascii="Arial" w:cs="Arial" w:eastAsia="Arial" w:hAnsi="Arial"/>
                <w:sz w:val="11"/>
                <w:szCs w:val="11"/>
                <w:b w:val="1"/>
                <w:bCs w:val="1"/>
                <w:color w:val="auto"/>
              </w:rPr>
              <w:t>Transaction Description</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6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1"/>
              </w:rPr>
              <w:t>Options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RSUs</w:t>
            </w:r>
          </w:p>
        </w:tc>
        <w:tc>
          <w:tcPr>
            <w:tcW w:w="7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Receipts</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Cumulative</w:t>
            </w:r>
          </w:p>
        </w:tc>
        <w:tc>
          <w:tcPr>
            <w:tcW w:w="240" w:type="dxa"/>
            <w:vAlign w:val="bottom"/>
          </w:tcPr>
          <w:p>
            <w:pPr>
              <w:jc w:val="right"/>
              <w:spacing w:after="0"/>
              <w:rPr>
                <w:sz w:val="20"/>
                <w:szCs w:val="20"/>
                <w:color w:val="auto"/>
              </w:rPr>
            </w:pPr>
            <w:r>
              <w:rPr>
                <w:rFonts w:ascii="Arial" w:cs="Arial" w:eastAsia="Arial" w:hAnsi="Arial"/>
                <w:sz w:val="11"/>
                <w:szCs w:val="11"/>
                <w:b w:val="1"/>
                <w:bCs w:val="1"/>
                <w:color w:val="auto"/>
                <w:w w:val="75"/>
              </w:rPr>
              <w:t>Days</w:t>
            </w: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20"/>
        </w:trPr>
        <w:tc>
          <w:tcPr>
            <w:tcW w:w="22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1"/>
              </w:rPr>
              <w:t>35</w:t>
            </w:r>
          </w:p>
        </w:tc>
        <w:tc>
          <w:tcPr>
            <w:tcW w:w="1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48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w w:val="93"/>
              </w:rPr>
              <w:t>4/26/2019</w:t>
            </w:r>
          </w:p>
        </w:tc>
        <w:tc>
          <w:tcPr>
            <w:tcW w:w="140" w:type="dxa"/>
            <w:vAlign w:val="bottom"/>
            <w:vMerge w:val="continue"/>
            <w:shd w:val="clear" w:color="auto" w:fill="CCEEFF"/>
          </w:tcPr>
          <w:p>
            <w:pPr>
              <w:spacing w:after="0"/>
              <w:rPr>
                <w:sz w:val="9"/>
                <w:szCs w:val="9"/>
                <w:color w:val="auto"/>
              </w:rPr>
            </w:pPr>
          </w:p>
        </w:tc>
        <w:tc>
          <w:tcPr>
            <w:tcW w:w="2720" w:type="dxa"/>
            <w:vAlign w:val="bottom"/>
            <w:shd w:val="clear" w:color="auto" w:fill="CCEEFF"/>
          </w:tcPr>
          <w:p>
            <w:pPr>
              <w:spacing w:after="0" w:line="107" w:lineRule="exact"/>
              <w:rPr>
                <w:sz w:val="20"/>
                <w:szCs w:val="20"/>
                <w:color w:val="auto"/>
              </w:rPr>
            </w:pPr>
            <w:r>
              <w:rPr>
                <w:rFonts w:ascii="Arial" w:cs="Arial" w:eastAsia="Arial" w:hAnsi="Arial"/>
                <w:sz w:val="11"/>
                <w:szCs w:val="11"/>
                <w:color w:val="auto"/>
              </w:rPr>
              <w:t>Options granted</w:t>
            </w:r>
          </w:p>
        </w:tc>
        <w:tc>
          <w:tcPr>
            <w:tcW w:w="100" w:type="dxa"/>
            <w:vAlign w:val="bottom"/>
            <w:vMerge w:val="continue"/>
            <w:shd w:val="clear" w:color="auto" w:fill="CCEEFF"/>
          </w:tcPr>
          <w:p>
            <w:pPr>
              <w:spacing w:after="0"/>
              <w:rPr>
                <w:sz w:val="9"/>
                <w:szCs w:val="9"/>
                <w:color w:val="auto"/>
              </w:rPr>
            </w:pPr>
          </w:p>
        </w:tc>
        <w:tc>
          <w:tcPr>
            <w:tcW w:w="580" w:type="dxa"/>
            <w:vAlign w:val="bottom"/>
            <w:shd w:val="clear" w:color="auto" w:fill="CCEEFF"/>
          </w:tcPr>
          <w:p>
            <w:pPr>
              <w:ind w:left="420"/>
              <w:spacing w:after="0" w:line="107" w:lineRule="exact"/>
              <w:rPr>
                <w:sz w:val="20"/>
                <w:szCs w:val="20"/>
                <w:color w:val="auto"/>
              </w:rPr>
            </w:pPr>
            <w:r>
              <w:rPr>
                <w:rFonts w:ascii="Arial" w:cs="Arial" w:eastAsia="Arial" w:hAnsi="Arial"/>
                <w:sz w:val="11"/>
                <w:szCs w:val="11"/>
                <w:color w:val="auto"/>
              </w:rPr>
              <w:t>—</w:t>
            </w:r>
          </w:p>
        </w:tc>
        <w:tc>
          <w:tcPr>
            <w:tcW w:w="140" w:type="dxa"/>
            <w:vAlign w:val="bottom"/>
            <w:vMerge w:val="continue"/>
            <w:shd w:val="clear" w:color="auto" w:fill="CCEEFF"/>
          </w:tcPr>
          <w:p>
            <w:pPr>
              <w:spacing w:after="0"/>
              <w:rPr>
                <w:sz w:val="9"/>
                <w:szCs w:val="9"/>
                <w:color w:val="auto"/>
              </w:rPr>
            </w:pPr>
          </w:p>
        </w:tc>
        <w:tc>
          <w:tcPr>
            <w:tcW w:w="52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w:t>
            </w:r>
          </w:p>
        </w:tc>
        <w:tc>
          <w:tcPr>
            <w:tcW w:w="180" w:type="dxa"/>
            <w:vAlign w:val="bottom"/>
            <w:vMerge w:val="continue"/>
            <w:shd w:val="clear" w:color="auto" w:fill="CCEEFF"/>
          </w:tcPr>
          <w:p>
            <w:pPr>
              <w:spacing w:after="0"/>
              <w:rPr>
                <w:sz w:val="9"/>
                <w:szCs w:val="9"/>
                <w:color w:val="auto"/>
              </w:rPr>
            </w:pPr>
          </w:p>
        </w:tc>
        <w:tc>
          <w:tcPr>
            <w:tcW w:w="520" w:type="dxa"/>
            <w:vAlign w:val="bottom"/>
            <w:shd w:val="clear" w:color="auto" w:fill="CCEEFF"/>
          </w:tcPr>
          <w:p>
            <w:pPr>
              <w:jc w:val="right"/>
              <w:ind w:right="7"/>
              <w:spacing w:after="0" w:line="107" w:lineRule="exact"/>
              <w:rPr>
                <w:sz w:val="20"/>
                <w:szCs w:val="20"/>
                <w:color w:val="auto"/>
              </w:rPr>
            </w:pPr>
            <w:r>
              <w:rPr>
                <w:rFonts w:ascii="Arial" w:cs="Arial" w:eastAsia="Arial" w:hAnsi="Arial"/>
                <w:sz w:val="11"/>
                <w:szCs w:val="11"/>
                <w:color w:val="auto"/>
              </w:rPr>
              <w:t>—</w:t>
            </w:r>
          </w:p>
        </w:tc>
        <w:tc>
          <w:tcPr>
            <w:tcW w:w="18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27,500</w:t>
            </w:r>
          </w:p>
        </w:tc>
        <w:tc>
          <w:tcPr>
            <w:tcW w:w="180" w:type="dxa"/>
            <w:vAlign w:val="bottom"/>
            <w:vMerge w:val="continue"/>
            <w:shd w:val="clear" w:color="auto" w:fill="CCEEFF"/>
          </w:tcPr>
          <w:p>
            <w:pPr>
              <w:spacing w:after="0"/>
              <w:rPr>
                <w:sz w:val="9"/>
                <w:szCs w:val="9"/>
                <w:color w:val="auto"/>
              </w:rPr>
            </w:pPr>
          </w:p>
        </w:tc>
        <w:tc>
          <w:tcPr>
            <w:tcW w:w="460" w:type="dxa"/>
            <w:vAlign w:val="bottom"/>
            <w:shd w:val="clear" w:color="auto" w:fill="CCEEFF"/>
          </w:tcPr>
          <w:p>
            <w:pPr>
              <w:jc w:val="right"/>
              <w:ind w:right="7"/>
              <w:spacing w:after="0" w:line="107" w:lineRule="exact"/>
              <w:rPr>
                <w:sz w:val="20"/>
                <w:szCs w:val="20"/>
                <w:color w:val="auto"/>
              </w:rPr>
            </w:pPr>
            <w:r>
              <w:rPr>
                <w:rFonts w:ascii="Arial" w:cs="Arial" w:eastAsia="Arial" w:hAnsi="Arial"/>
                <w:sz w:val="11"/>
                <w:szCs w:val="11"/>
                <w:color w:val="auto"/>
              </w:rPr>
              <w:t>—</w:t>
            </w:r>
          </w:p>
        </w:tc>
        <w:tc>
          <w:tcPr>
            <w:tcW w:w="180" w:type="dxa"/>
            <w:vAlign w:val="bottom"/>
            <w:vMerge w:val="continue"/>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rPr>
              <w:t>27,500</w:t>
            </w:r>
          </w:p>
        </w:tc>
        <w:tc>
          <w:tcPr>
            <w:tcW w:w="180" w:type="dxa"/>
            <w:vAlign w:val="bottom"/>
            <w:vMerge w:val="continue"/>
            <w:shd w:val="clear" w:color="auto" w:fill="CCEEFF"/>
          </w:tcPr>
          <w:p>
            <w:pPr>
              <w:spacing w:after="0"/>
              <w:rPr>
                <w:sz w:val="9"/>
                <w:szCs w:val="9"/>
                <w:color w:val="auto"/>
              </w:rPr>
            </w:pPr>
          </w:p>
        </w:tc>
        <w:tc>
          <w:tcPr>
            <w:tcW w:w="600" w:type="dxa"/>
            <w:vAlign w:val="bottom"/>
            <w:shd w:val="clear" w:color="auto" w:fill="CCEEFF"/>
          </w:tcPr>
          <w:p>
            <w:pPr>
              <w:jc w:val="right"/>
              <w:spacing w:after="0" w:line="107" w:lineRule="exact"/>
              <w:rPr>
                <w:sz w:val="20"/>
                <w:szCs w:val="20"/>
                <w:color w:val="auto"/>
              </w:rPr>
            </w:pPr>
            <w:r>
              <w:rPr>
                <w:rFonts w:ascii="Arial" w:cs="Arial" w:eastAsia="Arial" w:hAnsi="Arial"/>
                <w:sz w:val="11"/>
                <w:szCs w:val="11"/>
                <w:color w:val="auto"/>
                <w:w w:val="94"/>
              </w:rPr>
              <w:t>179,814,234</w:t>
            </w:r>
          </w:p>
        </w:tc>
        <w:tc>
          <w:tcPr>
            <w:tcW w:w="1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jc w:val="right"/>
              <w:ind w:right="7"/>
              <w:spacing w:after="0" w:line="107" w:lineRule="exact"/>
              <w:rPr>
                <w:sz w:val="20"/>
                <w:szCs w:val="20"/>
                <w:color w:val="auto"/>
              </w:rPr>
            </w:pPr>
            <w:r>
              <w:rPr>
                <w:rFonts w:ascii="Arial" w:cs="Arial" w:eastAsia="Arial" w:hAnsi="Arial"/>
                <w:sz w:val="11"/>
                <w:szCs w:val="11"/>
                <w:color w:val="auto"/>
              </w:rPr>
              <w:t>—</w:t>
            </w:r>
          </w:p>
        </w:tc>
        <w:tc>
          <w:tcPr>
            <w:tcW w:w="120" w:type="dxa"/>
            <w:vAlign w:val="bottom"/>
            <w:vMerge w:val="continue"/>
            <w:shd w:val="clear" w:color="auto" w:fill="CCEEFF"/>
          </w:tcPr>
          <w:p>
            <w:pPr>
              <w:spacing w:after="0"/>
              <w:rPr>
                <w:sz w:val="9"/>
                <w:szCs w:val="9"/>
                <w:color w:val="auto"/>
              </w:rPr>
            </w:pPr>
          </w:p>
        </w:tc>
        <w:tc>
          <w:tcPr>
            <w:tcW w:w="440" w:type="dxa"/>
            <w:vAlign w:val="bottom"/>
            <w:gridSpan w:val="2"/>
            <w:shd w:val="clear" w:color="auto" w:fill="CCEEFF"/>
          </w:tcPr>
          <w:p>
            <w:pPr>
              <w:jc w:val="right"/>
              <w:ind w:right="140"/>
              <w:spacing w:after="0" w:line="107" w:lineRule="exact"/>
              <w:rPr>
                <w:sz w:val="20"/>
                <w:szCs w:val="20"/>
                <w:color w:val="auto"/>
              </w:rPr>
            </w:pPr>
            <w:r>
              <w:rPr>
                <w:rFonts w:ascii="Arial" w:cs="Arial" w:eastAsia="Arial" w:hAnsi="Arial"/>
                <w:sz w:val="11"/>
                <w:szCs w:val="11"/>
                <w:color w:val="auto"/>
              </w:rPr>
              <w:t>0.0%</w:t>
            </w:r>
          </w:p>
        </w:tc>
        <w:tc>
          <w:tcPr>
            <w:tcW w:w="600" w:type="dxa"/>
            <w:vAlign w:val="bottom"/>
            <w:shd w:val="clear" w:color="auto" w:fill="CCEEFF"/>
          </w:tcPr>
          <w:p>
            <w:pPr>
              <w:ind w:left="440"/>
              <w:spacing w:after="0" w:line="107" w:lineRule="exact"/>
              <w:rPr>
                <w:sz w:val="20"/>
                <w:szCs w:val="20"/>
                <w:color w:val="auto"/>
              </w:rPr>
            </w:pPr>
            <w:r>
              <w:rPr>
                <w:rFonts w:ascii="Arial" w:cs="Arial" w:eastAsia="Arial" w:hAnsi="Arial"/>
                <w:sz w:val="11"/>
                <w:szCs w:val="11"/>
                <w:color w:val="auto"/>
              </w:rPr>
              <w:t>—</w:t>
            </w:r>
          </w:p>
        </w:tc>
        <w:tc>
          <w:tcPr>
            <w:tcW w:w="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36</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5/1/2019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357,143</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357,143</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180,171,377</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5</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3,293,301</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37</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5/6/2019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180,169,377</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5</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1.8%</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3,299,842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38</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5/8/2019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496,000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(496,000)</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180,169,377</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2</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0.7%</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1,319,922</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39</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5/9/2019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Super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800,000</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(800,000)</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180,169,377</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659,961</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40</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5/9/2019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(152,000)</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(152,000)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180,017,377</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41</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5/10/2019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180,014,377</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659,404</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42</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5/15/2019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915,254</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10,000</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925,254</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180,939,631</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5</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3,296,967</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43</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5/19/2019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(1,000)</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180,938,631</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2,651,130</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44</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5/22/2019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19,875</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19,875</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180,958,506</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1,988,337</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45</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5/22/2019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Options Granted</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w w:val="89"/>
              </w:rPr>
              <w:t>1,822,771</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1,822,771</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182,781,277</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46</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5/24/2019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(250,000)</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(250,000)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182,531,277</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2</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0.7%</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1,339,057</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47</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5/31/2019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764,244</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764,244</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183,295,521</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2.6%</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4,680,289</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48</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6/4/2019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23,759,470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(2,123,000)</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21,636,470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204,931,991</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2,685,649</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49</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6/7/2019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1,233,014</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1,233,014</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206,165,005</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2,252,000</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50</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6/7/2019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206,163,005</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51</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6/21/2019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412,744</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412,744</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206,575,749</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14</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5.1%</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10,572,462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52</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6/27/2019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1,710,000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1,710,000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208,285,749</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6</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2.2%</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4,540,126</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53</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6/28/2019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300,000</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(300,000)</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208,285,749</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762,951</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54</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6/28/2019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and Super to Subordinate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1,129,600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(455,000)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(674,600)</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208,285,749</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55</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6/29/2019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 Vestings</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(912,950)</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(912,950)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207,372,799</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762,951</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56</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6/30/2019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RSUs granted</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267,135</w:t>
            </w:r>
          </w:p>
        </w:tc>
        <w:tc>
          <w:tcPr>
            <w:tcW w:w="180" w:type="dxa"/>
            <w:vAlign w:val="bottom"/>
          </w:tcPr>
          <w:p>
            <w:pPr>
              <w:spacing w:after="0"/>
              <w:rPr>
                <w:sz w:val="10"/>
                <w:szCs w:val="10"/>
                <w:color w:val="auto"/>
              </w:rPr>
            </w:pP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267,135</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207,639,934</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759,607</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57</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6/30/2019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Options granted</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12,500</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12,500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207,652,434</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58</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6/30/2019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Subscription Receipts Issued</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rPr>
              <w:t>671,317</w:t>
            </w:r>
          </w:p>
        </w:tc>
        <w:tc>
          <w:tcPr>
            <w:tcW w:w="18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671,317</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208,323,751</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59</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7/1/2019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Options granted, RSU Forfeitures</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6,000</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(57,597)</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(51,597)</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208,272,154</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763,091</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60</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7/2/2019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RSU Vestings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(35,966)</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(35,966)</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208,236,188</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762,902</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61</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7/2/2019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Super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500,000</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(500,000)</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208,236,188</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62</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7/2/2019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RSU Vestings</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667,000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667,000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208,903,188</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63</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7/3/2019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 Vestings</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27,000</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27,000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208,930,188</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765,213</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64</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7/3/2019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208,925,188</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65</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7/9/2019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4,991,200</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w w:val="95"/>
              </w:rPr>
              <w:t>(4,743,700)</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(247,500)</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208,925,188</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6</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2.2%</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4,591,762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66</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7/9/2019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4,720,000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5"/>
              </w:rPr>
              <w:t>(4,720,000)</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208,925,188</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67</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7/10/2019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 Vestings</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311,500</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(75,500)</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236,000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209,161,188</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765,294</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68</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7/12/2019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(3,500)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209,157,688</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2</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0.7%</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1,532,316</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69</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7/15/2019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209,152,688</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2,298,436</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70</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7/18/2019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1,561,800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w w:val="95"/>
              </w:rPr>
              <w:t>(1,561,800)</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209,152,688</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2,298,381</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71</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7/22/2019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(7,500)</w:t>
            </w:r>
          </w:p>
        </w:tc>
        <w:tc>
          <w:tcPr>
            <w:tcW w:w="6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(7,500)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209,145,188</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3,064,508</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72</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7/23/2019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477,700</w:t>
            </w:r>
          </w:p>
        </w:tc>
        <w:tc>
          <w:tcPr>
            <w:tcW w:w="70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(477,700)</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209,145,188</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766,100</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73</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7/26/2019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RSUs and Options granted</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949,406</w:t>
            </w: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82,500</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1,031,906</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210,177,094</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2,298,299</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74</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8/2/2019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(15,000)</w:t>
            </w:r>
          </w:p>
        </w:tc>
        <w:tc>
          <w:tcPr>
            <w:tcW w:w="6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(15,000)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210,162,094</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7</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2.6%</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5,389,156</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75</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8/12/2019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492,979</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rPr>
              <w:t>492,979</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210,655,073</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10</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3.7%</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7,698,245</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76</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8/16/2019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210,650,073</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3,086,521</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77</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8/20/2019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(10,000)</w:t>
            </w: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(10,000)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210,640,073</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3,086,448</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78</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8/23/2019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2,508,603</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2,508,603</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213,148,676</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2,314,726</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79</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8/30/2019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shd w:val="clear" w:color="auto" w:fill="CCEEFF"/>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(6,000)</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(8,000)</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213,140,676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7</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2.6%</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5,465,351</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80</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8/30/2019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RSUs/Options granted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75,000</w:t>
            </w: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50,000</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125,000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213,265,676</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81</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8/31/2019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447,545</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(447,545)</w:t>
            </w: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213,265,676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781,193</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82</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8/31/2019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(50,000)</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(50,000)</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(100,000)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213,165,676</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83</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9/4/2019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248,000</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(248,000)</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213,165,676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3,123,307</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84</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9/4/2019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Share Issuance</w:t>
            </w:r>
          </w:p>
        </w:tc>
        <w:tc>
          <w:tcPr>
            <w:tcW w:w="72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50,000</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50,000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213,215,676</w:t>
            </w:r>
          </w:p>
        </w:tc>
        <w:tc>
          <w:tcPr>
            <w:tcW w:w="140" w:type="dxa"/>
            <w:vAlign w:val="bottom"/>
          </w:tcPr>
          <w:p>
            <w:pPr>
              <w:spacing w:after="0"/>
              <w:rPr>
                <w:sz w:val="10"/>
                <w:szCs w:val="10"/>
                <w:color w:val="auto"/>
              </w:rPr>
            </w:pPr>
          </w:p>
        </w:tc>
        <w:tc>
          <w:tcPr>
            <w:tcW w:w="240" w:type="dxa"/>
            <w:vAlign w:val="bottom"/>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85</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9/5/2019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372,000</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(372,000)</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213,215,676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781,010</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86</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9/10/2019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213,213,676</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5</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3,905,049</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87</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9/19/2019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 Vestings</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60,587</w:t>
            </w:r>
          </w:p>
        </w:tc>
        <w:tc>
          <w:tcPr>
            <w:tcW w:w="7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(125,000)</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(64,413)</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213,149,263</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9</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3.3%</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7,029,022</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88</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9/22/2019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720" w:type="dxa"/>
            <w:vAlign w:val="bottom"/>
            <w:gridSpan w:val="2"/>
          </w:tcPr>
          <w:p>
            <w:pPr>
              <w:ind w:left="420"/>
              <w:spacing w:after="0" w:line="120"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(2,000)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213,147,263</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2,342,300</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89</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9/26/2019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Conversion from Multiple to Subordinate</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rPr>
              <w:t>23,000</w:t>
            </w:r>
          </w:p>
        </w:tc>
        <w:tc>
          <w:tcPr>
            <w:tcW w:w="7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(23,000)</w:t>
            </w: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213,147,263</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1.5%</w:t>
            </w:r>
          </w:p>
        </w:tc>
        <w:tc>
          <w:tcPr>
            <w:tcW w:w="640" w:type="dxa"/>
            <w:vAlign w:val="bottom"/>
            <w:gridSpan w:val="2"/>
            <w:shd w:val="clear" w:color="auto" w:fill="CCEEFF"/>
          </w:tcPr>
          <w:p>
            <w:pPr>
              <w:jc w:val="right"/>
              <w:ind w:right="40"/>
              <w:spacing w:after="0" w:line="120" w:lineRule="exact"/>
              <w:rPr>
                <w:sz w:val="20"/>
                <w:szCs w:val="20"/>
                <w:color w:val="auto"/>
              </w:rPr>
            </w:pPr>
            <w:r>
              <w:rPr>
                <w:rFonts w:ascii="Arial" w:cs="Arial" w:eastAsia="Arial" w:hAnsi="Arial"/>
                <w:sz w:val="11"/>
                <w:szCs w:val="11"/>
                <w:color w:val="auto"/>
              </w:rPr>
              <w:t>3,123,037</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90</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9/27/2019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RSUs/Options granted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977,000</w:t>
            </w: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12,224</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80"/>
              <w:spacing w:after="0" w:line="120" w:lineRule="exact"/>
              <w:rPr>
                <w:sz w:val="20"/>
                <w:szCs w:val="20"/>
                <w:color w:val="auto"/>
              </w:rPr>
            </w:pPr>
            <w:r>
              <w:rPr>
                <w:rFonts w:ascii="Arial" w:cs="Arial" w:eastAsia="Arial" w:hAnsi="Arial"/>
                <w:sz w:val="11"/>
                <w:szCs w:val="11"/>
                <w:color w:val="auto"/>
              </w:rPr>
              <w:t>989,224</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214,136,487</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1</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0.4%</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780,759</w:t>
            </w:r>
          </w:p>
        </w:tc>
        <w:tc>
          <w:tcPr>
            <w:tcW w:w="0" w:type="dxa"/>
            <w:vAlign w:val="bottom"/>
          </w:tcPr>
          <w:p>
            <w:pPr>
              <w:spacing w:after="0"/>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91</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9/27/2019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RSUs/Options Vesting</w:t>
            </w: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(12,224)</w:t>
            </w: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(12,224)</w:t>
            </w: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4"/>
              </w:rPr>
              <w:t>214,124,263</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0"/>
        </w:trPr>
        <w:tc>
          <w:tcPr>
            <w:tcW w:w="220" w:type="dxa"/>
            <w:vAlign w:val="bottom"/>
          </w:tcPr>
          <w:p>
            <w:pPr>
              <w:jc w:val="center"/>
              <w:spacing w:after="0" w:line="120" w:lineRule="exact"/>
              <w:rPr>
                <w:sz w:val="20"/>
                <w:szCs w:val="20"/>
                <w:color w:val="auto"/>
              </w:rPr>
            </w:pPr>
            <w:r>
              <w:rPr>
                <w:rFonts w:ascii="Arial" w:cs="Arial" w:eastAsia="Arial" w:hAnsi="Arial"/>
                <w:sz w:val="11"/>
                <w:szCs w:val="11"/>
                <w:color w:val="auto"/>
                <w:w w:val="81"/>
              </w:rPr>
              <w:t>92</w:t>
            </w:r>
          </w:p>
        </w:tc>
        <w:tc>
          <w:tcPr>
            <w:tcW w:w="72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9/30/2019</w:t>
            </w:r>
          </w:p>
        </w:tc>
        <w:tc>
          <w:tcPr>
            <w:tcW w:w="2820" w:type="dxa"/>
            <w:vAlign w:val="bottom"/>
            <w:gridSpan w:val="2"/>
          </w:tcPr>
          <w:p>
            <w:pPr>
              <w:spacing w:after="0" w:line="120" w:lineRule="exact"/>
              <w:rPr>
                <w:sz w:val="20"/>
                <w:szCs w:val="20"/>
                <w:color w:val="auto"/>
              </w:rPr>
            </w:pPr>
            <w:r>
              <w:rPr>
                <w:rFonts w:ascii="Arial" w:cs="Arial" w:eastAsia="Arial" w:hAnsi="Arial"/>
                <w:sz w:val="11"/>
                <w:szCs w:val="11"/>
                <w:color w:val="auto"/>
              </w:rPr>
              <w:t>Forfeitures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(50,000)</w:t>
            </w:r>
          </w:p>
        </w:tc>
        <w:tc>
          <w:tcPr>
            <w:tcW w:w="64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(13,000)</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(63,000)</w:t>
            </w:r>
          </w:p>
        </w:tc>
        <w:tc>
          <w:tcPr>
            <w:tcW w:w="600" w:type="dxa"/>
            <w:vAlign w:val="bottom"/>
          </w:tcPr>
          <w:p>
            <w:pPr>
              <w:jc w:val="right"/>
              <w:spacing w:after="0" w:line="120" w:lineRule="exact"/>
              <w:rPr>
                <w:sz w:val="20"/>
                <w:szCs w:val="20"/>
                <w:color w:val="auto"/>
              </w:rPr>
            </w:pPr>
            <w:r>
              <w:rPr>
                <w:rFonts w:ascii="Arial" w:cs="Arial" w:eastAsia="Arial" w:hAnsi="Arial"/>
                <w:sz w:val="11"/>
                <w:szCs w:val="11"/>
                <w:color w:val="auto"/>
                <w:w w:val="94"/>
              </w:rPr>
              <w:t>214,061,263</w:t>
            </w:r>
          </w:p>
        </w:tc>
        <w:tc>
          <w:tcPr>
            <w:tcW w:w="140" w:type="dxa"/>
            <w:vAlign w:val="bottom"/>
          </w:tcPr>
          <w:p>
            <w:pPr>
              <w:spacing w:after="0"/>
              <w:rPr>
                <w:sz w:val="10"/>
                <w:szCs w:val="10"/>
                <w:color w:val="auto"/>
              </w:rPr>
            </w:pPr>
          </w:p>
        </w:tc>
        <w:tc>
          <w:tcPr>
            <w:tcW w:w="240" w:type="dxa"/>
            <w:vAlign w:val="bottom"/>
          </w:tcPr>
          <w:p>
            <w:pPr>
              <w:jc w:val="right"/>
              <w:spacing w:after="0" w:line="120" w:lineRule="exact"/>
              <w:rPr>
                <w:sz w:val="20"/>
                <w:szCs w:val="20"/>
                <w:color w:val="auto"/>
              </w:rPr>
            </w:pPr>
            <w:r>
              <w:rPr>
                <w:rFonts w:ascii="Arial" w:cs="Arial" w:eastAsia="Arial" w:hAnsi="Arial"/>
                <w:sz w:val="11"/>
                <w:szCs w:val="11"/>
                <w:color w:val="auto"/>
              </w:rPr>
              <w:t>3</w:t>
            </w:r>
          </w:p>
        </w:tc>
        <w:tc>
          <w:tcPr>
            <w:tcW w:w="56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1.1%</w:t>
            </w:r>
          </w:p>
        </w:tc>
        <w:tc>
          <w:tcPr>
            <w:tcW w:w="640" w:type="dxa"/>
            <w:vAlign w:val="bottom"/>
            <w:gridSpan w:val="2"/>
          </w:tcPr>
          <w:p>
            <w:pPr>
              <w:jc w:val="right"/>
              <w:ind w:right="40"/>
              <w:spacing w:after="0" w:line="120" w:lineRule="exact"/>
              <w:rPr>
                <w:sz w:val="20"/>
                <w:szCs w:val="20"/>
                <w:color w:val="auto"/>
              </w:rPr>
            </w:pPr>
            <w:r>
              <w:rPr>
                <w:rFonts w:ascii="Arial" w:cs="Arial" w:eastAsia="Arial" w:hAnsi="Arial"/>
                <w:sz w:val="11"/>
                <w:szCs w:val="11"/>
                <w:color w:val="auto"/>
              </w:rPr>
              <w:t>2,353,014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20" w:type="dxa"/>
            <w:vAlign w:val="bottom"/>
            <w:shd w:val="clear" w:color="auto" w:fill="CCEEFF"/>
          </w:tcPr>
          <w:p>
            <w:pPr>
              <w:jc w:val="center"/>
              <w:spacing w:after="0" w:line="120" w:lineRule="exact"/>
              <w:rPr>
                <w:sz w:val="20"/>
                <w:szCs w:val="20"/>
                <w:color w:val="auto"/>
              </w:rPr>
            </w:pPr>
            <w:r>
              <w:rPr>
                <w:rFonts w:ascii="Arial" w:cs="Arial" w:eastAsia="Arial" w:hAnsi="Arial"/>
                <w:sz w:val="11"/>
                <w:szCs w:val="11"/>
                <w:color w:val="auto"/>
                <w:w w:val="81"/>
              </w:rPr>
              <w:t>93</w:t>
            </w:r>
          </w:p>
        </w:tc>
        <w:tc>
          <w:tcPr>
            <w:tcW w:w="72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9/30/2019</w:t>
            </w:r>
          </w:p>
        </w:tc>
        <w:tc>
          <w:tcPr>
            <w:tcW w:w="282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Ending</w:t>
            </w:r>
          </w:p>
        </w:tc>
        <w:tc>
          <w:tcPr>
            <w:tcW w:w="7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1"/>
                <w:szCs w:val="11"/>
                <w:color w:val="auto"/>
                <w:w w:val="94"/>
              </w:rPr>
              <w:t>127,150,672</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90"/>
              </w:rPr>
              <w:t>37,681,100</w:t>
            </w: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w w:val="90"/>
              </w:rPr>
              <w:t>40,228,900</w:t>
            </w:r>
          </w:p>
        </w:tc>
        <w:tc>
          <w:tcPr>
            <w:tcW w:w="64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w w:val="89"/>
              </w:rPr>
              <w:t>6,031,833</w:t>
            </w:r>
          </w:p>
        </w:tc>
        <w:tc>
          <w:tcPr>
            <w:tcW w:w="4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w w:val="89"/>
              </w:rPr>
              <w:t>1,479,038</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1,489,720</w:t>
            </w:r>
          </w:p>
        </w:tc>
        <w:tc>
          <w:tcPr>
            <w:tcW w:w="1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1"/>
                <w:szCs w:val="11"/>
                <w:color w:val="auto"/>
                <w:w w:val="91"/>
              </w:rPr>
              <w:t>214,061,263</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7"/>
              <w:spacing w:after="0" w:line="120"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140"/>
              <w:spacing w:after="0" w:line="120" w:lineRule="exact"/>
              <w:rPr>
                <w:sz w:val="20"/>
                <w:szCs w:val="20"/>
                <w:color w:val="auto"/>
              </w:rPr>
            </w:pPr>
            <w:r>
              <w:rPr>
                <w:rFonts w:ascii="Arial" w:cs="Arial" w:eastAsia="Arial" w:hAnsi="Arial"/>
                <w:sz w:val="11"/>
                <w:szCs w:val="11"/>
                <w:color w:val="auto"/>
              </w:rPr>
              <w:t>0.0%</w:t>
            </w:r>
          </w:p>
        </w:tc>
        <w:tc>
          <w:tcPr>
            <w:tcW w:w="640" w:type="dxa"/>
            <w:vAlign w:val="bottom"/>
            <w:gridSpan w:val="2"/>
            <w:shd w:val="clear" w:color="auto" w:fill="CCEEFF"/>
          </w:tcPr>
          <w:p>
            <w:pPr>
              <w:ind w:left="440"/>
              <w:spacing w:after="0" w:line="120"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ind w:left="420"/>
              <w:spacing w:after="0" w:line="114"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40"/>
              <w:spacing w:after="0" w:line="114"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40"/>
              <w:spacing w:after="0" w:line="114"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20"/>
              <w:spacing w:after="0" w:line="114" w:lineRule="exact"/>
              <w:rPr>
                <w:sz w:val="20"/>
                <w:szCs w:val="20"/>
                <w:color w:val="auto"/>
              </w:rPr>
            </w:pPr>
            <w:r>
              <w:rPr>
                <w:rFonts w:ascii="Arial" w:cs="Arial" w:eastAsia="Arial" w:hAnsi="Arial"/>
                <w:sz w:val="11"/>
                <w:szCs w:val="11"/>
                <w:color w:val="auto"/>
              </w:rPr>
              <w:t>—</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jc w:val="right"/>
              <w:spacing w:after="0" w:line="114" w:lineRule="exact"/>
              <w:rPr>
                <w:sz w:val="20"/>
                <w:szCs w:val="20"/>
                <w:color w:val="auto"/>
              </w:rPr>
            </w:pPr>
            <w:r>
              <w:rPr>
                <w:rFonts w:ascii="Arial" w:cs="Arial" w:eastAsia="Arial" w:hAnsi="Arial"/>
                <w:sz w:val="11"/>
                <w:szCs w:val="11"/>
                <w:color w:val="auto"/>
              </w:rPr>
              <w:t>273</w:t>
            </w:r>
          </w:p>
        </w:tc>
        <w:tc>
          <w:tcPr>
            <w:tcW w:w="560" w:type="dxa"/>
            <w:vAlign w:val="bottom"/>
            <w:gridSpan w:val="3"/>
          </w:tcPr>
          <w:p>
            <w:pPr>
              <w:jc w:val="right"/>
              <w:ind w:right="140"/>
              <w:spacing w:after="0" w:line="114" w:lineRule="exact"/>
              <w:rPr>
                <w:sz w:val="20"/>
                <w:szCs w:val="20"/>
                <w:color w:val="auto"/>
              </w:rPr>
            </w:pPr>
            <w:r>
              <w:rPr>
                <w:rFonts w:ascii="Arial" w:cs="Arial" w:eastAsia="Arial" w:hAnsi="Arial"/>
                <w:sz w:val="11"/>
                <w:szCs w:val="11"/>
                <w:color w:val="auto"/>
              </w:rPr>
              <w:t>100%</w:t>
            </w:r>
          </w:p>
        </w:tc>
        <w:tc>
          <w:tcPr>
            <w:tcW w:w="640" w:type="dxa"/>
            <w:vAlign w:val="bottom"/>
            <w:gridSpan w:val="2"/>
          </w:tcPr>
          <w:p>
            <w:pPr>
              <w:jc w:val="right"/>
              <w:ind w:right="40"/>
              <w:spacing w:after="0" w:line="114" w:lineRule="exact"/>
              <w:rPr>
                <w:sz w:val="20"/>
                <w:szCs w:val="20"/>
                <w:color w:val="auto"/>
              </w:rPr>
            </w:pPr>
            <w:r>
              <w:rPr>
                <w:rFonts w:ascii="Arial" w:cs="Arial" w:eastAsia="Arial" w:hAnsi="Arial"/>
                <w:sz w:val="11"/>
                <w:szCs w:val="11"/>
                <w:color w:val="auto"/>
                <w:w w:val="94"/>
              </w:rPr>
              <w:t>190,126,766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Regarding the nine months ended September 30, 2019, we advise the Staff that we used a similar methodology to 2018.</w:t>
      </w:r>
    </w:p>
    <w:p>
      <w:pPr>
        <w:sectPr>
          <w:pgSz w:w="11900" w:h="16838" w:orient="portrait"/>
          <w:cols w:equalWidth="0" w:num="1">
            <w:col w:w="10880"/>
          </w:cols>
          <w:pgMar w:left="500" w:top="419"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Changes in Shareholders’ Equity, page F-4</w:t>
      </w:r>
    </w:p>
    <w:p>
      <w:pPr>
        <w:spacing w:after="0" w:line="127" w:lineRule="exact"/>
        <w:rPr>
          <w:sz w:val="20"/>
          <w:szCs w:val="20"/>
          <w:color w:val="auto"/>
        </w:rPr>
      </w:pPr>
    </w:p>
    <w:p>
      <w:pPr>
        <w:ind w:left="960" w:right="120" w:hanging="533"/>
        <w:spacing w:after="0" w:line="274" w:lineRule="auto"/>
        <w:tabs>
          <w:tab w:leader="none" w:pos="96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With respect to your non-controlling interest, please tell us why the non-controlling interest received a $27.8 million allocation of net income in 2018. Also, tell us the nature of the contribution from limited liability company unit holders of $17,297,494, non-controlling interest adjustment for change in ownership of $(10,439,741), and distribution to limited liability company unit holders of $(14,821,657). Provide us calculations of the amounts where necessary for an understanding of the nature of the item.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16</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response to the Staff’s question regarding the changes in noncontrolling interest during 2018, the Company notes that the primary driver of those changes relate to the activities associated with a consolidated subsidiary of the Company in relation to a loan provided to iAnthus Capital Holdings, Inc. (“</w:t>
      </w:r>
      <w:r>
        <w:rPr>
          <w:rFonts w:ascii="Arial" w:cs="Arial" w:eastAsia="Arial" w:hAnsi="Arial"/>
          <w:sz w:val="18"/>
          <w:szCs w:val="18"/>
          <w:i w:val="1"/>
          <w:iCs w:val="1"/>
          <w:color w:val="auto"/>
        </w:rPr>
        <w:t>iAnthus</w:t>
      </w:r>
      <w:r>
        <w:rPr>
          <w:rFonts w:ascii="Arial" w:cs="Arial" w:eastAsia="Arial" w:hAnsi="Arial"/>
          <w:sz w:val="18"/>
          <w:szCs w:val="18"/>
          <w:color w:val="auto"/>
        </w:rPr>
        <w:t>”) as discussed in Footnote 11 on page F-29.</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During January 2018, noncontrolling interest members contributed $14,420,000 to the Company’s subsidiary, while the Company contributed</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$5,580,000 for a total contribution of $20,000,000. This $20,000,000 in contributions were used to provide a $20,000,000 Bridge Loan to iAnthus (a third party foreign private registrant). As part of the loan, iAnthus issued to the Company’s subsidiary 10,036,130 warrants with an exercise price of $1.9928 per iAnthus common share. Such warrants were determined to have no value at the time they were granted given the financial uncertainty of iAnthus. In May 2018, iAnthus completed a capital raise and repaid the $20,000,000 loan with accrued interest. Given the completion of the capital raise, management determined that the warrants did in fact have value and, using a Black-Scholes Valuation model, calculated the value of the warrants to be $34,558,000 as of September 30, 2018. As a result, the Company recorded a fair value adjustment of $34,558,000 and allocated $26,714,111 to the noncontrolling interest members in proportion to their ownership interest. Subsequent to the repayment of the iAnthus loan, the Company’s subsidiary re-distributed the $14,420,000 cash originally provided by the noncontrolling interest holders along with their respective warrants. Other amounts which were individually insignificant were contributed by other noncontrolling interest members or disbursed by the Company make up the difference in the amounts included within the Consolidated Statement of Changes in Owners’ Equity. Such amounts were contributed by noncontrolling interest members or disbursed by GTI in various unrelated transactions.</w:t>
      </w:r>
    </w:p>
    <w:p>
      <w:pPr>
        <w:spacing w:after="0" w:line="184"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In response to the Staff’s question regarding the changes in ownership of noncontrolling interests, the Company advises the Staff that the amount of $10,439,741 primarily reflects the reduction in noncontrolling interest holders’ equity for each of the following subsidiaries of the Company: GTI-PA, GTI-NV and JB17, LLC. The changes in ownership are discussed further in Footnote 13 (e) on pages F-33 and F-34.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 Reverse Takeover Transaction, page F-18</w:t>
      </w:r>
    </w:p>
    <w:p>
      <w:pPr>
        <w:spacing w:after="0" w:line="127" w:lineRule="exact"/>
        <w:rPr>
          <w:sz w:val="20"/>
          <w:szCs w:val="20"/>
          <w:color w:val="auto"/>
        </w:rPr>
      </w:pPr>
    </w:p>
    <w:p>
      <w:pPr>
        <w:ind w:left="960" w:right="80" w:hanging="533"/>
        <w:spacing w:after="0" w:line="306" w:lineRule="auto"/>
        <w:tabs>
          <w:tab w:leader="none" w:pos="9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Please explain to us your accounting for the Transaction. Include an explanation of the Canadian three-cornered amalgamation and each of the U.S. reorganization steps and how you calculated the reverse takeover amount of $3,002,634 (F-4). Tell us the sequence followed and parties involved at each stage. As applicable, cross-reference your response to the chart on page 3 and Exhibit 21.1.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17</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response to the Staff’s question regarding the accounting for the Transaction, the Company notes that, on June 11, 2018, the shareholders of Bayswater Uranium Corporation (“</w:t>
      </w:r>
      <w:r>
        <w:rPr>
          <w:rFonts w:ascii="Arial" w:cs="Arial" w:eastAsia="Arial" w:hAnsi="Arial"/>
          <w:sz w:val="17"/>
          <w:szCs w:val="17"/>
          <w:i w:val="1"/>
          <w:iCs w:val="1"/>
          <w:color w:val="auto"/>
        </w:rPr>
        <w:t>Bayswater</w:t>
      </w:r>
      <w:r>
        <w:rPr>
          <w:rFonts w:ascii="Arial" w:cs="Arial" w:eastAsia="Arial" w:hAnsi="Arial"/>
          <w:sz w:val="17"/>
          <w:szCs w:val="17"/>
          <w:color w:val="auto"/>
        </w:rPr>
        <w:t>”) held a shareholder meeting whereby they approved the RTO transaction, pursuant to which Bayswater would become the indirect holder of all of the issued and outstanding securities of GTI upon the closing of the RTO, and also changed the name of the company to Green Thumb Industries Inc., selected the next Board of Directors, authorized three new share classes (Subordinate Voting Shares, Multiple Voting Shares, and Super Voting Shares) and consolidated its existing common shares on the basis of one Subordinate Voting Share of GTI for each 368 existing common shares of Bayswater, which resulted in the shareholders of Bayswater receiving 500,439 shares of Green Thumb Industries Inc. valued $3,002,634 based upon the RTO issuance price of $6.00 per share.</w:t>
      </w:r>
    </w:p>
    <w:p>
      <w:pPr>
        <w:spacing w:after="0" w:line="18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On June 12, 2018, Green Thumb Industries Inc., 1165318 B.C. Ltd. (a wholly- owned subsidiary of Bayswater) (“</w:t>
      </w:r>
      <w:r>
        <w:rPr>
          <w:rFonts w:ascii="Arial" w:cs="Arial" w:eastAsia="Arial" w:hAnsi="Arial"/>
          <w:sz w:val="17"/>
          <w:szCs w:val="17"/>
          <w:i w:val="1"/>
          <w:iCs w:val="1"/>
          <w:color w:val="auto"/>
        </w:rPr>
        <w:t>Subco</w:t>
      </w:r>
      <w:r>
        <w:rPr>
          <w:rFonts w:ascii="Arial" w:cs="Arial" w:eastAsia="Arial" w:hAnsi="Arial"/>
          <w:sz w:val="17"/>
          <w:szCs w:val="17"/>
          <w:color w:val="auto"/>
        </w:rPr>
        <w:t>”), VCP23, LLC (“</w:t>
      </w:r>
      <w:r>
        <w:rPr>
          <w:rFonts w:ascii="Arial" w:cs="Arial" w:eastAsia="Arial" w:hAnsi="Arial"/>
          <w:sz w:val="17"/>
          <w:szCs w:val="17"/>
          <w:i w:val="1"/>
          <w:iCs w:val="1"/>
          <w:color w:val="auto"/>
        </w:rPr>
        <w:t>VCP</w:t>
      </w:r>
      <w:r>
        <w:rPr>
          <w:rFonts w:ascii="Arial" w:cs="Arial" w:eastAsia="Arial" w:hAnsi="Arial"/>
          <w:sz w:val="17"/>
          <w:szCs w:val="17"/>
          <w:color w:val="auto"/>
        </w:rPr>
        <w:t>”), GTI23, Inc. (“</w:t>
      </w:r>
      <w:r>
        <w:rPr>
          <w:rFonts w:ascii="Arial" w:cs="Arial" w:eastAsia="Arial" w:hAnsi="Arial"/>
          <w:sz w:val="17"/>
          <w:szCs w:val="17"/>
          <w:i w:val="1"/>
          <w:iCs w:val="1"/>
          <w:color w:val="auto"/>
        </w:rPr>
        <w:t>GTI23</w:t>
      </w:r>
      <w:r>
        <w:rPr>
          <w:rFonts w:ascii="Arial" w:cs="Arial" w:eastAsia="Arial" w:hAnsi="Arial"/>
          <w:sz w:val="17"/>
          <w:szCs w:val="17"/>
          <w:color w:val="auto"/>
        </w:rPr>
        <w:t>”) and GTI Finco Inc. (“</w:t>
      </w:r>
      <w:r>
        <w:rPr>
          <w:rFonts w:ascii="Arial" w:cs="Arial" w:eastAsia="Arial" w:hAnsi="Arial"/>
          <w:sz w:val="17"/>
          <w:szCs w:val="17"/>
          <w:i w:val="1"/>
          <w:iCs w:val="1"/>
          <w:color w:val="auto"/>
        </w:rPr>
        <w:t>GTI Finco</w:t>
      </w:r>
      <w:r>
        <w:rPr>
          <w:rFonts w:ascii="Arial" w:cs="Arial" w:eastAsia="Arial" w:hAnsi="Arial"/>
          <w:sz w:val="17"/>
          <w:szCs w:val="17"/>
          <w:color w:val="auto"/>
        </w:rPr>
        <w:t>”) entered into a Business Combination Agreement whereby the Company, Subco, VCP, GTI23 and GTI Finco combined their respective businesses (the “</w:t>
      </w:r>
      <w:r>
        <w:rPr>
          <w:rFonts w:ascii="Arial" w:cs="Arial" w:eastAsia="Arial" w:hAnsi="Arial"/>
          <w:sz w:val="17"/>
          <w:szCs w:val="17"/>
          <w:i w:val="1"/>
          <w:iCs w:val="1"/>
          <w:color w:val="auto"/>
        </w:rPr>
        <w:t>Transaction</w:t>
      </w:r>
      <w:r>
        <w:rPr>
          <w:rFonts w:ascii="Arial" w:cs="Arial" w:eastAsia="Arial" w:hAnsi="Arial"/>
          <w:sz w:val="17"/>
          <w:szCs w:val="17"/>
          <w:color w:val="auto"/>
        </w:rPr>
        <w:t>”). The Company was the accounting acquirer, while the legal acquirer was Bayswater. The net assets of Bayswater acquired by the Company had no value as of the acquisition date.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Transaction was structured as a series of transactions, including a Canadian three-cornered amalgamation transaction. A Canadian three-</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cornered amalgamation is a transaction under which two companies merge and security holders of the merging entities receive securities of a third party affiliate and carry on as one corporation. The series of U.S. reorganization steps are described below.</w:t>
      </w:r>
    </w:p>
    <w:p>
      <w:pPr>
        <w:sectPr>
          <w:pgSz w:w="11900" w:h="16838" w:orient="portrait"/>
          <w:cols w:equalWidth="0" w:num="1">
            <w:col w:w="10860"/>
          </w:cols>
          <w:pgMar w:left="500" w:top="419" w:right="5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34" w:lineRule="exact"/>
        <w:rPr>
          <w:sz w:val="20"/>
          <w:szCs w:val="20"/>
          <w:color w:val="auto"/>
        </w:rPr>
      </w:pPr>
    </w:p>
    <w:p>
      <w:pPr>
        <w:ind w:left="960" w:right="160" w:hanging="53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outstanding membership interests in GTI Core contributed their membership interests to VCP in exchange for 1,000 VCP common units;</w:t>
      </w:r>
    </w:p>
    <w:p>
      <w:pPr>
        <w:spacing w:after="0" w:line="81" w:lineRule="exact"/>
        <w:rPr>
          <w:rFonts w:ascii="Arial" w:cs="Arial" w:eastAsia="Arial" w:hAnsi="Arial"/>
          <w:sz w:val="18"/>
          <w:szCs w:val="18"/>
          <w:color w:val="auto"/>
        </w:rPr>
      </w:pPr>
    </w:p>
    <w:p>
      <w:pPr>
        <w:ind w:left="960" w:hanging="53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VCP Convertible Promissory Note from VCP Convert, LLC converted into VCP common units;</w:t>
      </w:r>
    </w:p>
    <w:p>
      <w:pPr>
        <w:spacing w:after="0" w:line="126" w:lineRule="exact"/>
        <w:rPr>
          <w:rFonts w:ascii="Arial" w:cs="Arial" w:eastAsia="Arial" w:hAnsi="Arial"/>
          <w:sz w:val="18"/>
          <w:szCs w:val="18"/>
          <w:color w:val="auto"/>
        </w:rPr>
      </w:pPr>
    </w:p>
    <w:p>
      <w:pPr>
        <w:ind w:left="960" w:right="120" w:hanging="533"/>
        <w:spacing w:after="0" w:line="258"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thereafter, all holders of VCP common units and holders of VCP preferred units, which also included former member unit holders of RCP23, LLC and GTI II, LLC, contributed their VCP common units and VCP preferred units to GTI23 in exchange for voting common shares of GTI23;</w:t>
      </w:r>
    </w:p>
    <w:p>
      <w:pPr>
        <w:spacing w:after="0" w:line="93" w:lineRule="exact"/>
        <w:rPr>
          <w:rFonts w:ascii="Arial" w:cs="Arial" w:eastAsia="Arial" w:hAnsi="Arial"/>
          <w:sz w:val="18"/>
          <w:szCs w:val="18"/>
          <w:color w:val="auto"/>
        </w:rPr>
      </w:pPr>
    </w:p>
    <w:p>
      <w:pPr>
        <w:ind w:left="960" w:hanging="53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thereafter, all shareholders of GTI23 contributed their shares in GTI23 in exchange for common shares in GTI;</w:t>
      </w:r>
    </w:p>
    <w:p>
      <w:pPr>
        <w:spacing w:after="0" w:line="126" w:lineRule="exact"/>
        <w:rPr>
          <w:rFonts w:ascii="Arial" w:cs="Arial" w:eastAsia="Arial" w:hAnsi="Arial"/>
          <w:sz w:val="18"/>
          <w:szCs w:val="18"/>
          <w:color w:val="auto"/>
        </w:rPr>
      </w:pPr>
    </w:p>
    <w:p>
      <w:pPr>
        <w:ind w:left="960" w:hanging="53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GTI FinCo proceeds of $86,800,000 were released from escrow;</w:t>
      </w:r>
    </w:p>
    <w:p>
      <w:pPr>
        <w:spacing w:after="0" w:line="126" w:lineRule="exact"/>
        <w:rPr>
          <w:rFonts w:ascii="Arial" w:cs="Arial" w:eastAsia="Arial" w:hAnsi="Arial"/>
          <w:sz w:val="18"/>
          <w:szCs w:val="18"/>
          <w:color w:val="auto"/>
        </w:rPr>
      </w:pPr>
    </w:p>
    <w:p>
      <w:pPr>
        <w:ind w:left="960" w:hanging="53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outstanding GTI FinCo Subscription Receipts converted into GTI FinCo common shares on a one GTI FinCo Subscription Receipt for one GTI FinCo common share basis;</w:t>
      </w:r>
    </w:p>
    <w:p>
      <w:pPr>
        <w:spacing w:after="0" w:line="81" w:lineRule="exact"/>
        <w:rPr>
          <w:rFonts w:ascii="Arial" w:cs="Arial" w:eastAsia="Arial" w:hAnsi="Arial"/>
          <w:sz w:val="18"/>
          <w:szCs w:val="18"/>
          <w:color w:val="auto"/>
        </w:rPr>
      </w:pPr>
    </w:p>
    <w:p>
      <w:pPr>
        <w:ind w:left="960" w:right="120" w:hanging="533"/>
        <w:spacing w:after="0" w:line="270"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GTI, Subco and GTI FinCo effected a three-cornered amalgamation pursuant to which GTI FinCo shareholders, including former holders of GTI FinCo Subscription Receipts, received Subordinate Voting Shares of GTI;</w:t>
      </w:r>
    </w:p>
    <w:p>
      <w:pPr>
        <w:spacing w:after="0" w:line="81" w:lineRule="exact"/>
        <w:rPr>
          <w:rFonts w:ascii="Arial" w:cs="Arial" w:eastAsia="Arial" w:hAnsi="Arial"/>
          <w:sz w:val="18"/>
          <w:szCs w:val="18"/>
          <w:color w:val="auto"/>
        </w:rPr>
      </w:pPr>
    </w:p>
    <w:p>
      <w:pPr>
        <w:ind w:left="960" w:hanging="53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GTI FinCo and Subco amalgamated resulting in a new entity (“</w:t>
      </w:r>
      <w:r>
        <w:rPr>
          <w:rFonts w:ascii="Arial" w:cs="Arial" w:eastAsia="Arial" w:hAnsi="Arial"/>
          <w:sz w:val="18"/>
          <w:szCs w:val="18"/>
          <w:i w:val="1"/>
          <w:iCs w:val="1"/>
          <w:color w:val="auto"/>
        </w:rPr>
        <w:t>Amalco</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960" w:hanging="533"/>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thereafter, Amalco was dissolved and liquidated, pursuant to which all Amalco assets were distributed to GTI.</w:t>
      </w:r>
    </w:p>
    <w:p>
      <w:pPr>
        <w:spacing w:after="0" w:line="220" w:lineRule="exact"/>
        <w:rPr>
          <w:sz w:val="20"/>
          <w:szCs w:val="20"/>
          <w:color w:val="auto"/>
        </w:rPr>
      </w:pPr>
    </w:p>
    <w:p>
      <w:pPr>
        <w:jc w:val="both"/>
        <w:ind w:right="480"/>
        <w:spacing w:after="0" w:line="258" w:lineRule="auto"/>
        <w:rPr>
          <w:sz w:val="20"/>
          <w:szCs w:val="20"/>
          <w:color w:val="auto"/>
        </w:rPr>
      </w:pPr>
      <w:r>
        <w:rPr>
          <w:rFonts w:ascii="Arial" w:cs="Arial" w:eastAsia="Arial" w:hAnsi="Arial"/>
          <w:sz w:val="18"/>
          <w:szCs w:val="18"/>
          <w:color w:val="auto"/>
        </w:rPr>
        <w:t>Upon closing of the RTO, GTI’s authorized share capital consisted of an unlimited number of Subordinate Voting Shares, an unlimited number of Multiple Voting Shares, and an unlimited number of Super Voting Shares, and had outstanding share capital of: (i) 11,245,439 Subordinate Voting Shares; (ii) 863,941 Multiple Voting Shares; and (iii) 433,409 Super Voting Shares.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On June 13, 2018, GTI Subordinate Voting Shares began trading on the Canadian Securities Exchange (“</w:t>
      </w:r>
      <w:r>
        <w:rPr>
          <w:rFonts w:ascii="Arial" w:cs="Arial" w:eastAsia="Arial" w:hAnsi="Arial"/>
          <w:sz w:val="16"/>
          <w:szCs w:val="16"/>
          <w:i w:val="1"/>
          <w:iCs w:val="1"/>
          <w:color w:val="auto"/>
        </w:rPr>
        <w:t>CSE</w:t>
      </w:r>
      <w:r>
        <w:rPr>
          <w:rFonts w:ascii="Arial" w:cs="Arial" w:eastAsia="Arial" w:hAnsi="Arial"/>
          <w:sz w:val="16"/>
          <w:szCs w:val="16"/>
          <w:color w:val="auto"/>
        </w:rPr>
        <w:t>”) under the ticker symbol “GTII.CN”.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 Acquisitions</w:t>
      </w:r>
    </w:p>
    <w:p>
      <w:pPr>
        <w:spacing w:after="0" w:line="113" w:lineRule="exact"/>
        <w:rPr>
          <w:sz w:val="20"/>
          <w:szCs w:val="20"/>
          <w:color w:val="auto"/>
        </w:rPr>
      </w:pPr>
    </w:p>
    <w:p>
      <w:pPr>
        <w:ind w:left="260" w:hanging="260"/>
        <w:spacing w:after="0"/>
        <w:tabs>
          <w:tab w:leader="none" w:pos="2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KSGNF, LLC, page F-23</w:t>
      </w:r>
    </w:p>
    <w:p>
      <w:pPr>
        <w:spacing w:after="0" w:line="126" w:lineRule="exact"/>
        <w:rPr>
          <w:rFonts w:ascii="Arial" w:cs="Arial" w:eastAsia="Arial" w:hAnsi="Arial"/>
          <w:sz w:val="18"/>
          <w:szCs w:val="18"/>
          <w:b w:val="1"/>
          <w:bCs w:val="1"/>
          <w:i w:val="1"/>
          <w:iCs w:val="1"/>
          <w:color w:val="auto"/>
        </w:rPr>
      </w:pPr>
    </w:p>
    <w:p>
      <w:pPr>
        <w:ind w:left="960" w:right="1000" w:hanging="533"/>
        <w:spacing w:after="0" w:line="333" w:lineRule="auto"/>
        <w:tabs>
          <w:tab w:leader="none" w:pos="960" w:val="left"/>
        </w:tabs>
        <w:numPr>
          <w:ilvl w:val="1"/>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Please disclose the method of determining the fair value of the Multiple Voting Shares issued in the acquisition. Refer to ASC 805-30-50-1(b)(4). Tell us why the 32,965 Multiple Voting Shares have an implicit value of $1,507.33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18</w:t>
      </w:r>
    </w:p>
    <w:p>
      <w:pPr>
        <w:spacing w:after="0" w:line="11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response to the Staff’s comment regarding the method of determining the fair value of the Multiple Voting Shares issued in the acquisition, the Company proposes to revise the disclosure on page F-23 as follows which will also be incorporated into the Company’s annual report on Form 10-K (as discussed with Franklin Wyman of the Staff on January 30, 2019):</w:t>
      </w:r>
    </w:p>
    <w:p>
      <w:pPr>
        <w:spacing w:after="0" w:line="80" w:lineRule="exact"/>
        <w:rPr>
          <w:sz w:val="20"/>
          <w:szCs w:val="20"/>
          <w:color w:val="auto"/>
        </w:rPr>
      </w:pPr>
    </w:p>
    <w:p>
      <w:pPr>
        <w:ind w:left="440" w:right="40"/>
        <w:spacing w:after="0" w:line="268" w:lineRule="auto"/>
        <w:rPr>
          <w:sz w:val="20"/>
          <w:szCs w:val="20"/>
          <w:color w:val="auto"/>
        </w:rPr>
      </w:pPr>
      <w:r>
        <w:rPr>
          <w:rFonts w:ascii="Arial" w:cs="Arial" w:eastAsia="Arial" w:hAnsi="Arial"/>
          <w:sz w:val="17"/>
          <w:szCs w:val="17"/>
          <w:color w:val="auto"/>
        </w:rPr>
        <w:t>On May 31, 2018, the Company signed a definitive agreement to acquire all of the assets of KSGNF, LLC (“</w:t>
      </w:r>
      <w:r>
        <w:rPr>
          <w:rFonts w:ascii="Arial" w:cs="Arial" w:eastAsia="Arial" w:hAnsi="Arial"/>
          <w:sz w:val="17"/>
          <w:szCs w:val="17"/>
          <w:i w:val="1"/>
          <w:iCs w:val="1"/>
          <w:color w:val="auto"/>
        </w:rPr>
        <w:t>KSGNF</w:t>
      </w:r>
      <w:r>
        <w:rPr>
          <w:rFonts w:ascii="Arial" w:cs="Arial" w:eastAsia="Arial" w:hAnsi="Arial"/>
          <w:sz w:val="17"/>
          <w:szCs w:val="17"/>
          <w:color w:val="auto"/>
        </w:rPr>
        <w:t xml:space="preserve">”) in exchange for cash and shares of GTI. On November 7, 2018, the Company closed on the acquisition of the assets of KSGNF. The total consideration included a cash payment of approximately $48.6 million and 32,965 Multiple Voting shares of GTI. The value of such shares was $49,689,149 based on the Company’s stock price on November 7, 2018, the day of the Transaction multiplied by the number of Multiple Voting Shares on a Subordinate Voting Share basis (or 3,296,500 Subordinate Voting Shares). The total final consideration was valued at $98,256,607. The acquisition was accounted for in accordance with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consisted primarily of a state of Florida vertically integrated medical marijuana license.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advise the Staff that the conversion ratio for Multiple Voting Shares and Super Voting Shares is disclosed within Footnote 13 on page F-31.</w:t>
      </w:r>
    </w:p>
    <w:p>
      <w:pPr>
        <w:sectPr>
          <w:pgSz w:w="11900" w:h="16838" w:orient="portrait"/>
          <w:cols w:equalWidth="0" w:num="1">
            <w:col w:w="10860"/>
          </w:cols>
          <w:pgMar w:left="500" w:top="419" w:right="5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20. Segment Reporting, page F-41</w:t>
      </w:r>
    </w:p>
    <w:p>
      <w:pPr>
        <w:spacing w:after="0" w:line="127" w:lineRule="exact"/>
        <w:rPr>
          <w:sz w:val="20"/>
          <w:szCs w:val="20"/>
          <w:color w:val="auto"/>
        </w:rPr>
      </w:pPr>
    </w:p>
    <w:p>
      <w:pPr>
        <w:ind w:left="960" w:hanging="533"/>
        <w:spacing w:after="0"/>
        <w:tabs>
          <w:tab w:leader="none" w:pos="9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As required by ASC 280-10-50-22, please disclose a measure of profit or loss and total assets for each reportable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19</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response to the Staff’s comment regarding a measure of profit or loss, we advise the Staff that the Chief Operating Decision Maker (“</w:t>
      </w:r>
      <w:r>
        <w:rPr>
          <w:rFonts w:ascii="Arial" w:cs="Arial" w:eastAsia="Arial" w:hAnsi="Arial"/>
          <w:sz w:val="17"/>
          <w:szCs w:val="17"/>
          <w:i w:val="1"/>
          <w:iCs w:val="1"/>
          <w:color w:val="auto"/>
        </w:rPr>
        <w:t>CODM</w:t>
      </w:r>
      <w:r>
        <w:rPr>
          <w:rFonts w:ascii="Arial" w:cs="Arial" w:eastAsia="Arial" w:hAnsi="Arial"/>
          <w:sz w:val="17"/>
          <w:szCs w:val="17"/>
          <w:color w:val="auto"/>
        </w:rPr>
        <w:t>”) regularly reviews revenue to assess performance and allocate resources. Revenue is provided to the CODM at a state/market level but is aggregated into retail and wholesale (or consumer products) segments (by state/market) when making determinations on how and where resources should be allocated. Profitability (operating income or EBITDA) are not metrics that are regularly used since the Company is an early stage growth company and is currently incurring operating losses that vary depending upon the maturity stage of the state/market.</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response to the Staff’s comment regarding total assets for each reportable segment, the Company proposes to insert the disclosure on page F-41 as follows which will also be incorporated into the Company’s annual report on Form 10-K (as discussed with Franklin Wyman of the Staff on January 30, 2019):</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below table presents assets by segment for the years ending December 31, 2018 and 2017:</w:t>
      </w: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1020" w:type="dxa"/>
            <w:vAlign w:val="bottom"/>
            <w:gridSpan w:val="2"/>
          </w:tcPr>
          <w:p>
            <w:pPr>
              <w:jc w:val="right"/>
              <w:ind w:right="251"/>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080" w:type="dxa"/>
            <w:vAlign w:val="bottom"/>
            <w:gridSpan w:val="2"/>
          </w:tcPr>
          <w:p>
            <w:pPr>
              <w:jc w:val="right"/>
              <w:ind w:right="2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195"/>
        </w:trPr>
        <w:tc>
          <w:tcPr>
            <w:tcW w:w="67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i w:val="1"/>
                <w:i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8"/>
                <w:szCs w:val="18"/>
                <w:color w:val="auto"/>
              </w:rPr>
              <w:t>Wholesale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6"/>
              </w:rPr>
              <w:t>$ 104,514,161</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8"/>
              </w:rPr>
              <w:t>$ 24,268,922</w:t>
            </w:r>
          </w:p>
        </w:tc>
        <w:tc>
          <w:tcPr>
            <w:tcW w:w="100" w:type="dxa"/>
            <w:vAlign w:val="bottom"/>
          </w:tcPr>
          <w:p>
            <w:pPr>
              <w:spacing w:after="0"/>
              <w:rPr>
                <w:sz w:val="18"/>
                <w:szCs w:val="18"/>
                <w:color w:val="auto"/>
              </w:rPr>
            </w:pP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105,293,320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9,698,157</w:t>
            </w:r>
          </w:p>
        </w:tc>
        <w:tc>
          <w:tcPr>
            <w:tcW w:w="100" w:type="dxa"/>
            <w:vAlign w:val="bottom"/>
            <w:shd w:val="clear" w:color="auto" w:fill="CCEEFF"/>
          </w:tcPr>
          <w:p>
            <w:pPr>
              <w:spacing w:after="0"/>
              <w:rPr>
                <w:sz w:val="18"/>
                <w:szCs w:val="18"/>
                <w:color w:val="auto"/>
              </w:rPr>
            </w:pPr>
          </w:p>
        </w:tc>
      </w:tr>
      <w:tr>
        <w:trPr>
          <w:trHeight w:val="213"/>
        </w:trPr>
        <w:tc>
          <w:tcPr>
            <w:tcW w:w="6780" w:type="dxa"/>
            <w:vAlign w:val="bottom"/>
          </w:tcPr>
          <w:p>
            <w:pPr>
              <w:spacing w:after="0"/>
              <w:rPr>
                <w:sz w:val="20"/>
                <w:szCs w:val="20"/>
                <w:color w:val="auto"/>
              </w:rPr>
            </w:pPr>
            <w:r>
              <w:rPr>
                <w:rFonts w:ascii="Arial" w:cs="Arial" w:eastAsia="Arial" w:hAnsi="Arial"/>
                <w:sz w:val="18"/>
                <w:szCs w:val="18"/>
                <w:color w:val="auto"/>
              </w:rPr>
              <w:t>Corporate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209,879,995</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54,013,259</w:t>
            </w:r>
          </w:p>
        </w:tc>
        <w:tc>
          <w:tcPr>
            <w:tcW w:w="100" w:type="dxa"/>
            <w:vAlign w:val="bottom"/>
          </w:tcPr>
          <w:p>
            <w:pPr>
              <w:spacing w:after="0"/>
              <w:rPr>
                <w:sz w:val="18"/>
                <w:szCs w:val="18"/>
                <w:color w:val="auto"/>
              </w:rPr>
            </w:pPr>
          </w:p>
        </w:tc>
      </w:tr>
      <w:tr>
        <w:trPr>
          <w:trHeight w:val="21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(1,338,910)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(1,767,088)</w:t>
            </w:r>
          </w:p>
        </w:tc>
      </w:tr>
      <w:tr>
        <w:trPr>
          <w:trHeight w:val="220"/>
        </w:trPr>
        <w:tc>
          <w:tcPr>
            <w:tcW w:w="6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$ 418,348,566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$ 86,213,250</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21. Subsequent Events, page F-42</w:t>
      </w:r>
    </w:p>
    <w:p>
      <w:pPr>
        <w:spacing w:after="0" w:line="127" w:lineRule="exact"/>
        <w:rPr>
          <w:sz w:val="20"/>
          <w:szCs w:val="20"/>
          <w:color w:val="auto"/>
        </w:rPr>
      </w:pPr>
    </w:p>
    <w:p>
      <w:pPr>
        <w:ind w:left="960" w:right="840" w:hanging="533"/>
        <w:spacing w:after="0" w:line="270" w:lineRule="auto"/>
        <w:tabs>
          <w:tab w:leader="none" w:pos="9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Please describe in your disclosure the contingent consideration arrangements as well as the other disclosures required by ASC 805-30-50-1(c), 50-2, and 50-3 for the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20</w:t>
      </w:r>
    </w:p>
    <w:p>
      <w:pPr>
        <w:spacing w:after="0" w:line="11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response to the Staff’s comment regarding contingent consideration arrangements, the Company proposes to revise the disclosure on page F-44 as follows which will also be incorporated into the Company’s annual report on Form 10-K (as discussed with Franklin Wyman of the Staff on January 30, 2019):</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Business Acquisitions: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Acquisition of Advanced Grow Labs, LLC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is licensed in Connecticut to grow and process cannabis. The acquisition includes a manufacturing license and an ownership stake in a recently</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awarded Connecticut-based dispensary. The transaction consideration was approximately $110.3 million, which included $15 million of cash,</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approximately 7.0 million Subordinate Voting Shares of GTI which were valued at approximately $80.0 million, based on the fair value of the</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securities on their date of issuance, which was the closing price of GTI’s Subordinate Voting Shares as traded on the CSE on the date of the</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transaction, along with liabilities of approximately $15 million. The purchase agreement included additional consideration ranging from $0 to</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$15 million in shares of GTI depending upon the EBITDA results of AGL over the twelve-month period following the close of the transaction. As</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September 30, 2019, the Company estimated the fair value of contingent consideration to be $9.2 million using a probability weighting of the</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potential payouts.</w:t>
      </w:r>
    </w:p>
    <w:p>
      <w:pPr>
        <w:sectPr>
          <w:pgSz w:w="11900" w:h="16838" w:orient="portrait"/>
          <w:cols w:equalWidth="0" w:num="1">
            <w:col w:w="10840"/>
          </w:cols>
          <w:pgMar w:left="500" w:top="419"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(b) Acquisition of Integral Associates, LLC</w:t>
      </w:r>
    </w:p>
    <w:p>
      <w:pPr>
        <w:spacing w:after="0" w:line="117" w:lineRule="exact"/>
        <w:rPr>
          <w:sz w:val="20"/>
          <w:szCs w:val="20"/>
          <w:color w:val="auto"/>
        </w:rPr>
      </w:pPr>
    </w:p>
    <w:p>
      <w:pPr>
        <w:ind w:left="440" w:right="100"/>
        <w:spacing w:after="0" w:line="266" w:lineRule="auto"/>
        <w:rPr>
          <w:sz w:val="20"/>
          <w:szCs w:val="20"/>
          <w:color w:val="auto"/>
        </w:rPr>
      </w:pPr>
      <w:r>
        <w:rPr>
          <w:rFonts w:ascii="Arial" w:cs="Arial" w:eastAsia="Arial" w:hAnsi="Arial"/>
          <w:sz w:val="17"/>
          <w:szCs w:val="17"/>
          <w:color w:val="auto"/>
        </w:rPr>
        <w:t>On June 5, 2019, the Company acquired 100% of the ownership interests of Integral Associates. The acquisition included Integral Associate’s retail brand Essence, three retail locations, as well as two cultivation and processing facilities. The transaction consideration included $52 million paid in cash and approximately 20.8 million in Subordinate Voting Shares which were valued at $235.4 million, and an additional 3.3 million milestone shares with a fair value of $37.7 million. The fair value of the securities was based upon the closing price of GTI’s Subordinate Voting Shares as traded on the CSE on the date of the transaction. The purchase agreement also includes additional consideration based upon future performance targets of which an additional 0.6 million Subordinate Voting Shares have been issued to-date. The former owners of Integral Associates may receive additional contingent consideration of up to $57 million in shares of GTI depending upon the EBITDA results of Integral Associates over the twelve-month period following the close of the transaction along with conditional and/or final dispensary operating licenses. As of September 30, 2019, the Company estimated the fair value of contingent consideration to be $35.6 million using a probability weighting of the potential payouts.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 Acquisition of For Success Holding Company</w:t>
      </w:r>
    </w:p>
    <w:p>
      <w:pPr>
        <w:spacing w:after="0" w:line="117"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5,670,105 of GTI Subordinate Voting Shares which were valued at $84.6 million, based on the fair value of the securities on their date of issuance, which was the closing price of GTI’s Subordinate Voting Shares as traded on the CSE on the date of the transaction. The purchase agreement also includes additional consideration ranging from $0 to $15 million in cash or shares of GTI subject to Beboe achieving the placement of its products in specified retailers during the twelve months post acquisition. As of September 30, 2019, the Company estimated the fair value of contingent consideration to be $9.7 million using a probability weighting of the potential payouts.</w:t>
      </w:r>
    </w:p>
    <w:p>
      <w:pPr>
        <w:spacing w:after="0" w:line="208" w:lineRule="exact"/>
        <w:rPr>
          <w:sz w:val="20"/>
          <w:szCs w:val="20"/>
          <w:color w:val="auto"/>
        </w:rPr>
      </w:pPr>
    </w:p>
    <w:p>
      <w:pPr>
        <w:ind w:left="960" w:right="420" w:hanging="533"/>
        <w:spacing w:after="0" w:line="258" w:lineRule="auto"/>
        <w:tabs>
          <w:tab w:leader="none" w:pos="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method of determining the fair value of the shares issued for the acquisitions. For your acquisition of For Success Holding Company, also disclose the acquisition-date fair value of the shares issued and the number of shares issued. Refer to ASC 805-30-50-1(b)(4) and 50-2.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21</w:t>
      </w:r>
    </w:p>
    <w:p>
      <w:pPr>
        <w:spacing w:after="0" w:line="113"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We advise the Staff that the value of the Subordinate Voting Shares issued as part of each transaction is based on the closing price of GTI’s stock as traded on the CSE on the date of the transaction multiplied by the number of Subordinate Voting Shares.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response to the Staff’s comment, we refer the Staff to the proposed revised disclosures to page F-44 included above in response to Comment 20.</w:t>
      </w:r>
    </w:p>
    <w:p>
      <w:pPr>
        <w:sectPr>
          <w:pgSz w:w="11900" w:h="16838" w:orient="portrait"/>
          <w:cols w:equalWidth="0" w:num="1">
            <w:col w:w="10880"/>
          </w:cols>
          <w:pgMar w:left="500" w:top="419"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 Thumb Industries (GTI) Group of Companies, Combined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Basis of Combination, page F-54</w:t>
      </w:r>
    </w:p>
    <w:p>
      <w:pPr>
        <w:spacing w:after="0" w:line="247" w:lineRule="exact"/>
        <w:rPr>
          <w:sz w:val="20"/>
          <w:szCs w:val="20"/>
          <w:color w:val="auto"/>
        </w:rPr>
      </w:pPr>
    </w:p>
    <w:p>
      <w:pPr>
        <w:ind w:left="960" w:right="200" w:hanging="533"/>
        <w:spacing w:after="0" w:line="270" w:lineRule="auto"/>
        <w:tabs>
          <w:tab w:leader="none" w:pos="9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to us why you concluded that you controlled the entities under common control and common management. Refer to ASC 810-10-25.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22</w:t>
      </w:r>
    </w:p>
    <w:p>
      <w:pPr>
        <w:spacing w:after="0" w:line="11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response to the Staff’s comment regarding the Company’s determination on how common control or common management over RCP23, LLC, VCP23, LLC and GTI-Clinic Illinois Holdings, LLC was concluded, the Company advises the Staff that, as of December 31, 2017, the ownership of these entities was split with RCP23, LLC holding the Company’s interests in Nevada, Maryland, Pennsylvania and Massachusetts and GTI-Clinic Illinois Holdings, LLC holding the Company’s interest in the Illinois operations. VCP23, LLC was formed in November 2017 for the express purposes of effecting the business combination of RCP23, LLC and GTI-Clinic Illinois Holdings, LLC.</w:t>
      </w:r>
    </w:p>
    <w:p>
      <w:pPr>
        <w:spacing w:after="0" w:line="177" w:lineRule="exact"/>
        <w:rPr>
          <w:sz w:val="20"/>
          <w:szCs w:val="20"/>
          <w:color w:val="auto"/>
        </w:rPr>
      </w:pPr>
    </w:p>
    <w:p>
      <w:pPr>
        <w:jc w:val="both"/>
        <w:ind w:right="60"/>
        <w:spacing w:after="0" w:line="367" w:lineRule="auto"/>
        <w:rPr>
          <w:sz w:val="20"/>
          <w:szCs w:val="20"/>
          <w:color w:val="auto"/>
        </w:rPr>
      </w:pPr>
      <w:r>
        <w:rPr>
          <w:rFonts w:ascii="Arial" w:cs="Arial" w:eastAsia="Arial" w:hAnsi="Arial"/>
          <w:sz w:val="14"/>
          <w:szCs w:val="14"/>
          <w:color w:val="auto"/>
        </w:rPr>
        <w:t>Prior to January 1, 2018, these entities were owned by the Company, but the ownership of these entities was not consolidated and thus they were under Common Control/Common Management. Subsequent to January 1, 2018, the interests in RCP23, LLC and GTI-Clinic of Illinois Holdings, LLC were contributed to VCP23, LLC and formed a consolidated Company. There was no change in control as a result of the transaction on January 1,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Integral Associates, LLC Combined Financial Statements, page F-78</w:t>
      </w:r>
    </w:p>
    <w:p>
      <w:pPr>
        <w:spacing w:after="0" w:line="127" w:lineRule="exact"/>
        <w:rPr>
          <w:sz w:val="20"/>
          <w:szCs w:val="20"/>
          <w:color w:val="auto"/>
        </w:rPr>
      </w:pPr>
    </w:p>
    <w:p>
      <w:pPr>
        <w:ind w:left="960" w:right="520" w:hanging="533"/>
        <w:spacing w:after="0" w:line="270" w:lineRule="auto"/>
        <w:tabs>
          <w:tab w:leader="none" w:pos="9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why you did not include financial statements for the most recent interim period prior to the acquisition. Refer to Rule 3-05(b)(2) and Rules 3-01 and 3-02 of Regulation S-X.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23</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response to the Staff’s comment regarding the exclusion of the most recent interim financial statements of Integral Associates prior to acquisition (or March 31, 2019 and 2018 financial statements), we respectfully advise the Staff that the Company considered the Staff Interpretations of the Fixing America’s Surface Transportation (FAST) Act updated on August 17, 2017 noting that in Question 1, which inquired: “What financial information may an Emerging Growth Company omit from its draft and publicly filed registration statements?” to which the Staff provided the following interpretation: “Under Section 71003 of the FAST Act, an Emerging Growth Company may omit from its filed registration statements annual and interim financial information that “relates to a historical period that the issuer reasonably believes will not be required to be included...at the time of the contemplated offering.” Interim financial information that will be included in a longer historical period relates to that period. Accordingly, interim financial information that will be included in a historical period that the issuer reasonably believes will be required to be included at the time of the contemplated offering may not be omitted from its filed registration statements.</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under Rule 3-05 Section 10220.5(a), “[i]f the significance tests result in a requirement to present three years of financial statements for entities other than the registrant, such as acquired businesses under Rule 3-05, acquired real estate operations under Rule 3-14 or equity method investees under Rule 3-09, an operating company EGC may present two years of financial statements for these other entities in the registration statement for its initial public offering of common equity securities.”</w:t>
      </w:r>
    </w:p>
    <w:p>
      <w:pPr>
        <w:sectPr>
          <w:pgSz w:w="11900" w:h="16838" w:orient="portrait"/>
          <w:cols w:equalWidth="0" w:num="1">
            <w:col w:w="10800"/>
          </w:cols>
          <w:pgMar w:left="500" w:top="419" w:right="5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Green Thumb Industries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accordance with the above guidance, it is our understanding that the interim financial information of Integral Associates would not be required with respect to the Form S-1 and Form S-8 that the Company plans to file and therefore would not be required to be filed on the registration statement on Form 10-12(g). Given the above considerations, and with respect to the Company’s EGC filing status for 2019, the Company respectfully submits to the Staff that it has complied with the requirement to present two full years of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Condensed Combined Financial Statements, page PF-1</w:t>
      </w:r>
    </w:p>
    <w:p>
      <w:pPr>
        <w:spacing w:after="0" w:line="127" w:lineRule="exact"/>
        <w:rPr>
          <w:sz w:val="20"/>
          <w:szCs w:val="20"/>
          <w:color w:val="auto"/>
        </w:rPr>
      </w:pPr>
    </w:p>
    <w:p>
      <w:pPr>
        <w:ind w:left="960" w:right="380" w:hanging="533"/>
        <w:spacing w:after="0" w:line="300" w:lineRule="auto"/>
        <w:tabs>
          <w:tab w:leader="none" w:pos="9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Please tell us why the number of shares used in the calculation of the pro forma per share data on pages PF-4 and PF-5 do not reflect adjustments for the effect of shares issued in the acquisitions. Refer to Item 11-02(b)(7) of Regulation S-X.</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24</w:t>
      </w:r>
    </w:p>
    <w:p>
      <w:pPr>
        <w:spacing w:after="0" w:line="113"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Please see revised pro forma condensed combined statements of operations on pages PF-4 and PF-5 of Amendment No. 1 which reflect adjustments for the effect of shares issued in the acquisitions.</w:t>
      </w:r>
    </w:p>
    <w:p>
      <w:pPr>
        <w:spacing w:after="0" w:line="201" w:lineRule="exact"/>
        <w:rPr>
          <w:sz w:val="20"/>
          <w:szCs w:val="20"/>
          <w:color w:val="auto"/>
        </w:rPr>
      </w:pPr>
    </w:p>
    <w:p>
      <w:pPr>
        <w:ind w:left="960" w:right="380" w:hanging="533"/>
        <w:spacing w:after="0" w:line="270" w:lineRule="auto"/>
        <w:tabs>
          <w:tab w:leader="none" w:pos="9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Please include pro forma condensed combined statements of operations for the period from the most recent fiscal year end to the most recent interim date for which a balance sheet is required. Refer to Item 11-02(c)(2)(i).</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Staff’s comment, we refer the Staff to our response to Comment 23.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27" w:lineRule="exact"/>
        <w:rPr>
          <w:sz w:val="20"/>
          <w:szCs w:val="20"/>
          <w:color w:val="auto"/>
        </w:rPr>
      </w:pPr>
    </w:p>
    <w:p>
      <w:pPr>
        <w:ind w:left="960" w:hanging="533"/>
        <w:spacing w:after="0" w:line="271" w:lineRule="auto"/>
        <w:tabs>
          <w:tab w:leader="none" w:pos="960"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Pursuant to Section 12(g)(1) of the Exchange Act, the Form 10 becomes effective automatically 60 days after the initial filing date. At that time, you will be subject to the reporting requirements of the Exchange Act. In addition, we will continue to review your filing until all of our comments have been addressed. If the review process has not been completed before the effectiveness date you should consider withdrawing the Form 10 registration statement to prevent it from becoming effective and, as applicable, file a new Form 10 registration at such time as you are able to respond to any remaining issues or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26</w:t>
      </w:r>
    </w:p>
    <w:p>
      <w:pPr>
        <w:spacing w:after="0" w:line="113"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The Company respectfully acknowledges the Staff’s comment and understands that it will be subject to the reporting requirements under Section 13(a) of the Securities Exchange Act of 1934 once the Form 10 goes effective. The Company will continue to respond to the Staff’s comments until all of the Staff’s comments have been addressed.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concerning the above responses, please do not hesitate to contact the undersigned at mglass@jenner.com or (212) 891-1672.</w:t>
      </w:r>
    </w:p>
    <w:p>
      <w:pPr>
        <w:spacing w:after="0" w:line="24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Sincerely,</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 Martin C. Glass</w:t>
      </w:r>
    </w:p>
    <w:p>
      <w:pPr>
        <w:spacing w:after="0" w:line="20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Martin C. Glass</w:t>
      </w:r>
    </w:p>
    <w:p>
      <w:pPr>
        <w:spacing w:after="0" w:line="247" w:lineRule="exact"/>
        <w:rPr>
          <w:sz w:val="20"/>
          <w:szCs w:val="20"/>
          <w:color w:val="auto"/>
        </w:rPr>
      </w:pPr>
    </w:p>
    <w:p>
      <w:pPr>
        <w:ind w:left="420" w:hanging="420"/>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Benjamin Kovler</w:t>
      </w:r>
    </w:p>
    <w:p>
      <w:pPr>
        <w:spacing w:after="0" w:line="1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Green Thumb Industries Inc.</w:t>
      </w:r>
    </w:p>
    <w:sectPr>
      <w:pgSz w:w="11900" w:h="16838" w:orient="portrait"/>
      <w:cols w:equalWidth="0" w:num="1">
        <w:col w:w="10880"/>
      </w:cols>
      <w:pgMar w:left="500" w:top="41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2"/>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4"/>
    </w:lvl>
  </w:abstractNum>
  <w:abstractNum w:abstractNumId="4">
    <w:nsid w:val="431BD7B7"/>
    <w:multiLevelType w:val="hybridMultilevel"/>
    <w:lvl w:ilvl="0">
      <w:lvlJc w:val="left"/>
      <w:lvlText w:val="%1."/>
      <w:numFmt w:val="decimal"/>
      <w:start w:val="5"/>
    </w:lvl>
  </w:abstractNum>
  <w:abstractNum w:abstractNumId="5">
    <w:nsid w:val="3F2DBA31"/>
    <w:multiLevelType w:val="hybridMultilevel"/>
    <w:lvl w:ilvl="0">
      <w:lvlJc w:val="left"/>
      <w:lvlText w:val="%1."/>
      <w:numFmt w:val="decimal"/>
      <w:start w:val="6"/>
    </w:lvl>
  </w:abstractNum>
  <w:abstractNum w:abstractNumId="6">
    <w:nsid w:val="7C83E458"/>
    <w:multiLevelType w:val="hybridMultilevel"/>
    <w:lvl w:ilvl="0">
      <w:lvlJc w:val="left"/>
      <w:lvlText w:val="%1."/>
      <w:numFmt w:val="decimal"/>
      <w:start w:val="7"/>
    </w:lvl>
  </w:abstractNum>
  <w:abstractNum w:abstractNumId="7">
    <w:nsid w:val="257130A3"/>
    <w:multiLevelType w:val="hybridMultilevel"/>
    <w:lvl w:ilvl="0">
      <w:lvlJc w:val="left"/>
      <w:lvlText w:val="%1."/>
      <w:numFmt w:val="decimal"/>
      <w:start w:val="8"/>
    </w:lvl>
  </w:abstractNum>
  <w:abstractNum w:abstractNumId="8">
    <w:nsid w:val="62BBD95A"/>
    <w:multiLevelType w:val="hybridMultilevel"/>
    <w:lvl w:ilvl="0">
      <w:lvlJc w:val="left"/>
      <w:lvlText w:val="%1."/>
      <w:numFmt w:val="decimal"/>
      <w:start w:val="9"/>
    </w:lvl>
  </w:abstractNum>
  <w:abstractNum w:abstractNumId="9">
    <w:nsid w:val="436C6125"/>
    <w:multiLevelType w:val="hybridMultilevel"/>
    <w:lvl w:ilvl="0">
      <w:lvlJc w:val="left"/>
      <w:lvlText w:val="%1."/>
      <w:numFmt w:val="decimal"/>
      <w:start w:val="10"/>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2"/>
    </w:lvl>
  </w:abstractNum>
  <w:abstractNum w:abstractNumId="12">
    <w:nsid w:val="721DA317"/>
    <w:multiLevelType w:val="hybridMultilevel"/>
    <w:lvl w:ilvl="0">
      <w:lvlJc w:val="left"/>
      <w:lvlText w:val="%1."/>
      <w:numFmt w:val="decimal"/>
      <w:start w:val="13"/>
    </w:lvl>
  </w:abstractNum>
  <w:abstractNum w:abstractNumId="13">
    <w:nsid w:val="2443A858"/>
    <w:multiLevelType w:val="hybridMultilevel"/>
    <w:lvl w:ilvl="0">
      <w:lvlJc w:val="left"/>
      <w:lvlText w:val="%1."/>
      <w:numFmt w:val="decimal"/>
      <w:start w:val="14"/>
    </w:lvl>
  </w:abstractNum>
  <w:abstractNum w:abstractNumId="14">
    <w:nsid w:val="2D1D5AE9"/>
    <w:multiLevelType w:val="hybridMultilevel"/>
    <w:lvl w:ilvl="0">
      <w:lvlJc w:val="left"/>
      <w:lvlText w:val="%1."/>
      <w:numFmt w:val="decimal"/>
      <w:start w:val="15"/>
    </w:lvl>
  </w:abstractNum>
  <w:abstractNum w:abstractNumId="15">
    <w:nsid w:val="6763845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6">
    <w:nsid w:val="75A2A8D4"/>
    <w:multiLevelType w:val="hybridMultilevel"/>
    <w:lvl w:ilvl="0">
      <w:lvlJc w:val="left"/>
      <w:lvlText w:val="○"/>
      <w:numFmt w:val="bullet"/>
      <w:start w:val="1"/>
    </w:lvl>
    <w:lvl w:ilvl="1">
      <w:lvlJc w:val="left"/>
      <w:lvlText w:val="%2."/>
      <w:numFmt w:val="decimal"/>
      <w:start w:val="3"/>
    </w:lvl>
  </w:abstractNum>
  <w:abstractNum w:abstractNumId="17">
    <w:nsid w:val="8EDBDAB"/>
    <w:multiLevelType w:val="hybridMultilevel"/>
    <w:lvl w:ilvl="0">
      <w:lvlJc w:val="left"/>
      <w:lvlText w:val="•"/>
      <w:numFmt w:val="bullet"/>
      <w:start w:val="1"/>
    </w:lvl>
    <w:lvl w:ilvl="1">
      <w:lvlJc w:val="left"/>
      <w:lvlText w:val="○"/>
      <w:numFmt w:val="bullet"/>
      <w:start w:val="1"/>
    </w:lvl>
  </w:abstractNum>
  <w:abstractNum w:abstractNumId="18">
    <w:nsid w:val="79838CB2"/>
    <w:multiLevelType w:val="hybridMultilevel"/>
    <w:lvl w:ilvl="0">
      <w:lvlJc w:val="left"/>
      <w:lvlText w:val="%1."/>
      <w:numFmt w:val="decimal"/>
      <w:start w:val="16"/>
    </w:lvl>
  </w:abstractNum>
  <w:abstractNum w:abstractNumId="19">
    <w:nsid w:val="4353D0CD"/>
    <w:multiLevelType w:val="hybridMultilevel"/>
    <w:lvl w:ilvl="0">
      <w:lvlJc w:val="left"/>
      <w:lvlText w:val="%1."/>
      <w:numFmt w:val="decimal"/>
      <w:start w:val="17"/>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lowerLetter"/>
      <w:start w:val="2"/>
    </w:lvl>
    <w:lvl w:ilvl="1">
      <w:lvlJc w:val="left"/>
      <w:lvlText w:val="%2."/>
      <w:numFmt w:val="decimal"/>
      <w:start w:val="18"/>
    </w:lvl>
  </w:abstractNum>
  <w:abstractNum w:abstractNumId="22">
    <w:nsid w:val="54E49EB4"/>
    <w:multiLevelType w:val="hybridMultilevel"/>
    <w:lvl w:ilvl="0">
      <w:lvlJc w:val="left"/>
      <w:lvlText w:val="%1."/>
      <w:numFmt w:val="decimal"/>
      <w:start w:val="19"/>
    </w:lvl>
  </w:abstractNum>
  <w:abstractNum w:abstractNumId="23">
    <w:nsid w:val="71F32454"/>
    <w:multiLevelType w:val="hybridMultilevel"/>
    <w:lvl w:ilvl="0">
      <w:lvlJc w:val="left"/>
      <w:lvlText w:val="%1."/>
      <w:numFmt w:val="decimal"/>
      <w:start w:val="20"/>
    </w:lvl>
  </w:abstractNum>
  <w:abstractNum w:abstractNumId="24">
    <w:nsid w:val="2CA88611"/>
    <w:multiLevelType w:val="hybridMultilevel"/>
    <w:lvl w:ilvl="0">
      <w:lvlJc w:val="left"/>
      <w:lvlText w:val="%1."/>
      <w:numFmt w:val="decimal"/>
      <w:start w:val="21"/>
    </w:lvl>
  </w:abstractNum>
  <w:abstractNum w:abstractNumId="25">
    <w:nsid w:val="836C40E"/>
    <w:multiLevelType w:val="hybridMultilevel"/>
    <w:lvl w:ilvl="0">
      <w:lvlJc w:val="left"/>
      <w:lvlText w:val="%1."/>
      <w:numFmt w:val="decimal"/>
      <w:start w:val="22"/>
    </w:lvl>
  </w:abstractNum>
  <w:abstractNum w:abstractNumId="26">
    <w:nsid w:val="2901D82"/>
    <w:multiLevelType w:val="hybridMultilevel"/>
    <w:lvl w:ilvl="0">
      <w:lvlJc w:val="left"/>
      <w:lvlText w:val="%1."/>
      <w:numFmt w:val="decimal"/>
      <w:start w:val="23"/>
    </w:lvl>
  </w:abstractNum>
  <w:abstractNum w:abstractNumId="27">
    <w:nsid w:val="3A95F874"/>
    <w:multiLevelType w:val="hybridMultilevel"/>
    <w:lvl w:ilvl="0">
      <w:lvlJc w:val="left"/>
      <w:lvlText w:val="%1."/>
      <w:numFmt w:val="decimal"/>
      <w:start w:val="24"/>
    </w:lvl>
  </w:abstractNum>
  <w:abstractNum w:abstractNumId="28">
    <w:nsid w:val="8138641"/>
    <w:multiLevelType w:val="hybridMultilevel"/>
    <w:lvl w:ilvl="0">
      <w:lvlJc w:val="left"/>
      <w:lvlText w:val="%1."/>
      <w:numFmt w:val="decimal"/>
      <w:start w:val="25"/>
    </w:lvl>
  </w:abstractNum>
  <w:abstractNum w:abstractNumId="29">
    <w:nsid w:val="1E7FF521"/>
    <w:multiLevelType w:val="hybridMultilevel"/>
    <w:lvl w:ilvl="0">
      <w:lvlJc w:val="left"/>
      <w:lvlText w:val="%1."/>
      <w:numFmt w:val="decimal"/>
      <w:start w:val="26"/>
    </w:lvl>
  </w:abstractNum>
  <w:abstractNum w:abstractNumId="30">
    <w:nsid w:val="7C3DBD3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2021-08-15T20:16:16Z</dcterms:created>
  <dcterms:modified xsi:type="dcterms:W3CDTF">2021-08-15T20:16:16Z</dcterms:modified>
</cp:coreProperties>
</file>