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Regulation FD Disclosure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25, 2026, Green Thumb Industries Inc. issued a press release announcing its financial results for the quarter ended December 31, 2025, a copy of which is attached as Exhibit 99.1.</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-7620</wp:posOffset>
            </wp:positionV>
            <wp:extent cx="17322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32280" cy="8255"/>
                    </a:xfrm>
                    <a:prstGeom prst="rect">
                      <a:avLst/>
                    </a:prstGeom>
                    <a:noFill/>
                  </pic:spPr>
                </pic:pic>
              </a:graphicData>
            </a:graphic>
          </wp:anchor>
        </w:drawing>
      </w:r>
    </w:p>
    <w:p>
      <w:pPr>
        <w:spacing w:after="0" w:line="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February 25, 2026</w:t>
      </w:r>
      <w:r>
        <w:rPr>
          <w:sz w:val="20"/>
          <w:szCs w:val="20"/>
          <w:color w:val="auto"/>
        </w:rPr>
        <w:tab/>
      </w:r>
      <w:r>
        <w:rPr>
          <w:rFonts w:ascii="Times New Roman" w:cs="Times New Roman" w:eastAsia="Times New Roman" w:hAnsi="Times New Roman"/>
          <w:sz w:val="18"/>
          <w:szCs w:val="18"/>
          <w:color w:val="auto"/>
        </w:rPr>
        <w:t>By:</w:t>
        <w:tab/>
        <w:t>/s/ 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156845</wp:posOffset>
            </wp:positionV>
            <wp:extent cx="312864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8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Green Thumb Industries Reports Fourth Quarter and Full Year 2025 Results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CHICAGO and VANCOUVER, British Columbia, February 25, 2026 (GLOBE NEWSWIRE) – Green Thumb Industries Inc. (“Green Thumb” or the “Company”) (CSE: GTII) (OTCQX: GTBIF), a leading national cannabis consumer packaged goods company and owner of RISE Dispensaries today reported its financial results for the fourth quarter and full year ended December 31, 2025. Financial results are reported in accordance with U.S. generally accepted accounting principles (“GAAP”), and all currency is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fourth quarter ended December 31, 2025:</w:t>
      </w:r>
    </w:p>
    <w:p>
      <w:pPr>
        <w:spacing w:after="0" w:line="121"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$311.1 million, an increase of 5.7% over the prior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at quarter end totaled $274.3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$83.2 million or $0.36 per basic and $0.35 per diluted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EBITDA of $100.2 million or 32.2%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of $90.0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the equivalent of approximately 2.0 million of the Company's Subordinate Voting Shares for $14.1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year ended December 31, 2025:</w:t>
      </w:r>
    </w:p>
    <w:p>
      <w:pPr>
        <w:spacing w:after="0" w:line="121"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$1.2 billion, an increase of 3.4% over the prior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of $294.9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of $114.2 million or $0.49 per basic and $0.48 per diluted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Normalized EBITDA of $348.4 million or 29.6%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the equivalent of approximately 7.7 million of the Company's Subordinate Voting Shares for $38.9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Grew retail footprint by 12 locations for a total of 113 stores nationwide.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definitions and reconciliation of non-GAAP measures elsewhere in this release.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Founder, Chairman and Chief Executive Ben Kovler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Green Thumb team delivered record fourth-quarter revenue of $311 million, up 5.7% year-over-year, capping a year in which full-year revenue grew 3.4% to $1.2 billion despite ongoing price compression. Normalized EBITDA for the year was $348 million and cash flow from operations was $295 million. We ended 2025 with cash of $274 million and considerable financial flexibility through a senior credit facility that does not mature until September 2029. In addition, last week’s $50 million increase to that credit facility brings new cash onto an already strong balance sheet to deploy for the benefit of shareholders.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2025 performance reflects our team’s focus on driving operational efficiencies, strengthening our balance sheet, and expanding our retail footprint and brand reach. On the consumer front, we continued to build brand equity through initiatives like our RYTHM Bud Ball concert series, which engaged over 4,000 attendees across three major cities, and our RYTHM Icon Strains, which highlights our best-selling genetics. Those brand building efforts, alongside consistent execution across the business, translated into measurable momentum.</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“Third-party data for the year underscored that momentum. According to BDSA’s U.S. retail sales tracking for 2025, our brands held nationwide leadership across multiple key categories in 2025. RYTHM was the No. 1 flower brand across the country, and our team should be incredibly proud. In fact, RYTHM’s Animal Face, a core Icon Strain, was the No. 1 selling flower unit in the country in 2025. Meanwhile, Dogwalkers held the No. 1 position for uninfused pre-rolls, and incredibles was the No. 1 chocolate brand.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2 of 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category-leading positions reinforce what we have always known: consumers want high-quality products they can trust, and our team continues to deliver.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built Green Thumb with a durable operating model and an eye toward long-term value creation for all stakeholders. Since becoming a public company, we have consistently demonstrated our thoughtful capital allocation and strong execution with a focus on operating cash flow. While cannabis reform in D.C. continues to stall, we have the flexibility to act and be aggressive in what we believe is a major new consumer category. As we move through 2026, we believe Green Thumb is well positioned, and we are excited about what lies ahead.”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President Anthony Georgiadis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strong balance sheet and consistent cash generation provide the foundation for disciplined capital allocation and long-term value creation. In 2025, we invested in high-return growth opportunities, expanding our retail footprint by 12 stores to 113 locations across 14 states. Our strategy of investing ahead of adult-use legalization continues to deliver results, most notably in Minnesota, where our eight RISE Dispensaries transitioned to adult-use in September and contributed meaningfully to fourth quarter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remained committed to returning capital to shareholders. Since September 2023, we have repurchased the equivalent of approximately 15.5 million Subordinate Voting Shares for $121.8 million, reflecting our confidence in our business, our team, and our intense focus on optimizing shareholder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share buybacks, we recently deployed capital strategically to support long-term growth, including our investment in RYTHM, Inc. (Nasdaq: RYM) and the separation of our hemp and cannabis businesses through the sale of our brand intellectual property. This structure enables RYTHM, Inc. to operate as a non-plant-touching, federally compliant business while allowing us to continue manufacturing cannabis products under licensing agreements, positioning both businesses to capitalize on evolving regulatory frameworks and growing consumer demand for THC products.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performance in 2025 reflects disciplined execution by our team, whose focus and resilience continue to drive short-term operating performance, while planting the seeds for long-term sustainable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3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 Year 2025 Financial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for the fourth quarter was $311.1 million, up 5.7% from the prior year period. For the full year 2025, total revenue increased 3.4% to $1.2 billion. Revenue growth in the fourth quarter was driven by retail sales in Minnesota, reflecting our launch of adult-use cannabis on September 17, 2025, partially offset by price compression and increased competition.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Packaged Goods' gross revenue for the fourth quarter decreased by 1% versus the prior year period, primarily due to price compression and increased competition, partially offset by the launch of adult-use cannabis in Minnesota. For the full year 2025, Consumer Packaged Goods' gross revenue increased by 4% compared to the prior year, primarily due to the launch of adult-use sales in Minnesota and continued impact of adult-use in Ohio, as well as continued growth in existing markets, particularly in Florida and New York, partially offset by price compression and increased competition.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Retail revenue increased by 5% versus the fourth quarter of 2024 and 1% for the full year 2025, primarily due to the launch of adult-use sales in Minnesota and continued impact of adult-use sales in Ohio, as well as continued growth in existing markets, particularly in Florida and New York, partially offset by price compression. Fourth quarter 2025 comparable sales (stores open at least 12 months) decreased 1.8% versus the prior year on a base of 99 stores.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fourth quarter 2025 was $141.3 million or 45.4% of revenue, down from $158.1 million or 53.7% of revenue over the prior year period. For the full year, gross profit was $574.9 million or 48.9% of revenue, down from $601.1 million or 52.9% in 2024. The decline in gross margin was primarily driven by price compression.</w:t>
      </w:r>
    </w:p>
    <w:p>
      <w:pPr>
        <w:spacing w:after="0" w:line="176" w:lineRule="exact"/>
        <w:rPr>
          <w:sz w:val="20"/>
          <w:szCs w:val="20"/>
          <w:color w:val="auto"/>
        </w:rPr>
      </w:pPr>
    </w:p>
    <w:p>
      <w:pPr>
        <w:jc w:val="both"/>
        <w:ind w:right="340"/>
        <w:spacing w:after="0" w:line="281" w:lineRule="auto"/>
        <w:rPr>
          <w:sz w:val="20"/>
          <w:szCs w:val="20"/>
          <w:color w:val="auto"/>
        </w:rPr>
      </w:pPr>
      <w:r>
        <w:rPr>
          <w:rFonts w:ascii="Times New Roman" w:cs="Times New Roman" w:eastAsia="Times New Roman" w:hAnsi="Times New Roman"/>
          <w:sz w:val="17"/>
          <w:szCs w:val="17"/>
          <w:color w:val="auto"/>
        </w:rPr>
        <w:t>Total selling, general and administrative expenses for the fourth quarter 2025 were $122.3 million or 39.3% of revenue, compared to $101.0 million or 34.3% of revenue for the fourth quarter 2024. Total selling, general and administrative expenses for the full year 2025 were $437.2 million or 37.2% of revenue, compared to $376.7 million or 33.1% of revenue in the prior year. The increase in selling, general and administrative expenses, was primarily attributable to increased cost associated with the opening and operation of new retail stores as well as increased compensation costs during the year.</w:t>
      </w:r>
    </w:p>
    <w:p>
      <w:pPr>
        <w:spacing w:after="0" w:line="16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Total other income (expense) for the fourth quarter was $109.4 million versus ($13.0) million for the comparable period in the prior year. Excluding fair value adjustments on related party warrants of $125.9 million primarily associated with the repayment of the $10 million related party convertible note, total other income (expense) would have been ($16.6) million, which was primarily the result of unfavorable fair value adjustments on the Company’s equity investments. Total other income (expense) for the full year 2025 was $125.7 million versus ($24.3) million for the year 2024. Excluding fair value adjustments on related party warrants (as discussed above), total other income (expense) would have been ($0.3) million.</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Net income attributable to the Company for the fourth quarter was $83.2 million or $0.36 and $0.35 per basic and diluted share, respectively up from net income of $12.7 million, or $0.05 and 0.04 per basic and diluted share, respectively, in the prior year period primarily due to the fair value adjustments on related party warrants (as discussed above). Net Income for the full year 2025 was $114.2 million or $0.49 and $0.48 per basic and diluted share, respectively primarily due to the favorable fair value adjustments on related party warrants (as discussed above).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fourth quarter 2025, EBITDA was $75.3 million or 24.2% of revenue, versus $86.1 million or 29.2% of revenue for the comparable prior year period. Normalized EBITDA, which included licensing fees and excluded non-cash stock-based compensation of $11.0 million and other non-operating adjustments of $7.1 million, was $100.2 million or 32.2% of revenue, up from $97.8 million or 33.2% of revenue for the fourth quarter 2024. Normalized EBITDA for the full year 2025 decreased to $348.4 million or 29.6% of revenue, compared to $371.3 million or 32.7% of revenue in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first quarter 2026 revenues to be sequentially down mid-single digits due to continued pricing pressure and seasonality.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 non-GAAP financial measures discussed above, see under “Non-GAAP Financial Information”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current assets were $577.2 million, including cash and cash equivalents of $274.3 million. Total debt outstanding was $244.9 million, which includes $142.5 million of senior debt. Subsequent to quarter end, the Company increased its existing syndicated credit facility by $50 million, bringing the total current principle outstanding to $189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4 of 7</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basic and diluted weighted average shares outstanding for the three months ended December 31, 2025, were 231.9 million shares and 234.4 million shares,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16, 2025, the Company’s Board of Directors authorized up to $50 million to be used to repurchase up to 10,364,640 of the Company’s Subordinate Voting Shares from September 23, 2025, through September 22, 2026. Additionally, in December 2025, the Company purchased 5,000 Super Voting Shares for a total amount of approximately $4 million, separate from and not pursuant to the existing share repurchase program.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September 5, 2023, the Company has repurchased the equivalent of approximately 15.5 million Subordinate Voting Shares for $121.8 million through December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anticipates 2026 capital expenditures to be approximately $80 million, roughly the same as the 2025 spend.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Earnings before interest, taxes, other income or expense and depreciation and amortization.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Earnings before interest, taxes, depreciation, and amortization, adjusted for other income, non-cash stock-based compensation, one-time transaction related expenses, or other non-operating costs.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Normalized EBITDA: </w:t>
      </w:r>
      <w:r>
        <w:rPr>
          <w:rFonts w:ascii="Times New Roman" w:cs="Times New Roman" w:eastAsia="Times New Roman" w:hAnsi="Times New Roman"/>
          <w:sz w:val="18"/>
          <w:szCs w:val="18"/>
          <w:color w:val="auto"/>
        </w:rPr>
        <w:t>Adjusted EBITDA plus brand license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761365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5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Green Thumb Industries Inc. (“Green Thumb” or the “Company”) is a leading national cannabis consumer packaged goods company and retailer headquartered in Chicago, Illinois. The company manufactures and distributes a portfolio of branded cannabis products, some of which are licensed, including RYTHM, Dogwalkers, incredibles, Beboe, &amp;Shine, Doctor Solomon’s and Good Green. Green Thumb also owns and operates RISE Dispensaries, a rapidly growing national retail chain with over 100 locations. Green Thumb serves millions of patients and customers each year with a mission to promote well-being through the power of cannabis while giving back to the communities it serves. Established in 2014, Green Thumb has manufacturing facilities and retail stores across 14 U.S. markets, employing approximately 5,000 people. More information is available at www.gtigrows.com.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Annual Report on Form 10-K for the year ended December 31, 2025, including the audited financial statements for the year ended December 31, 2025, will be available on the SEC's website, on its SEDAR+ profile at www.sedarplus.ca, and at https://investors.gtigrows.com. This news release is not in any way a substitute for reading the Annual Report and those financial statements, including the notes to the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future state regulation of cannabis is uncertain; the Company may not be able to obtain or maintain necessary permits and authorizations; the Company may face limitations on ownership of cannabis licenses; the Company may become subject to U.S. Food and Drug Administration or the U.S. Bureau of Alcohol, Tobacco, Firearms, and Explosives regulation; as a cannabis business, the Company is subject to applicable anti-money laundering laws and regulations and have restricted access to banking and other financial services; the Company may face difficulties acquiring additional financing; the Company operates in a highly regulated sector and may not always succeed in complying fully with applicable regulatory requirements in all jurisdictions where it conducts business; the Company faces intense competition; the Company faces competition from the illicit market as well as hemp products that are actually or purportedly compliant with the Agricultural Improvement Act of 2018 (the Farm Bill); the Company is dependent upon the popularity and consumer acceptance of its brand portfolio that the Company licenses from a third party; the Company has limited trademark protections; as a cannabis business, the Company is subject to unfavorable tax treatment and may incur significant tax liability; as a cannabis business, the Company may be subject to civil asset forfeiture; the Company is subject to proceeds of crime statutes; the Company faces exposure to fraudulent or illegal activity; the Company faces risks due to industry immaturity or limited comparable, competitive or established industry best practices; the Company faces risks related to its products; the Company’s business is subject to the risks inherent in agricultural operations; the Company faces an inherent risk of product liability and similar claims; the Company’s products may be subject to product recalls; the Company may face unfavorable publicity or consumer perception; the Company may be adversely impacted by rising or volatile energy costs and availability;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relies on the expertise of its management team and other employees experienced in the cannabis industry, and the loss of key personnel could negatively affect its business; the Company’s voting control is concentrated; the Company’s capital structure and voting control may cause unpredictability; and sales of substantial amounts Subordinate Voting Shares by the Company’s shareholders in the public market may have an adverse effect on the market price of the Company’s Subordinate Voting Shares. Further information on these and other potential factors that could affect the Company’s business and financial condition and the results of operations are included in the “Risk Factors” section of the Company’s most recent Annual Report on Form 10-K and elsewhere in the Company’s filings with the SEC, which are available (or will become available) on the SEC’s website, and on the Company’s SEDAR+ profile at www.sedarplus.ca, and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6 of 7</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subsequent written and oral forward-looking statements attributable to us or persons acting on our behalf are expressly qualified in their entirety by the cautionary statements contained in this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 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7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from Unaudited Interim 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Twelve Months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 Except for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5360" w:type="dxa"/>
            <w:vAlign w:val="bottom"/>
          </w:tcPr>
          <w:p>
            <w:pPr>
              <w:spacing w:after="0"/>
              <w:rPr>
                <w:sz w:val="22"/>
                <w:szCs w:val="22"/>
                <w:color w:val="auto"/>
              </w:rPr>
            </w:pPr>
          </w:p>
        </w:tc>
        <w:tc>
          <w:tcPr>
            <w:tcW w:w="288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2"/>
                <w:szCs w:val="22"/>
                <w:color w:val="auto"/>
              </w:rPr>
            </w:pPr>
          </w:p>
        </w:tc>
        <w:tc>
          <w:tcPr>
            <w:tcW w:w="27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181"/>
        </w:trPr>
        <w:tc>
          <w:tcPr>
            <w:tcW w:w="5360" w:type="dxa"/>
            <w:vAlign w:val="bottom"/>
          </w:tcPr>
          <w:p>
            <w:pPr>
              <w:spacing w:after="0"/>
              <w:rPr>
                <w:sz w:val="15"/>
                <w:szCs w:val="15"/>
                <w:color w:val="auto"/>
              </w:rPr>
            </w:pP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5"/>
                <w:szCs w:val="15"/>
                <w:color w:val="auto"/>
              </w:rPr>
            </w:pPr>
          </w:p>
        </w:tc>
        <w:tc>
          <w:tcPr>
            <w:tcW w:w="13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5"/>
                <w:szCs w:val="15"/>
                <w:color w:val="auto"/>
              </w:rPr>
            </w:pPr>
          </w:p>
        </w:tc>
        <w:tc>
          <w:tcPr>
            <w:tcW w:w="128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5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0"/>
        </w:trPr>
        <w:tc>
          <w:tcPr>
            <w:tcW w:w="53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16"/>
        </w:trPr>
        <w:tc>
          <w:tcPr>
            <w:tcW w:w="5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$311,129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$294,323</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$1,175,295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$1,137,141</w:t>
            </w: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(169,794)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(136,254)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(600,402)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(536,032)</w:t>
            </w:r>
          </w:p>
        </w:tc>
      </w:tr>
      <w:tr>
        <w:trPr>
          <w:trHeight w:val="210"/>
        </w:trPr>
        <w:tc>
          <w:tcPr>
            <w:tcW w:w="53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158,069</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574,893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601,109</w:t>
            </w:r>
          </w:p>
        </w:tc>
      </w:tr>
      <w:tr>
        <w:trPr>
          <w:trHeight w:val="209"/>
        </w:trPr>
        <w:tc>
          <w:tcPr>
            <w:tcW w:w="53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122,291</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100,959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437,193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376,684</w:t>
            </w:r>
          </w:p>
        </w:tc>
      </w:tr>
      <w:tr>
        <w:trPr>
          <w:trHeight w:val="209"/>
        </w:trPr>
        <w:tc>
          <w:tcPr>
            <w:tcW w:w="536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57,110</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137,700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224,425</w:t>
            </w:r>
          </w:p>
        </w:tc>
      </w:tr>
      <w:tr>
        <w:trPr>
          <w:trHeight w:val="209"/>
        </w:trPr>
        <w:tc>
          <w:tcPr>
            <w:tcW w:w="536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(9,094)</w:t>
            </w:r>
          </w:p>
        </w:tc>
      </w:tr>
      <w:tr>
        <w:trPr>
          <w:trHeight w:val="216"/>
        </w:trPr>
        <w:tc>
          <w:tcPr>
            <w:tcW w:w="5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Fair Value Adjustments on Related Party Warrants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125,946</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125,946</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9,074</w:t>
            </w:r>
          </w:p>
        </w:tc>
      </w:tr>
      <w:tr>
        <w:trPr>
          <w:trHeight w:val="216"/>
        </w:trPr>
        <w:tc>
          <w:tcPr>
            <w:tcW w:w="5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Expense, Net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(24,266)</w:t>
            </w:r>
          </w:p>
        </w:tc>
      </w:tr>
      <w:tr>
        <w:trPr>
          <w:trHeight w:val="210"/>
        </w:trPr>
        <w:tc>
          <w:tcPr>
            <w:tcW w:w="536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6"/>
        </w:trPr>
        <w:tc>
          <w:tcPr>
            <w:tcW w:w="53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109,364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125,655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(24,286)</w:t>
            </w:r>
          </w:p>
        </w:tc>
      </w:tr>
      <w:tr>
        <w:trPr>
          <w:trHeight w:val="210"/>
        </w:trPr>
        <w:tc>
          <w:tcPr>
            <w:tcW w:w="536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194"/>
        </w:trPr>
        <w:tc>
          <w:tcPr>
            <w:tcW w:w="53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w:t>
            </w:r>
          </w:p>
        </w:tc>
        <w:tc>
          <w:tcPr>
            <w:tcW w:w="14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r>
      <w:tr>
        <w:trPr>
          <w:trHeight w:val="238"/>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128,408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44,122</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263,355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200,139</w:t>
            </w:r>
          </w:p>
        </w:tc>
      </w:tr>
      <w:tr>
        <w:trPr>
          <w:trHeight w:val="216"/>
        </w:trPr>
        <w:tc>
          <w:tcPr>
            <w:tcW w:w="5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147,302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126,288</w:t>
            </w:r>
          </w:p>
        </w:tc>
      </w:tr>
      <w:tr>
        <w:trPr>
          <w:trHeight w:val="210"/>
        </w:trPr>
        <w:tc>
          <w:tcPr>
            <w:tcW w:w="536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83,119</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116,053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73,851</w:t>
            </w:r>
          </w:p>
        </w:tc>
      </w:tr>
      <w:tr>
        <w:trPr>
          <w:trHeight w:val="216"/>
        </w:trPr>
        <w:tc>
          <w:tcPr>
            <w:tcW w:w="5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Non-Controlling Interest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10"/>
        </w:trPr>
        <w:tc>
          <w:tcPr>
            <w:tcW w:w="5360" w:type="dxa"/>
            <w:vAlign w:val="bottom"/>
            <w:tcBorders>
              <w:top w:val="single" w:sz="8" w:color="CFF0FC"/>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5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$83,203</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$114,152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$73,083</w:t>
            </w:r>
          </w:p>
        </w:tc>
      </w:tr>
      <w:tr>
        <w:trPr>
          <w:trHeight w:val="197"/>
        </w:trPr>
        <w:tc>
          <w:tcPr>
            <w:tcW w:w="536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5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197"/>
        </w:trPr>
        <w:tc>
          <w:tcPr>
            <w:tcW w:w="536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5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196"/>
        </w:trPr>
        <w:tc>
          <w:tcPr>
            <w:tcW w:w="536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5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231,912,718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236,934,348</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233,865,410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236,827,774</w:t>
            </w:r>
          </w:p>
        </w:tc>
      </w:tr>
      <w:tr>
        <w:trPr>
          <w:trHeight w:val="196"/>
        </w:trPr>
        <w:tc>
          <w:tcPr>
            <w:tcW w:w="5360" w:type="dxa"/>
            <w:vAlign w:val="bottom"/>
            <w:tcBorders>
              <w:top w:val="single" w:sz="8" w:color="CFF0FC"/>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r>
      <w:tr>
        <w:trPr>
          <w:trHeight w:val="25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234,391,318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239,162,831</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236,874,553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241,925,957</w:t>
            </w:r>
          </w:p>
        </w:tc>
      </w:tr>
      <w:tr>
        <w:trPr>
          <w:trHeight w:val="959"/>
        </w:trPr>
        <w:tc>
          <w:tcPr>
            <w:tcW w:w="5360" w:type="dxa"/>
            <w:vAlign w:val="bottom"/>
            <w:tcBorders>
              <w:top w:val="single" w:sz="8" w:color="CFF0FC"/>
              <w:bottom w:val="single" w:sz="8" w:color="9A9A9A"/>
            </w:tcBorders>
          </w:tcPr>
          <w:p>
            <w:pPr>
              <w:spacing w:after="0"/>
              <w:rPr>
                <w:sz w:val="24"/>
                <w:szCs w:val="24"/>
                <w:color w:val="auto"/>
              </w:rPr>
            </w:pPr>
          </w:p>
        </w:tc>
        <w:tc>
          <w:tcPr>
            <w:tcW w:w="14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12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36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-6346825</wp:posOffset>
            </wp:positionV>
            <wp:extent cx="93980" cy="316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-4791075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-4791075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-4791075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-4508500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-4508500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-4508500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-3676650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-3676650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-3676650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-3394075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-3394075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-3394075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-2699385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-2699385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-2699385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-2142490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-2142490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-2142490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-1859280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-1842135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-1859280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-1842135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-1859280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-1842135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-1559560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-1542415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-1559560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-1542415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-1559560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-1542415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-1259205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-1242060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-1259205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-1242060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-1259205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-1242060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-959485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-942340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-959485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-942340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-959485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-942340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-659130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-642620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-659130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-642620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-659130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-642620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8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51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the Unaudited Interim Condensed Consolidated Balance Sheet </w:t>
      </w:r>
      <w:r>
        <w:rPr>
          <w:rFonts w:ascii="Times New Roman" w:cs="Times New Roman" w:eastAsia="Times New Roman" w:hAnsi="Times New Roman"/>
          <w:sz w:val="18"/>
          <w:szCs w:val="18"/>
          <w:i w:val="1"/>
          <w:iCs w:val="1"/>
          <w:color w:val="auto"/>
        </w:rPr>
        <w:t>(Amounts Expressed in Thousands of United States Dollars)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34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9340" w:type="dxa"/>
            <w:vAlign w:val="bottom"/>
          </w:tcPr>
          <w:p>
            <w:pPr>
              <w:spacing w:after="0"/>
              <w:rPr>
                <w:sz w:val="20"/>
                <w:szCs w:val="20"/>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16"/>
        </w:trPr>
        <w:tc>
          <w:tcPr>
            <w:tcW w:w="9340" w:type="dxa"/>
            <w:vAlign w:val="bottom"/>
            <w:tcBorders>
              <w:bottom w:val="single" w:sz="8" w:color="CFF0FC"/>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09"/>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$274,298</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302,873</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690,893</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 Net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239,662</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436,681</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592,151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253,498</w:t>
            </w:r>
          </w:p>
        </w:tc>
      </w:tr>
      <w:tr>
        <w:trPr>
          <w:trHeight w:val="250"/>
        </w:trPr>
        <w:tc>
          <w:tcPr>
            <w:tcW w:w="9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$2,790,056</w:t>
            </w:r>
          </w:p>
        </w:tc>
      </w:tr>
      <w:tr>
        <w:trPr>
          <w:trHeight w:val="196"/>
        </w:trPr>
        <w:tc>
          <w:tcPr>
            <w:tcW w:w="93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$177,315</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 Net of Current Portion and Debt Discount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226,401</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255,102</w:t>
            </w:r>
          </w:p>
        </w:tc>
      </w:tr>
      <w:tr>
        <w:trPr>
          <w:trHeight w:val="216"/>
        </w:trPr>
        <w:tc>
          <w:tcPr>
            <w:tcW w:w="9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220,595</w:t>
            </w:r>
          </w:p>
        </w:tc>
      </w:tr>
      <w:tr>
        <w:trPr>
          <w:trHeight w:val="216"/>
        </w:trPr>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1,910,643</w:t>
            </w:r>
          </w:p>
        </w:tc>
      </w:tr>
      <w:tr>
        <w:trPr>
          <w:trHeight w:val="250"/>
        </w:trPr>
        <w:tc>
          <w:tcPr>
            <w:tcW w:w="93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$2,790,056</w:t>
            </w:r>
          </w:p>
        </w:tc>
      </w:tr>
      <w:tr>
        <w:trPr>
          <w:trHeight w:val="959"/>
        </w:trPr>
        <w:tc>
          <w:tcPr>
            <w:tcW w:w="93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9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(Unaudited) Regarding Non-GAAP Financial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For the Three and Twelve Months Ended December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42804"/>
        </w:rPr>
        <w:t>EBITDA, and Adjusted EBITDA are non-GAAP measures and do not have standardized definitions under GAAP. We define each term as follows:</w:t>
      </w:r>
    </w:p>
    <w:p>
      <w:pPr>
        <w:spacing w:after="0" w:line="22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EBITDA is defined as earnings before interest, taxes, other income or expense and depreciation and amortization.</w:t>
      </w:r>
    </w:p>
    <w:p>
      <w:pPr>
        <w:spacing w:after="0" w:line="27" w:lineRule="exact"/>
        <w:rPr>
          <w:rFonts w:ascii="Times New Roman" w:cs="Times New Roman" w:eastAsia="Times New Roman" w:hAnsi="Times New Roman"/>
          <w:sz w:val="18"/>
          <w:szCs w:val="18"/>
          <w:color w:val="042804"/>
        </w:rPr>
      </w:pPr>
    </w:p>
    <w:p>
      <w:pPr>
        <w:ind w:right="640" w:firstLine="8"/>
        <w:spacing w:after="0" w:line="250" w:lineRule="auto"/>
        <w:tabs>
          <w:tab w:leader="none" w:pos="255"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Adjusted EBITDA is defined as earnings before interest, taxes, depreciation, and amortization, adjusted for other income, non-cash share-based compensation, one-time transaction related expenses, or other non-operating (income) or costs.</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Normalized EBITDA is defined as Adjusted EBITDA plus brand license fees.</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042804"/>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believes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86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318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6"/>
                <w:szCs w:val="16"/>
                <w:color w:val="auto"/>
              </w:rPr>
            </w:pPr>
          </w:p>
        </w:tc>
        <w:tc>
          <w:tcPr>
            <w:tcW w:w="136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5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49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4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220" w:type="dxa"/>
            <w:vAlign w:val="bottom"/>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 (GAAP)</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$83,119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$116,053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20,018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45,289</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31,318</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147,302</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(110,199)</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(134,296)</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56,286</w:t>
            </w:r>
          </w:p>
        </w:tc>
        <w:tc>
          <w:tcPr>
            <w:tcW w:w="1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145,449</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49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$75,330</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$86,068</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$283,149</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$337,635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0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b w:val="1"/>
                <w:bCs w:val="1"/>
                <w:color w:val="auto"/>
              </w:rPr>
              <w:t>Amortization (EBITDA) (non-GAAP measure)</w:t>
            </w:r>
          </w:p>
        </w:tc>
        <w:tc>
          <w:tcPr>
            <w:tcW w:w="136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Share-based Compensation, Non-Cash</w:t>
            </w:r>
          </w:p>
        </w:tc>
        <w:tc>
          <w:tcPr>
            <w:tcW w:w="13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11,004</w:t>
            </w:r>
          </w:p>
        </w:tc>
        <w:tc>
          <w:tcPr>
            <w:tcW w:w="15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9,607</w:t>
            </w:r>
          </w:p>
        </w:tc>
        <w:tc>
          <w:tcPr>
            <w:tcW w:w="148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44,933</w:t>
            </w:r>
          </w:p>
        </w:tc>
        <w:tc>
          <w:tcPr>
            <w:tcW w:w="166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33,312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Acquisition, Transaction, and Other Non-Operating (Income)</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40" w:type="dxa"/>
            <w:vAlign w:val="bottom"/>
            <w:vMerge w:val="restart"/>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vMerge w:val="restart"/>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220" w:type="dxa"/>
            <w:vAlign w:val="bottom"/>
            <w:vMerge w:val="restart"/>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1360" w:type="dxa"/>
            <w:vAlign w:val="bottom"/>
            <w:tcBorders>
              <w:bottom w:val="single" w:sz="8" w:color="auto"/>
            </w:tcBorders>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3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180" w:type="dxa"/>
            <w:vAlign w:val="bottom"/>
          </w:tcPr>
          <w:p>
            <w:pPr>
              <w:spacing w:after="0"/>
              <w:rPr>
                <w:sz w:val="21"/>
                <w:szCs w:val="21"/>
                <w:color w:val="auto"/>
              </w:rPr>
            </w:pPr>
          </w:p>
        </w:tc>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$93,439</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$97,782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$341,589</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$371,318</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80" w:type="dxa"/>
            <w:vAlign w:val="bottom"/>
          </w:tcPr>
          <w:p>
            <w:pPr>
              <w:spacing w:after="0"/>
              <w:rPr>
                <w:sz w:val="17"/>
                <w:szCs w:val="17"/>
                <w:color w:val="auto"/>
              </w:rPr>
            </w:pPr>
          </w:p>
        </w:tc>
        <w:tc>
          <w:tcPr>
            <w:tcW w:w="490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License Fee recorded in Cost of Sales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1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6,801</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Normalized EBITDA (Non-GAAP Measure)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$100,240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$97,782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$348,390</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$371,318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0"/>
        </w:trPr>
        <w:tc>
          <w:tcPr>
            <w:tcW w:w="1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-1936750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-1936750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-1936750</wp:posOffset>
            </wp:positionV>
            <wp:extent cx="1460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-1105535</wp:posOffset>
            </wp:positionV>
            <wp:extent cx="857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-1088390</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-1105535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-1088390</wp:posOffset>
            </wp:positionV>
            <wp:extent cx="76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-1105535</wp:posOffset>
            </wp:positionV>
            <wp:extent cx="1460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-1088390</wp:posOffset>
            </wp:positionV>
            <wp:extent cx="1460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-805180</wp:posOffset>
            </wp:positionV>
            <wp:extent cx="85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-805180</wp:posOffset>
            </wp:positionV>
            <wp:extent cx="768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-805180</wp:posOffset>
            </wp:positionV>
            <wp:extent cx="1460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2026-02-25T15:20:18Z</dcterms:created>
  <dcterms:modified xsi:type="dcterms:W3CDTF">2026-02-25T15:20:18Z</dcterms:modified>
</cp:coreProperties>
</file>