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5.02(e)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21, 2024, the Compensation Committee (the “Committee”) of the Board of Directors of Green Thumb Industries Inc. (the “Company”) approved changes to the compensation of employees including Benjamin Kovler, Chairman and Chief Executive Officer; Anthony Georgiadis, President; Mathew Faulkner, Chief Financial Officer; and Bret Kravitz, General Counsel, in each case in recognition of their leadership and long service and dedication to the Company, and in the case of Mr. Faulkner and Mr. Kravitz, to encourage retention. On November 1, 2024, Mr. Kovler and Mr. Georgiadis will each receive an award of 750,000 Restricted Share Units (“RSUs”), and Mr. Faulkner and Mr. Kravitz will each receive an award of 300,000 RSUs. Each RSU award will vest in one-third increments on each of the first three anniversaries of the grant date and be subject to the Company’s standard form of grant agreement, included as Exhibit 10.15 to the Company’s Annual Report on Form 10-K for the year ended December 31, 2023, filed on February 29, 2024. Mr. Kovler and Mr. Georgiadis will also each receive a one-time cash bonus of $300,000. Further, in connection with these changes, for the fiscal year ended December 31, 2025, the Committee approved an increase in Mr. Kovler’s and Mr. Georgiadis’s respective annual cash bonus targets from 250% of their respective base salaries to 325% for Mr. Kovler and 300% for Mr.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 Kravitz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Bret Kravitz</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2024-10-25T06:09:23Z</dcterms:created>
  <dcterms:modified xsi:type="dcterms:W3CDTF">2024-10-25T06:09:23Z</dcterms:modified>
</cp:coreProperties>
</file>