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5517d8k.htm"/>
      <w:bookmarkStart w:id="1" w:name="ksd655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August 25,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48"/>
        </w:rPr>
      </w:pPr>
      <w:r>
        <w:rPr>
          <w:rFonts w:ascii="Times New Roman" w:hAnsi="Times New Roman"/>
          <w:b/>
          <w:sz w:val="48"/>
        </w:rPr>
        <w:t>GREEN THUMB INDUSTRIES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British Columbia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000-56132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98-1437430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20" w:after="0"/>
        <w:jc w:val="center"/>
        <w:rPr>
          <w:rFonts w:ascii="Times New Roman" w:hAnsi="Times New Roman"/>
          <w:b/>
          <w:sz w:val="20"/>
        </w:rPr>
      </w:pPr>
      <w:r>
        <w:rPr>
          <w:rFonts w:ascii="Times New Roman" w:hAnsi="Times New Roman"/>
          <w:b/>
          <w:sz w:val="20"/>
        </w:rPr>
        <w:t>325 West Huron Street, Suite 700</w:t>
      </w:r>
    </w:p>
    <w:p>
      <w:pPr>
        <w:pStyle w:val="TextBody"/>
        <w:bidi w:val="0"/>
        <w:spacing w:before="0" w:after="0"/>
        <w:jc w:val="center"/>
        <w:rPr>
          <w:rFonts w:ascii="Times New Roman" w:hAnsi="Times New Roman"/>
          <w:b/>
          <w:sz w:val="20"/>
        </w:rPr>
      </w:pPr>
      <w:r>
        <w:rPr>
          <w:rFonts w:ascii="Times New Roman" w:hAnsi="Times New Roman"/>
          <w:b/>
          <w:sz w:val="20"/>
        </w:rPr>
        <w:t>Chicago, Illinois 60654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20" w:after="0"/>
        <w:jc w:val="center"/>
        <w:rPr>
          <w:rFonts w:ascii="Times New Roman" w:hAnsi="Times New Roman"/>
          <w:b/>
          <w:sz w:val="20"/>
        </w:rPr>
      </w:pPr>
      <w:r>
        <w:rPr>
          <w:rFonts w:ascii="Times New Roman" w:hAnsi="Times New Roman"/>
          <w:b/>
          <w:sz w:val="20"/>
        </w:rPr>
        <w:t>(312) 471-6720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3480" w:type="dxa"/>
        <w:jc w:val="left"/>
        <w:tblInd w:w="0" w:type="dxa"/>
        <w:tblLayout w:type="fixed"/>
        <w:tblCellMar>
          <w:top w:w="0" w:type="dxa"/>
          <w:left w:w="0" w:type="dxa"/>
          <w:bottom w:w="0" w:type="dxa"/>
          <w:right w:w="0" w:type="dxa"/>
        </w:tblCellMar>
      </w:tblPr>
      <w:tblGrid>
        <w:gridCol w:w="1310"/>
        <w:gridCol w:w="60"/>
        <w:gridCol w:w="605"/>
        <w:gridCol w:w="60"/>
        <w:gridCol w:w="14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exchange</w:t>
              <w:br/>
              <w:t>on which registered</w:t>
            </w:r>
          </w:p>
        </w:tc>
      </w:tr>
      <w:tr>
        <w:trPr/>
        <w:tc>
          <w:tcPr>
            <w:tcW w:w="13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35" w:type="dxa"/>
        <w:jc w:val="left"/>
        <w:tblInd w:w="0" w:type="dxa"/>
        <w:tblLayout w:type="fixed"/>
        <w:tblCellMar>
          <w:top w:w="0" w:type="dxa"/>
          <w:left w:w="0" w:type="dxa"/>
          <w:bottom w:w="0" w:type="dxa"/>
          <w:right w:w="0" w:type="dxa"/>
        </w:tblCellMar>
      </w:tblPr>
      <w:tblGrid>
        <w:gridCol w:w="1025"/>
        <w:gridCol w:w="3710"/>
      </w:tblGrid>
      <w:tr>
        <w:trPr/>
        <w:tc>
          <w:tcPr>
            <w:tcW w:w="1025" w:type="dxa"/>
            <w:tcBorders/>
            <w:vAlign w:val="center"/>
          </w:tcPr>
          <w:p>
            <w:pPr>
              <w:pStyle w:val="TableContents"/>
              <w:bidi w:val="0"/>
              <w:spacing w:before="0" w:after="283"/>
              <w:jc w:val="left"/>
              <w:rPr>
                <w:b/>
              </w:rPr>
            </w:pPr>
            <w:r>
              <w:rPr>
                <w:b/>
              </w:rPr>
              <w:t>Item 1.01.</w:t>
            </w:r>
          </w:p>
        </w:tc>
        <w:tc>
          <w:tcPr>
            <w:tcW w:w="37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27, 2025, VCP23, LLC (the “Seller”), an indirect wholly-owned subsidiary of Green Thumb Industries Inc. (the “Company”), entered into a Purchase Agreement (the “Purchase Agreement”) with Agrify Corporation (“Agrify”) pursuant to which the Company sold to Agrify all of the equity interests in VCP IP Holdings, LLC (“VCP”). The Company is an indirect owner of 35% of the outstanding shares of common stock of Agrify (“Agrify Common Stock”), and Benjamin Kovler, Chairman and Chief Executive Officer of the Company, also serves as Chairman and Interim Chief Executive Officer of Agrify. The assets of VCP consist primarily of intellectual property rights to several brands (the “Brands”), including </w:t>
      </w:r>
      <w:r>
        <w:rPr>
          <w:rFonts w:ascii="Times New Roman" w:hAnsi="Times New Roman"/>
          <w:i/>
          <w:sz w:val="20"/>
        </w:rPr>
        <w:t>RYTHM, Beboe, Dogwalkers, Doctor Solomon’s, &amp;Shine</w:t>
      </w:r>
      <w:r>
        <w:rPr>
          <w:rFonts w:ascii="Times New Roman" w:hAnsi="Times New Roman"/>
          <w:sz w:val="20"/>
        </w:rPr>
        <w:t xml:space="preserve"> and </w:t>
      </w:r>
      <w:r>
        <w:rPr>
          <w:rFonts w:ascii="Times New Roman" w:hAnsi="Times New Roman"/>
          <w:i/>
          <w:sz w:val="20"/>
        </w:rPr>
        <w:t>Good Green</w:t>
      </w:r>
      <w:r>
        <w:rPr>
          <w:rFonts w:ascii="Times New Roman" w:hAnsi="Times New Roman"/>
          <w:sz w:val="20"/>
        </w:rPr>
        <w:t>. The purchase price for the equity interests in VCP under the Purchase Agreement consisted of cash consideration of $50 million (the “Purchase Price”).</w:t>
      </w:r>
    </w:p>
    <w:p>
      <w:pPr>
        <w:pStyle w:val="TextBody"/>
        <w:bidi w:val="0"/>
        <w:spacing w:before="240" w:after="0"/>
        <w:jc w:val="left"/>
        <w:rPr>
          <w:rFonts w:ascii="Times New Roman" w:hAnsi="Times New Roman"/>
          <w:sz w:val="20"/>
        </w:rPr>
      </w:pPr>
      <w:r>
        <w:rPr>
          <w:rFonts w:ascii="Times New Roman" w:hAnsi="Times New Roman"/>
          <w:sz w:val="20"/>
        </w:rPr>
        <w:t>The Purchase Agreement includes customary representations and warranties and covenants of the parties. Subject to certain customary limitations, (i) the Seller will indemnify Agrify and its affiliates, officers, directors and other agents against certain losses related to breaches of the Seller’s representations, warranties or covenants, pre-closing taxes, or any indebtedness of VCP outstanding at closing, and (ii) Agrify will indemnify the Seller and its affiliates, officers, directors and other agents against certain losses related to breaches of Agrify’s representations, warranties or covenants.</w:t>
      </w:r>
    </w:p>
    <w:p>
      <w:pPr>
        <w:pStyle w:val="TextBody"/>
        <w:bidi w:val="0"/>
        <w:spacing w:before="240" w:after="0"/>
        <w:jc w:val="left"/>
        <w:rPr>
          <w:rFonts w:ascii="Times New Roman" w:hAnsi="Times New Roman"/>
          <w:sz w:val="20"/>
        </w:rPr>
      </w:pPr>
      <w:r>
        <w:rPr>
          <w:rFonts w:ascii="Times New Roman" w:hAnsi="Times New Roman"/>
          <w:sz w:val="20"/>
        </w:rPr>
        <w:t>The foregoing summary of the Purchase Agreement and related transactions does not purport to be complete and is qualified in its entirety by reference to the complete text of the Purchase Agreement, which is filed as Exhibit 10.1 hereto, and which is incorporated by reference herein.</w:t>
      </w:r>
    </w:p>
    <w:p>
      <w:pPr>
        <w:pStyle w:val="TextBody"/>
        <w:bidi w:val="0"/>
        <w:spacing w:before="360" w:after="0"/>
        <w:jc w:val="left"/>
        <w:rPr>
          <w:rFonts w:ascii="Times New Roman" w:hAnsi="Times New Roman"/>
          <w:i/>
          <w:sz w:val="20"/>
        </w:rPr>
      </w:pPr>
      <w:r>
        <w:rPr>
          <w:rFonts w:ascii="Times New Roman" w:hAnsi="Times New Roman"/>
          <w:i/>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On August 27, 2025, immediately following the closing under the Purchase Agreement, VCP, a wholly-owned subsidiary of Agrify following the closing, entered into a Trademark and Recipe License Agreement (the “License Agreement”) with GTI Core, LLC (“GTI Core”), an indirect wholly-owned subsidiary of the Company. Under the License Agreement, VCP granted to GTI Core a license to use certain intellectual property related to the Brands. The consideration payable by GTI Core for the license rights consists of a monthly license fee, payable in cash, based on sales of products using the licensed intellectual property as set forth in the License Agreement.</w:t>
      </w:r>
    </w:p>
    <w:p>
      <w:pPr>
        <w:pStyle w:val="TextBody"/>
        <w:bidi w:val="0"/>
        <w:spacing w:before="240" w:after="0"/>
        <w:jc w:val="left"/>
        <w:rPr>
          <w:rFonts w:ascii="Times New Roman" w:hAnsi="Times New Roman"/>
          <w:sz w:val="20"/>
        </w:rPr>
      </w:pPr>
      <w:r>
        <w:rPr>
          <w:rFonts w:ascii="Times New Roman" w:hAnsi="Times New Roman"/>
          <w:sz w:val="20"/>
        </w:rPr>
        <w:t>The License Agreement will automatically terminate upon certain insolvency events involving GTI Core and may be terminated by GTI Core beginning on the five year anniversary date of the License Agreement. The License Agreement includes customary representations and warranties and covenants of the parties. GTI Core will indemnify VCP against certain losses related to breaches of GTI Core’s representations, warranties or covenants, and VCP will indemnify GTI Core against certain losses related to breaches of VCP’s representations, warranties or covenants or certain claims relating to the licensed intellectual property.</w:t>
      </w:r>
    </w:p>
    <w:p>
      <w:pPr>
        <w:pStyle w:val="TextBody"/>
        <w:bidi w:val="0"/>
        <w:spacing w:before="240" w:after="0"/>
        <w:jc w:val="left"/>
        <w:rPr>
          <w:rFonts w:ascii="Times New Roman" w:hAnsi="Times New Roman"/>
          <w:sz w:val="20"/>
        </w:rPr>
      </w:pPr>
      <w:r>
        <w:rPr>
          <w:rFonts w:ascii="Times New Roman" w:hAnsi="Times New Roman"/>
          <w:sz w:val="20"/>
        </w:rPr>
        <w:t>The foregoing summary of the License Agreement and related transactions does not purport to be complete and is qualified in its entirety by reference to the complete text of the License Agreement, which is filed as Exhibit 10.2 hereto, and which is incorporated by reference herein.</w:t>
      </w:r>
    </w:p>
    <w:p>
      <w:pPr>
        <w:pStyle w:val="TextBody"/>
        <w:bidi w:val="0"/>
        <w:spacing w:before="360" w:after="0"/>
        <w:jc w:val="left"/>
        <w:rPr>
          <w:rFonts w:ascii="Times New Roman" w:hAnsi="Times New Roman"/>
          <w:i/>
          <w:sz w:val="20"/>
        </w:rPr>
      </w:pPr>
      <w:r>
        <w:rPr>
          <w:rFonts w:ascii="Times New Roman" w:hAnsi="Times New Roman"/>
          <w:i/>
          <w:sz w:val="20"/>
        </w:rPr>
        <w:t xml:space="preserve">Convertible Note </w:t>
      </w:r>
    </w:p>
    <w:p>
      <w:pPr>
        <w:pStyle w:val="TextBody"/>
        <w:bidi w:val="0"/>
        <w:spacing w:before="120" w:after="0"/>
        <w:jc w:val="left"/>
        <w:rPr>
          <w:rFonts w:ascii="Times New Roman" w:hAnsi="Times New Roman"/>
          <w:sz w:val="20"/>
        </w:rPr>
      </w:pPr>
      <w:r>
        <w:rPr>
          <w:rFonts w:ascii="Times New Roman" w:hAnsi="Times New Roman"/>
          <w:sz w:val="20"/>
        </w:rPr>
        <w:t>On August 25, 2025, RSLGH, LLC (“RSLGH”), an indirect wholly-owned subsidiary of the Company, made a loan to Agrify, and Agrify issued a Secured Convertible Note to the Company with an aggregate original principal amount of $45 million (the “Note”) to RSLGH. The Note is a secured obligation of Agrify and will rank senior to all indebtedness of Agrify except for the Secured Convertible Notes issued to RSLGH on November 5, 2024 (the “November 2024 Note”) and to RSLGH and other investors on May 22, 2025 (the “May 2025 Notes” and, collectively with the November 2024 Note, the “Existing Notes”), which rank on parity with the Note and other notes issued simultaneously with the Note. The Note will mature on February 25, 2027 and will accrue interest based on a 10.0% annualized interest rate, with interest to be paid on the first calendar day of each September and March while the Note is outstanding. beginning March 1, 2026, in cash, Agrify Common Stock, or pre-funded warrants to purchase Agrify Common Stock (“Pre-Funded Warrants”) at the election of the holders of a majority in interest of the outstanding Notes. The principal amount of the Note will be payable on the maturity date.</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the extent any Pre-Funded Warrants are issued, each Pre-Funded Warrant will be exercisable upon issuance into one share of Agrify Common Stock at a price per share of $0.001 (as adjusted from time to time in accordance with the terms thereof) and will expire when each Pre-Funded Warrant is fully exercised. Pre-Funded Warrants will be exercisable on a cashless basis if, at the time of exercise, there is no effective registration statement registering the resale of the shares of Agrify Common Stock resulting from an exercise or if the prospectus contained in the applicable registration statement is not available. Any Pre-Funded Warrants issued to RSLGH will be subject to a 49.99% beneficial ownership limitation and Pre-Funded Warrants issued to other holders will be subject to a 4.99% beneficial ownership limitation. Additionally, any exercise of Pre-Funded Warrants will, to the extent required, be subject to the receipt of stockholder approval under Nasdaq listing rules.</w:t>
      </w:r>
    </w:p>
    <w:p>
      <w:pPr>
        <w:pStyle w:val="TextBody"/>
        <w:bidi w:val="0"/>
        <w:spacing w:before="240" w:after="0"/>
        <w:jc w:val="left"/>
        <w:rPr>
          <w:rFonts w:ascii="Times New Roman" w:hAnsi="Times New Roman"/>
          <w:sz w:val="20"/>
        </w:rPr>
      </w:pPr>
      <w:r>
        <w:rPr>
          <w:rFonts w:ascii="Times New Roman" w:hAnsi="Times New Roman"/>
          <w:sz w:val="20"/>
        </w:rPr>
        <w:t>The Note imposes certain customary affirmative and negative covenants upon Agrify, including covenants relating to ranking and reservation of shares. If an event of default under the Note occurs and is not waived, RSLGH can elect to accelerate all or a portion of the then-outstanding principal amount of the Note, plus accrued and unpaid interest, including default interest, which accrues at a rate per annum equal to 14% from the date of a default or event of default.</w:t>
      </w:r>
    </w:p>
    <w:p>
      <w:pPr>
        <w:pStyle w:val="TextBody"/>
        <w:bidi w:val="0"/>
        <w:spacing w:before="240" w:after="0"/>
        <w:jc w:val="left"/>
        <w:rPr>
          <w:rFonts w:ascii="Times New Roman" w:hAnsi="Times New Roman"/>
          <w:sz w:val="20"/>
        </w:rPr>
      </w:pPr>
      <w:r>
        <w:rPr>
          <w:rFonts w:ascii="Times New Roman" w:hAnsi="Times New Roman"/>
          <w:sz w:val="20"/>
        </w:rPr>
        <w:t>The Note may be converted into Agrify Common Stock or, at the election of RSLGH, into Pre-Funded Warrants, with a beneficial ownership limitation of 49.99%, subject to applicable Nasdaq listing rules. If RSLGH elects to convert the Note into Agrify Common Stock, and for interest payments payable in the form of Agrify Common Stock, the conversion price per share will be $29.475 (the “Conversion Price”), equal to the Minimum Price as such term is defined under Nasdaq Listing Rule 5635 at the time the Note was issued, subject to customary adjustments for certain corporate events. If RSLGH elects to convert the Note into Pre-Funded Warrants, and for interest payments payable in the form of Pre-Funded Warrants, the conversion price per Pre-Funded Warrant will be equal to the Conversion Price less the $0.001 exercise price of the warrant. The conversion of the Notes into Agrify Common Stock and/or Pre-Funded Warrants will be subject to certain customary conditions and, to the extent required, the receipt of stockholder approval under Nasdaq listing rules.</w:t>
      </w:r>
    </w:p>
    <w:p>
      <w:pPr>
        <w:pStyle w:val="TextBody"/>
        <w:bidi w:val="0"/>
        <w:spacing w:before="240" w:after="0"/>
        <w:jc w:val="left"/>
        <w:rPr>
          <w:rFonts w:ascii="Times New Roman" w:hAnsi="Times New Roman"/>
          <w:sz w:val="20"/>
        </w:rPr>
      </w:pPr>
      <w:r>
        <w:rPr>
          <w:rFonts w:ascii="Times New Roman" w:hAnsi="Times New Roman"/>
          <w:sz w:val="20"/>
        </w:rPr>
        <w:t>The foregoing summaries of the Note and related transactions, including the terms of the Pre-Funded Warrants, do not purport to be complete and are qualified in their entirety by reference to the complete text of the form of Note and the form of Pre-Funded Warrant, which are filed as Exhibit 10.3 and Exhibit 10.4 hereto, respectively, and which are incorporated by reference herein.</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Warranties and Covenants </w:t>
      </w:r>
    </w:p>
    <w:p>
      <w:pPr>
        <w:pStyle w:val="TextBody"/>
        <w:bidi w:val="0"/>
        <w:spacing w:before="120" w:after="0"/>
        <w:jc w:val="left"/>
        <w:rPr>
          <w:rFonts w:ascii="Times New Roman" w:hAnsi="Times New Roman"/>
          <w:sz w:val="20"/>
        </w:rPr>
      </w:pPr>
      <w:r>
        <w:rPr>
          <w:rFonts w:ascii="Times New Roman" w:hAnsi="Times New Roman"/>
          <w:sz w:val="20"/>
        </w:rPr>
        <w:t>The Purchase Agreement and the License Agreement have been included as exhibits hereto to provide investors with information regarding their respective terms and are not intended to provide any financial or other factual information about the Company, VCP or the counterparties to those agreements. In particular, the representations, warranties and covenants contained in those agreements (i) were made only for purposes of that agreement and as of specific dates, (ii) were made solely for the benefit of the parties to the respective agreements, (iii) may be subject to limitations agreed upon by the parties, including being qualified by confidential disclosures made for the purpose of allocating contractual risk between the parties to agreements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applicable agreements, which subsequent information may or may not be fully reflected in the Company’s public disclosures.</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120" w:after="0"/>
        <w:jc w:val="left"/>
        <w:rPr>
          <w:rFonts w:ascii="Times New Roman" w:hAnsi="Times New Roman"/>
          <w:sz w:val="20"/>
        </w:rPr>
      </w:pPr>
      <w:r>
        <w:rPr>
          <w:rFonts w:ascii="Times New Roman" w:hAnsi="Times New Roman"/>
          <w:sz w:val="20"/>
        </w:rPr>
        <w:t>On August 27, 2025, the Company issued a press release announcing the sale of VCP, the entry into the License Agreement and the entry into the Note, a copy of which is attached as Exhibit 99.1 to this Current Report on Form 8-K and is incorporated herein by reference.</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59"/>
        <w:gridCol w:w="120"/>
        <w:gridCol w:w="9426"/>
      </w:tblGrid>
      <w:tr>
        <w:trPr/>
        <w:tc>
          <w:tcPr>
            <w:tcW w:w="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26" w:type="dxa"/>
            <w:tcBorders/>
            <w:vAlign w:val="center"/>
          </w:tcPr>
          <w:p>
            <w:pPr>
              <w:pStyle w:val="TableContents"/>
              <w:bidi w:val="0"/>
              <w:spacing w:before="0" w:after="283"/>
              <w:jc w:val="left"/>
              <w:rPr>
                <w:sz w:val="4"/>
                <w:szCs w:val="4"/>
              </w:rPr>
            </w:pPr>
            <w:r>
              <w:rPr>
                <w:sz w:val="4"/>
                <w:szCs w:val="4"/>
              </w:rPr>
            </w:r>
          </w:p>
        </w:tc>
      </w:tr>
      <w:tr>
        <w:trPr/>
        <w:tc>
          <w:tcPr>
            <w:tcW w:w="659"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426" w:type="dxa"/>
            <w:tcBorders/>
            <w:vAlign w:val="center"/>
          </w:tcPr>
          <w:p>
            <w:pPr>
              <w:pStyle w:val="TableContents"/>
              <w:bidi w:val="0"/>
              <w:spacing w:before="0" w:after="283"/>
              <w:jc w:val="left"/>
              <w:rPr/>
            </w:pPr>
            <w:r>
              <w:rPr/>
              <w:t> </w:t>
            </w:r>
          </w:p>
        </w:tc>
      </w:tr>
      <w:tr>
        <w:trPr/>
        <w:tc>
          <w:tcPr>
            <w:tcW w:w="659" w:type="dxa"/>
            <w:tcBorders/>
            <w:vAlign w:val="center"/>
          </w:tcPr>
          <w:p>
            <w:pPr>
              <w:pStyle w:val="TableContents"/>
              <w:bidi w:val="0"/>
              <w:spacing w:before="0" w:after="283"/>
              <w:jc w:val="left"/>
              <w:rPr>
                <w:sz w:val="4"/>
                <w:szCs w:val="4"/>
              </w:rPr>
            </w:pPr>
            <w:r>
              <w:rPr>
                <w:sz w:val="4"/>
                <w:szCs w:val="4"/>
              </w:rPr>
            </w:r>
          </w:p>
        </w:tc>
        <w:tc>
          <w:tcPr>
            <w:tcW w:w="9546"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26" w:type="dxa"/>
            <w:tcBorders/>
            <w:vAlign w:val="center"/>
          </w:tcPr>
          <w:p>
            <w:pPr>
              <w:pStyle w:val="TableContents"/>
              <w:bidi w:val="0"/>
              <w:spacing w:before="0" w:after="283"/>
              <w:jc w:val="left"/>
              <w:rPr/>
            </w:pPr>
            <w:hyperlink w:anchor="d65517dex101.htm">
              <w:r>
                <w:rPr>
                  <w:rStyle w:val="InternetLink"/>
                </w:rPr>
                <w:t xml:space="preserve">Purchase Agreement, dated August 27, 2025, by and between VCP23, LLC and Agrify Corporation </w:t>
              </w:r>
            </w:hyperlink>
          </w:p>
        </w:tc>
      </w:tr>
      <w:tr>
        <w:trPr/>
        <w:tc>
          <w:tcPr>
            <w:tcW w:w="659" w:type="dxa"/>
            <w:tcBorders/>
            <w:vAlign w:val="center"/>
          </w:tcPr>
          <w:p>
            <w:pPr>
              <w:pStyle w:val="TableContents"/>
              <w:bidi w:val="0"/>
              <w:spacing w:before="0" w:after="283"/>
              <w:jc w:val="left"/>
              <w:rPr>
                <w:sz w:val="4"/>
                <w:szCs w:val="4"/>
              </w:rPr>
            </w:pPr>
            <w:r>
              <w:rPr>
                <w:sz w:val="4"/>
                <w:szCs w:val="4"/>
              </w:rPr>
            </w:r>
          </w:p>
        </w:tc>
        <w:tc>
          <w:tcPr>
            <w:tcW w:w="9546"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26" w:type="dxa"/>
            <w:tcBorders/>
            <w:vAlign w:val="center"/>
          </w:tcPr>
          <w:p>
            <w:pPr>
              <w:pStyle w:val="TableContents"/>
              <w:bidi w:val="0"/>
              <w:spacing w:before="0" w:after="283"/>
              <w:jc w:val="left"/>
              <w:rPr/>
            </w:pPr>
            <w:hyperlink w:anchor="d65517dex102.htm">
              <w:r>
                <w:rPr>
                  <w:rStyle w:val="InternetLink"/>
                </w:rPr>
                <w:t xml:space="preserve">Trademark and Recipe License Agreement, dated August 27, 2025, by and between VCP IP Holdings, LLC and GTI Core, LLC </w:t>
              </w:r>
            </w:hyperlink>
          </w:p>
        </w:tc>
      </w:tr>
      <w:tr>
        <w:trPr/>
        <w:tc>
          <w:tcPr>
            <w:tcW w:w="659" w:type="dxa"/>
            <w:tcBorders/>
            <w:vAlign w:val="center"/>
          </w:tcPr>
          <w:p>
            <w:pPr>
              <w:pStyle w:val="TableContents"/>
              <w:bidi w:val="0"/>
              <w:spacing w:before="0" w:after="283"/>
              <w:jc w:val="left"/>
              <w:rPr>
                <w:sz w:val="4"/>
                <w:szCs w:val="4"/>
              </w:rPr>
            </w:pPr>
            <w:r>
              <w:rPr>
                <w:sz w:val="4"/>
                <w:szCs w:val="4"/>
              </w:rPr>
            </w:r>
          </w:p>
        </w:tc>
        <w:tc>
          <w:tcPr>
            <w:tcW w:w="9546"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426" w:type="dxa"/>
            <w:tcBorders/>
            <w:vAlign w:val="center"/>
          </w:tcPr>
          <w:p>
            <w:pPr>
              <w:pStyle w:val="TableContents"/>
              <w:bidi w:val="0"/>
              <w:spacing w:before="0" w:after="283"/>
              <w:jc w:val="left"/>
              <w:rPr/>
            </w:pPr>
            <w:hyperlink w:anchor="d65517dex103.htm">
              <w:r>
                <w:rPr>
                  <w:rStyle w:val="InternetLink"/>
                </w:rPr>
                <w:t xml:space="preserve">Form of Secured Convertible Note dated August 25, 2025 </w:t>
              </w:r>
            </w:hyperlink>
          </w:p>
        </w:tc>
      </w:tr>
      <w:tr>
        <w:trPr/>
        <w:tc>
          <w:tcPr>
            <w:tcW w:w="659" w:type="dxa"/>
            <w:tcBorders/>
            <w:vAlign w:val="center"/>
          </w:tcPr>
          <w:p>
            <w:pPr>
              <w:pStyle w:val="TableContents"/>
              <w:bidi w:val="0"/>
              <w:spacing w:before="0" w:after="283"/>
              <w:jc w:val="left"/>
              <w:rPr>
                <w:sz w:val="4"/>
                <w:szCs w:val="4"/>
              </w:rPr>
            </w:pPr>
            <w:r>
              <w:rPr>
                <w:sz w:val="4"/>
                <w:szCs w:val="4"/>
              </w:rPr>
            </w:r>
          </w:p>
        </w:tc>
        <w:tc>
          <w:tcPr>
            <w:tcW w:w="9546"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26" w:type="dxa"/>
            <w:tcBorders/>
            <w:vAlign w:val="center"/>
          </w:tcPr>
          <w:p>
            <w:pPr>
              <w:pStyle w:val="TableContents"/>
              <w:bidi w:val="0"/>
              <w:spacing w:before="0" w:after="283"/>
              <w:jc w:val="left"/>
              <w:rPr/>
            </w:pPr>
            <w:hyperlink w:anchor="d65517dex104.htm">
              <w:r>
                <w:rPr>
                  <w:rStyle w:val="InternetLink"/>
                </w:rPr>
                <w:t xml:space="preserve">Form of Pre-Funded Common Stock Purchase Warrant of Agrify Corporation </w:t>
              </w:r>
            </w:hyperlink>
          </w:p>
        </w:tc>
      </w:tr>
      <w:tr>
        <w:trPr/>
        <w:tc>
          <w:tcPr>
            <w:tcW w:w="659" w:type="dxa"/>
            <w:tcBorders/>
            <w:vAlign w:val="center"/>
          </w:tcPr>
          <w:p>
            <w:pPr>
              <w:pStyle w:val="TableContents"/>
              <w:bidi w:val="0"/>
              <w:spacing w:before="0" w:after="283"/>
              <w:jc w:val="left"/>
              <w:rPr>
                <w:sz w:val="4"/>
                <w:szCs w:val="4"/>
              </w:rPr>
            </w:pPr>
            <w:r>
              <w:rPr>
                <w:sz w:val="4"/>
                <w:szCs w:val="4"/>
              </w:rPr>
            </w:r>
          </w:p>
        </w:tc>
        <w:tc>
          <w:tcPr>
            <w:tcW w:w="9546"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26" w:type="dxa"/>
            <w:tcBorders/>
            <w:vAlign w:val="center"/>
          </w:tcPr>
          <w:p>
            <w:pPr>
              <w:pStyle w:val="TableContents"/>
              <w:bidi w:val="0"/>
              <w:spacing w:before="0" w:after="283"/>
              <w:jc w:val="left"/>
              <w:rPr/>
            </w:pPr>
            <w:hyperlink w:anchor="d65517dex991.htm">
              <w:r>
                <w:rPr>
                  <w:rStyle w:val="InternetLink"/>
                </w:rPr>
                <w:t>Press Release of Green Thumb Industries Inc. dated August 27, 2025</w:t>
              </w:r>
            </w:hyperlink>
          </w:p>
        </w:tc>
      </w:tr>
      <w:tr>
        <w:trPr/>
        <w:tc>
          <w:tcPr>
            <w:tcW w:w="659" w:type="dxa"/>
            <w:tcBorders/>
            <w:vAlign w:val="center"/>
          </w:tcPr>
          <w:p>
            <w:pPr>
              <w:pStyle w:val="TableContents"/>
              <w:bidi w:val="0"/>
              <w:spacing w:before="0" w:after="283"/>
              <w:jc w:val="left"/>
              <w:rPr>
                <w:sz w:val="4"/>
                <w:szCs w:val="4"/>
              </w:rPr>
            </w:pPr>
            <w:r>
              <w:rPr>
                <w:sz w:val="4"/>
                <w:szCs w:val="4"/>
              </w:rPr>
            </w:r>
          </w:p>
        </w:tc>
        <w:tc>
          <w:tcPr>
            <w:tcW w:w="9546"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26"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Schedules and exhibits have been omitted pursuant to Item 601(a)(5) of Regulation S-K. The registrant hereby undertakes to furnish copies of any of the omitted schedules and exhibits upon request by the U.S. Securities and Exchange Commission.</w:t>
            </w:r>
          </w:p>
        </w:tc>
      </w:tr>
    </w:tbl>
    <w:tbl>
      <w:tblPr>
        <w:tblW w:w="2215" w:type="dxa"/>
        <w:jc w:val="left"/>
        <w:tblInd w:w="0" w:type="dxa"/>
        <w:tblLayout w:type="fixed"/>
        <w:tblCellMar>
          <w:top w:w="0" w:type="dxa"/>
          <w:left w:w="0" w:type="dxa"/>
          <w:bottom w:w="0" w:type="dxa"/>
          <w:right w:w="0" w:type="dxa"/>
        </w:tblCellMar>
      </w:tblPr>
      <w:tblGrid>
        <w:gridCol w:w="275"/>
        <w:gridCol w:w="1940"/>
      </w:tblGrid>
      <w:tr>
        <w:trPr/>
        <w:tc>
          <w:tcPr>
            <w:tcW w:w="275"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Furnished but not filed.</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6251" w:type="dxa"/>
        <w:jc w:val="left"/>
        <w:tblInd w:w="0" w:type="dxa"/>
        <w:tblLayout w:type="fixed"/>
        <w:tblCellMar>
          <w:top w:w="0" w:type="dxa"/>
          <w:left w:w="0" w:type="dxa"/>
          <w:bottom w:w="0" w:type="dxa"/>
          <w:right w:w="0" w:type="dxa"/>
        </w:tblCellMar>
      </w:tblPr>
      <w:tblGrid>
        <w:gridCol w:w="2195"/>
        <w:gridCol w:w="60"/>
        <w:gridCol w:w="23"/>
        <w:gridCol w:w="60"/>
        <w:gridCol w:w="23"/>
        <w:gridCol w:w="60"/>
        <w:gridCol w:w="383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GREEN THUMB INDUSTRIES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 Kravitz</w:t>
            </w:r>
          </w:p>
        </w:tc>
      </w:tr>
      <w:tr>
        <w:trPr/>
        <w:tc>
          <w:tcPr>
            <w:tcW w:w="2195" w:type="dxa"/>
            <w:tcBorders/>
            <w:vAlign w:val="center"/>
          </w:tcPr>
          <w:p>
            <w:pPr>
              <w:pStyle w:val="TableContents"/>
              <w:bidi w:val="0"/>
              <w:spacing w:before="0" w:after="283"/>
              <w:jc w:val="left"/>
              <w:rPr/>
            </w:pPr>
            <w:r>
              <w:rPr/>
              <w:t>Date: August 27,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Bret Kravitz</w:t>
            </w:r>
          </w:p>
          <w:p>
            <w:pPr>
              <w:pStyle w:val="TableContents"/>
              <w:bidi w:val="0"/>
              <w:spacing w:before="0" w:after="20"/>
              <w:jc w:val="left"/>
              <w:rPr>
                <w:rFonts w:ascii="Times New Roman" w:hAnsi="Times New Roman"/>
                <w:sz w:val="20"/>
              </w:rPr>
            </w:pPr>
            <w:r>
              <w:rPr>
                <w:rFonts w:ascii="Times New Roman" w:hAnsi="Times New Roman"/>
                <w:sz w:val="20"/>
              </w:rPr>
              <w:t>General Counsel and Secretary</w:t>
            </w:r>
          </w:p>
        </w:tc>
      </w:tr>
    </w:tbl>
    <w:p>
      <w:pPr>
        <w:pStyle w:val="TextBody"/>
        <w:bidi w:val="0"/>
        <w:spacing w:before="0" w:after="0"/>
        <w:jc w:val="right"/>
        <w:rPr>
          <w:rFonts w:ascii="Times New Roman" w:hAnsi="Times New Roman"/>
          <w:b/>
          <w:sz w:val="20"/>
        </w:rPr>
      </w:pPr>
      <w:bookmarkStart w:id="2" w:name="d65517dex101.htm"/>
      <w:bookmarkStart w:id="3" w:name="ksd65517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VCP23, LLC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AGRIFY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27,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PURCHASE AGREEMENT </w:t>
      </w:r>
    </w:p>
    <w:p>
      <w:pPr>
        <w:pStyle w:val="TextBody"/>
        <w:bidi w:val="0"/>
        <w:spacing w:before="240" w:after="0"/>
        <w:jc w:val="left"/>
        <w:rPr>
          <w:rFonts w:ascii="Times New Roman" w:hAnsi="Times New Roman"/>
          <w:sz w:val="20"/>
        </w:rPr>
      </w:pPr>
      <w:r>
        <w:rPr>
          <w:rFonts w:ascii="Times New Roman" w:hAnsi="Times New Roman"/>
          <w:sz w:val="20"/>
        </w:rPr>
        <w:t>This PURCHASE AGREEMENT (this “</w:t>
      </w:r>
      <w:r>
        <w:rPr>
          <w:rFonts w:ascii="Times New Roman" w:hAnsi="Times New Roman"/>
          <w:b/>
          <w:sz w:val="20"/>
        </w:rPr>
        <w:t>Agreement</w:t>
      </w:r>
      <w:r>
        <w:rPr>
          <w:rFonts w:ascii="Times New Roman" w:hAnsi="Times New Roman"/>
          <w:sz w:val="20"/>
        </w:rPr>
        <w:t>”), dated August 27, 2025, is made by and between VCP23, LLC, a Delaware limited liability company (“</w:t>
      </w:r>
      <w:r>
        <w:rPr>
          <w:rFonts w:ascii="Times New Roman" w:hAnsi="Times New Roman"/>
          <w:b/>
          <w:sz w:val="20"/>
        </w:rPr>
        <w:t>Seller</w:t>
      </w:r>
      <w:r>
        <w:rPr>
          <w:rFonts w:ascii="Times New Roman" w:hAnsi="Times New Roman"/>
          <w:sz w:val="20"/>
        </w:rPr>
        <w:t>”), and AGRIFY CORPORATION, a Nevada corporation (“</w:t>
      </w:r>
      <w:r>
        <w:rPr>
          <w:rFonts w:ascii="Times New Roman" w:hAnsi="Times New Roman"/>
          <w:b/>
          <w:sz w:val="20"/>
        </w:rPr>
        <w:t>Purchaser</w:t>
      </w:r>
      <w:r>
        <w:rPr>
          <w:rFonts w:ascii="Times New Roman" w:hAnsi="Times New Roman"/>
          <w:sz w:val="20"/>
        </w:rPr>
        <w:t>”). Seller and Purchaser are sometimes referred to individually as a “</w:t>
      </w:r>
      <w:r>
        <w:rPr>
          <w:rFonts w:ascii="Times New Roman" w:hAnsi="Times New Roman"/>
          <w:b/>
          <w:sz w:val="20"/>
        </w:rPr>
        <w:t>Party</w:t>
      </w:r>
      <w:r>
        <w:rPr>
          <w:rFonts w:ascii="Times New Roman" w:hAnsi="Times New Roman"/>
          <w:sz w:val="20"/>
        </w:rPr>
        <w:t>” and together,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VCP IP HOLDINGS, LLC, a Delaware limited liability company (the “</w:t>
      </w:r>
      <w:r>
        <w:rPr>
          <w:rFonts w:ascii="Times New Roman" w:hAnsi="Times New Roman"/>
          <w:b/>
          <w:sz w:val="20"/>
        </w:rPr>
        <w:t>Company</w:t>
      </w:r>
      <w:r>
        <w:rPr>
          <w:rFonts w:ascii="Times New Roman" w:hAnsi="Times New Roman"/>
          <w:sz w:val="20"/>
        </w:rPr>
        <w:t>”) is engaged in the business (the “</w:t>
      </w:r>
      <w:r>
        <w:rPr>
          <w:rFonts w:ascii="Times New Roman" w:hAnsi="Times New Roman"/>
          <w:b/>
          <w:sz w:val="20"/>
        </w:rPr>
        <w:t>Business</w:t>
      </w:r>
      <w:r>
        <w:rPr>
          <w:rFonts w:ascii="Times New Roman" w:hAnsi="Times New Roman"/>
          <w:sz w:val="20"/>
        </w:rPr>
        <w:t xml:space="preserve">”) of owning Intellectual Property (as defined in </w:t>
      </w:r>
      <w:r>
        <w:rPr>
          <w:rFonts w:ascii="Times New Roman" w:hAnsi="Times New Roman"/>
          <w:sz w:val="20"/>
          <w:u w:val="single"/>
        </w:rPr>
        <w:t>Article I</w:t>
      </w:r>
      <w:r>
        <w:rPr>
          <w:rFonts w:ascii="Times New Roman" w:hAnsi="Times New Roman"/>
          <w:sz w:val="20"/>
        </w:rPr>
        <w:t>) and licensing it to (a) state-licensed cannabis businesses that manufacture, distribute, market, and sell cannabis and (b) businesses that manufacture, distribute, market, and sell hemp products that are compliant with the Agriculture Improvement Act of 2018 (the “</w:t>
      </w:r>
      <w:r>
        <w:rPr>
          <w:rFonts w:ascii="Times New Roman" w:hAnsi="Times New Roman"/>
          <w:b/>
          <w:sz w:val="20"/>
        </w:rPr>
        <w:t>Farm Bill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Seller owns 100% of the Company’s membership interests (the “</w:t>
      </w:r>
      <w:r>
        <w:rPr>
          <w:rFonts w:ascii="Times New Roman" w:hAnsi="Times New Roman"/>
          <w:b/>
          <w:sz w:val="20"/>
        </w:rPr>
        <w:t>Membership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Seller desires to transfer, assign, and sell the Membership Interests to Purchaser in exchange for payment of the Purchase Price (defined herein), and Purchaser desires to accept such transfer and to pay the Purchase Price, on the terms and subject to the conditions contained in this Agreement (the “</w:t>
      </w:r>
      <w:r>
        <w:rPr>
          <w:rFonts w:ascii="Times New Roman" w:hAnsi="Times New Roman"/>
          <w:b/>
          <w:sz w:val="20"/>
        </w:rPr>
        <w:t>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Accordingly, for good and valuable consideration, the receipt and sufficiency of which is hereby acknowledged, the Parties, intending to be legally bound, hereby agree as follows.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u w:val="single"/>
        </w:rPr>
        <w:t>DEFINITIONS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have the meanings specified or referred to in this </w:t>
      </w:r>
      <w:r>
        <w:rPr>
          <w:rFonts w:ascii="Times New Roman" w:hAnsi="Times New Roman"/>
          <w:sz w:val="20"/>
          <w:u w:val="single"/>
        </w:rPr>
        <w:t>Article I</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b/>
          <w:sz w:val="20"/>
        </w:rPr>
        <w:t>Ancillary Documents</w:t>
      </w:r>
      <w:r>
        <w:rPr>
          <w:rFonts w:ascii="Times New Roman" w:hAnsi="Times New Roman"/>
          <w:sz w:val="20"/>
        </w:rPr>
        <w:t xml:space="preserve">” means the agreements, documents, instruments, or certificates delivered or required to be delivered by any party at the Closing pursuant to this Agreement. </w:t>
      </w:r>
    </w:p>
    <w:p>
      <w:pPr>
        <w:pStyle w:val="TextBody"/>
        <w:bidi w:val="0"/>
        <w:spacing w:before="240" w:after="0"/>
        <w:jc w:val="left"/>
        <w:rPr/>
      </w:pPr>
      <w:r>
        <w:rPr/>
        <w:t>“</w:t>
      </w:r>
      <w:r>
        <w:rPr>
          <w:rFonts w:ascii="Times New Roman" w:hAnsi="Times New Roman"/>
          <w:b/>
          <w:sz w:val="20"/>
        </w:rPr>
        <w:t>BEBOE License</w:t>
      </w:r>
      <w:r>
        <w:rPr>
          <w:rFonts w:ascii="Times New Roman" w:hAnsi="Times New Roman"/>
          <w:sz w:val="20"/>
        </w:rPr>
        <w:t xml:space="preserve">” means the Trademark and Recipe License Agreement, dated as of May 20, 2025, by and between For Success Holding Company and Core Growth, LLC. </w:t>
      </w:r>
    </w:p>
    <w:p>
      <w:pPr>
        <w:pStyle w:val="TextBody"/>
        <w:bidi w:val="0"/>
        <w:spacing w:before="240" w:after="0"/>
        <w:jc w:val="left"/>
        <w:rPr/>
      </w:pPr>
      <w:r>
        <w:rPr/>
        <w:t>“</w:t>
      </w:r>
      <w:r>
        <w:rPr>
          <w:rFonts w:ascii="Times New Roman" w:hAnsi="Times New Roman"/>
          <w:b/>
          <w:sz w:val="20"/>
        </w:rPr>
        <w:t>Business Day(s)</w:t>
      </w:r>
      <w:r>
        <w:rPr>
          <w:rFonts w:ascii="Times New Roman" w:hAnsi="Times New Roman"/>
          <w:sz w:val="20"/>
        </w:rPr>
        <w:t xml:space="preserve">” means any day on which commercial banks located in Chicago, Illinois are open for the conduct of ordinary banking business.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Working Capital</w:t>
      </w:r>
      <w:r>
        <w:rPr>
          <w:rFonts w:ascii="Times New Roman" w:hAnsi="Times New Roman"/>
          <w:sz w:val="20"/>
        </w:rPr>
        <w:t xml:space="preserve">” means: (i) the Current Assets of the Company, less (ii) the Current Liabilities of the Company, determined as of the open of business on the Closing Date, as calculated in the Closing Working Capital Statement. </w:t>
      </w:r>
    </w:p>
    <w:p>
      <w:pPr>
        <w:pStyle w:val="TextBody"/>
        <w:bidi w:val="0"/>
        <w:spacing w:before="240" w:after="0"/>
        <w:jc w:val="left"/>
        <w:rPr/>
      </w:pPr>
      <w:r>
        <w:rPr/>
        <w:t>“</w:t>
      </w:r>
      <w:r>
        <w:rPr>
          <w:rFonts w:ascii="Times New Roman" w:hAnsi="Times New Roman"/>
          <w:b/>
          <w:sz w:val="20"/>
        </w:rPr>
        <w:t>Closing Working Capital Target</w:t>
      </w:r>
      <w:r>
        <w:rPr>
          <w:rFonts w:ascii="Times New Roman" w:hAnsi="Times New Roman"/>
          <w:sz w:val="20"/>
        </w:rPr>
        <w:t xml:space="preserve">” means $0.00 </w:t>
      </w:r>
    </w:p>
    <w:p>
      <w:pPr>
        <w:pStyle w:val="TextBody"/>
        <w:bidi w:val="0"/>
        <w:spacing w:before="240" w:after="0"/>
        <w:jc w:val="left"/>
        <w:rPr/>
      </w:pPr>
      <w:r>
        <w:rPr/>
        <w:t>“</w:t>
      </w:r>
      <w:r>
        <w:rPr>
          <w:rFonts w:ascii="Times New Roman" w:hAnsi="Times New Roman"/>
          <w:b/>
          <w:sz w:val="20"/>
        </w:rPr>
        <w:t>Company IP Agreements</w:t>
      </w:r>
      <w:r>
        <w:rPr>
          <w:rFonts w:ascii="Times New Roman" w:hAnsi="Times New Roman"/>
          <w:sz w:val="20"/>
        </w:rPr>
        <w:t xml:space="preserve">” means all licenses, sublicenses, consent to use agreements, settlements, coexistence agreements, covenants not to sue, waivers, releases, permissions and other Contracts, whether written or oral, relating to material Company Intellectual Property to which the Company is a party, beneficiary or otherwise bound. </w:t>
      </w:r>
    </w:p>
    <w:p>
      <w:pPr>
        <w:pStyle w:val="TextBody"/>
        <w:bidi w:val="0"/>
        <w:spacing w:before="240" w:after="0"/>
        <w:jc w:val="left"/>
        <w:rPr/>
      </w:pPr>
      <w:r>
        <w:rPr/>
        <w:t>“</w:t>
      </w:r>
      <w:r>
        <w:rPr>
          <w:rFonts w:ascii="Times New Roman" w:hAnsi="Times New Roman"/>
          <w:b/>
          <w:sz w:val="20"/>
        </w:rPr>
        <w:t>Company IP Registrations</w:t>
      </w:r>
      <w:r>
        <w:rPr>
          <w:rFonts w:ascii="Times New Roman" w:hAnsi="Times New Roman"/>
          <w:sz w:val="20"/>
        </w:rPr>
        <w:t xml:space="preserve">” means all Company Intellectual Property that is subject to any issuance, registration or application by or with any Governmental Authority or authorized private registrar in any jurisdiction, including issued patents, registered trademarks, and copyrights, and pending applications for any of the foregoing.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any written agreement, contract, lease, consensual obligation, promise or undertaking.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means copyrights and works of authorship, whether or not copyrightable, and all registrations, applications for registration, and renewals of any of the foregoing. </w:t>
      </w:r>
    </w:p>
    <w:p>
      <w:pPr>
        <w:pStyle w:val="TextBody"/>
        <w:bidi w:val="0"/>
        <w:spacing w:before="240" w:after="0"/>
        <w:jc w:val="left"/>
        <w:rPr/>
      </w:pPr>
      <w:r>
        <w:rPr/>
        <w:t>“</w:t>
      </w:r>
      <w:r>
        <w:rPr>
          <w:rFonts w:ascii="Times New Roman" w:hAnsi="Times New Roman"/>
          <w:b/>
          <w:sz w:val="20"/>
        </w:rPr>
        <w:t>Current Assets</w:t>
      </w:r>
      <w:r>
        <w:rPr>
          <w:rFonts w:ascii="Times New Roman" w:hAnsi="Times New Roman"/>
          <w:sz w:val="20"/>
        </w:rPr>
        <w:t xml:space="preserve">” means cash and cash equivalents, accounts receivable, inventory and prepaid expenses, but excluding deferred Tax assets, each determined in accordance with GAAP using the same accounting methods, practices, principles, policies, and procedures, with consistent classifications, judgments, and valuation and estimation methodologies that were used in the preparation of the Company’s financial statements for the most recent fiscal year end as if such accounts were being prepared as of a fiscal year end. </w:t>
      </w:r>
    </w:p>
    <w:p>
      <w:pPr>
        <w:pStyle w:val="TextBody"/>
        <w:bidi w:val="0"/>
        <w:spacing w:before="240" w:after="0"/>
        <w:jc w:val="left"/>
        <w:rPr/>
      </w:pPr>
      <w:r>
        <w:rPr/>
        <w:t>“</w:t>
      </w:r>
      <w:r>
        <w:rPr>
          <w:rFonts w:ascii="Times New Roman" w:hAnsi="Times New Roman"/>
          <w:b/>
          <w:sz w:val="20"/>
        </w:rPr>
        <w:t>Current Liabilities</w:t>
      </w:r>
      <w:r>
        <w:rPr>
          <w:rFonts w:ascii="Times New Roman" w:hAnsi="Times New Roman"/>
          <w:sz w:val="20"/>
        </w:rPr>
        <w:t xml:space="preserve">” means accounts payable and accrued expenses, but excluding deferred Tax liabilities and the current portion of any Indebtedness, each determined in accordance with GAAP applied using the same accounting methods, practices, principles, policies, and procedures, with consistent classifications, judgments, and valuation and estimation methodologies that were used in the preparation of the Company’s financial statements for the most recent fiscal year end as if such accounts were being prepared as of a fiscal year end. </w:t>
      </w:r>
    </w:p>
    <w:p>
      <w:pPr>
        <w:pStyle w:val="TextBody"/>
        <w:bidi w:val="0"/>
        <w:spacing w:before="240" w:after="0"/>
        <w:jc w:val="left"/>
        <w:rPr/>
      </w:pPr>
      <w:r>
        <w:rPr/>
        <w:t>“</w:t>
      </w:r>
      <w:r>
        <w:rPr>
          <w:rFonts w:ascii="Times New Roman" w:hAnsi="Times New Roman"/>
          <w:b/>
          <w:sz w:val="20"/>
        </w:rPr>
        <w:t>Dollars or $</w:t>
      </w:r>
      <w:r>
        <w:rPr>
          <w:rFonts w:ascii="Times New Roman" w:hAnsi="Times New Roman"/>
          <w:sz w:val="20"/>
        </w:rPr>
        <w:t xml:space="preserve">” means the lawful currency of the United States. </w:t>
      </w:r>
    </w:p>
    <w:p>
      <w:pPr>
        <w:pStyle w:val="TextBody"/>
        <w:bidi w:val="0"/>
        <w:spacing w:before="240" w:after="0"/>
        <w:jc w:val="left"/>
        <w:rPr/>
      </w:pPr>
      <w:r>
        <w:rPr/>
        <w:t>“</w:t>
      </w:r>
      <w:r>
        <w:rPr>
          <w:rFonts w:ascii="Times New Roman" w:hAnsi="Times New Roman"/>
          <w:b/>
          <w:sz w:val="20"/>
        </w:rPr>
        <w:t>Federal Cannabis Laws</w:t>
      </w:r>
      <w:r>
        <w:rPr>
          <w:rFonts w:ascii="Times New Roman" w:hAnsi="Times New Roman"/>
          <w:sz w:val="20"/>
        </w:rPr>
        <w:t xml:space="preserve">” means federal laws of the United States that make illegal the manufacture, possession, sale, or distribution of cannabis.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means the unaudited balance sheets for the Company as of December 31, 2024 and June 30, 2025. </w:t>
      </w:r>
    </w:p>
    <w:p>
      <w:pPr>
        <w:pStyle w:val="TextBody"/>
        <w:bidi w:val="0"/>
        <w:spacing w:before="240" w:after="0"/>
        <w:jc w:val="left"/>
        <w:rPr/>
      </w:pPr>
      <w:r>
        <w:rPr/>
        <w:t>“</w:t>
      </w:r>
      <w:r>
        <w:rPr>
          <w:rFonts w:ascii="Times New Roman" w:hAnsi="Times New Roman"/>
          <w:b/>
          <w:sz w:val="20"/>
        </w:rPr>
        <w:t>Flow-Through Tax Return</w:t>
      </w:r>
      <w:r>
        <w:rPr>
          <w:rFonts w:ascii="Times New Roman" w:hAnsi="Times New Roman"/>
          <w:sz w:val="20"/>
        </w:rPr>
        <w:t xml:space="preserve">” means any income Tax Return (such as IRS Form 1065 and associated Schedules K-1 and corresponding state and local Tax Returns) for a Tax period ending on or before the Closing Date (not including a Straddle Period) that allocates income or Taxes to its owners and does not reflect or concern federal income Taxes that are imposed on the entity itself for which the Tax Return is filed.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Fraud</w:t>
      </w:r>
      <w:r>
        <w:rPr>
          <w:rFonts w:ascii="Times New Roman" w:hAnsi="Times New Roman"/>
          <w:sz w:val="20"/>
        </w:rPr>
        <w:t xml:space="preserve">” means an act in the making of a specific representation or warranty expressly set forth herein, committed by the Person making such express representation or warranty, with specific intent to deceive the Person(s) to whom the representation or warranty is made hereunder, and to induce such Person(s) to enter into and perform its obligations under this Agreement and requires: (a) a false representation of material fact expressly set forth in the representations and warranties set forth in this Agreement; (b) actual knowledge that such representation is false; (c) an intention to induce the Person(s) to whom the representation or warranty is made to act or refrain from acting in reliance upon it; (d) causing the Person(s) to whom the representation or warranty is made, in justifiable reliance upon such false representation to take or refrain from taking action; and (e) causing the Person(s) to whom the representation or warranty is made to suffer material damage by reason of such reliance. </w:t>
      </w:r>
    </w:p>
    <w:p>
      <w:pPr>
        <w:pStyle w:val="TextBody"/>
        <w:bidi w:val="0"/>
        <w:spacing w:before="240" w:after="0"/>
        <w:jc w:val="left"/>
        <w:rPr/>
      </w:pPr>
      <w:r>
        <w:rPr/>
        <w:t>“</w:t>
      </w:r>
      <w:r>
        <w:rPr>
          <w:rFonts w:ascii="Times New Roman" w:hAnsi="Times New Roman"/>
          <w:b/>
          <w:sz w:val="20"/>
        </w:rPr>
        <w:t>Governmental Order</w:t>
      </w:r>
      <w:r>
        <w:rPr>
          <w:rFonts w:ascii="Times New Roman" w:hAnsi="Times New Roman"/>
          <w:sz w:val="20"/>
        </w:rPr>
        <w:t xml:space="preserve">” means any order, writ, judgment, injunction, decree, stipulation, determination or award entered by or with any Governmental Authority.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with respect to the Company, all indebtedness for borrowed money.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means all (a) Patents, (b) Trademarks, (c) Trade Names, (d) know-how, (e) Copyrights, inventions, (f) Trade Secrets, (g) service marks, (h) recipes, and (i) all other intellectual property rights, and, in each case, all goodwill associated therewith or related thereto, and together with all causes of action (in law or equity), claims, demands and any other rights for, or arising from any past, present or future infringement thereof. Notwithstanding the foregoing, Intellectual Property shall exclude (i) internet domain names, social media account or user names, and all associated web addresses, URLs, websites and web pages and all content and data thereon or relating thereto, whether or not Copyrights, and (ii) historic sales, production, and marketing data with respect to the Company’s products, it being understood, in each case, that any such intellectual property related to the Company’s products and Trademarks are owned (and shall be retained) by Green Thumb Industries Inc. or its Affiliates. </w:t>
      </w:r>
    </w:p>
    <w:p>
      <w:pPr>
        <w:pStyle w:val="TextBody"/>
        <w:bidi w:val="0"/>
        <w:spacing w:before="240" w:after="0"/>
        <w:jc w:val="left"/>
        <w:rPr/>
      </w:pPr>
      <w:r>
        <w:rPr/>
        <w:t>“</w:t>
      </w:r>
      <w:r>
        <w:rPr>
          <w:rFonts w:ascii="Times New Roman" w:hAnsi="Times New Roman"/>
          <w:b/>
          <w:sz w:val="20"/>
        </w:rPr>
        <w:t>Liability</w:t>
      </w:r>
      <w:r>
        <w:rPr>
          <w:rFonts w:ascii="Times New Roman" w:hAnsi="Times New Roman"/>
          <w:sz w:val="20"/>
        </w:rPr>
        <w:t xml:space="preserve">” means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event, occurrence, fact, condition or change that is materially adverse to (a) the business, results of operations, financial condition or assets of the Company, or (b) the ability of Seller to consummate the transactions contemplated hereby; </w:t>
      </w:r>
      <w:r>
        <w:rPr>
          <w:rFonts w:ascii="Times New Roman" w:hAnsi="Times New Roman"/>
          <w:i/>
          <w:sz w:val="20"/>
        </w:rPr>
        <w:t>provided, however</w:t>
      </w:r>
      <w:r>
        <w:rPr>
          <w:rFonts w:ascii="Times New Roman" w:hAnsi="Times New Roman"/>
          <w:sz w:val="20"/>
        </w:rPr>
        <w:t xml:space="preserve">, that “Material Adverse Effect” shall not include any event, occurrence, fact, condition or change, directly or indirectly, arising out of or attributable to: (i) general economic or political conditions; (ii) conditions generally affecting the industries in which the Company operates; (iii) any changes in financial, banking or securities markets in general, including any disruption thereof and any decline in the price of any security or any market index or any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prevailing interest rates; (iv) acts of war (whether or not declared), armed hostilities or terrorism, or the escalation or worsening thereof; (v) any action required or permitted by this Agreement or any action taken (or omitted to be taken) with the written consent of or at the written request of Purchaser; (vi) any changes in applicable Laws or accounting rules (including GAAP) or the enforcement, implementation or interpretation thereof; (vii) the announcement, pendency or completion of the transactions contemplated by this Agreement, including losses or threatened losses of employees, customers, suppliers, distributors or others having relationships with the Company; (viii) any natural or man-made disaster or acts of God; (ix) any epidemics, pandemics, disease outbreaks, or other public health emergencies; or (x) any failure by the Company to meet any internal or published projections, forecasts or revenue or earnings predictions (provided that the underlying causes of such failures (subject to the other provisions of this definition) shall not be excluded); </w:t>
      </w:r>
      <w:r>
        <w:rPr>
          <w:rFonts w:ascii="Times New Roman" w:hAnsi="Times New Roman"/>
          <w:i/>
          <w:sz w:val="20"/>
        </w:rPr>
        <w:t>provided further, however,</w:t>
      </w:r>
      <w:r>
        <w:rPr>
          <w:rFonts w:ascii="Times New Roman" w:hAnsi="Times New Roman"/>
          <w:sz w:val="20"/>
        </w:rPr>
        <w:t xml:space="preserve"> that any event, occurrence, fact, condition or change referred to in clauses (i) through (iv) immediately above shall be taken into account in determining whether a Material Adverse Effect has occurred or could reasonably be expected to occur to the extent that such event, occurrence, fact, condition or change has a disproportionate effect on the Company compared to other participants in the industries in which the Company conducts its businesses.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w:t>
      </w:r>
    </w:p>
    <w:p>
      <w:pPr>
        <w:pStyle w:val="TextBody"/>
        <w:bidi w:val="0"/>
        <w:spacing w:before="240" w:after="0"/>
        <w:jc w:val="left"/>
        <w:rPr/>
      </w:pPr>
      <w:r>
        <w:rPr/>
        <w:t>“</w:t>
      </w:r>
      <w:r>
        <w:rPr>
          <w:rFonts w:ascii="Times New Roman" w:hAnsi="Times New Roman"/>
          <w:b/>
          <w:sz w:val="20"/>
        </w:rPr>
        <w:t>Permits</w:t>
      </w:r>
      <w:r>
        <w:rPr>
          <w:rFonts w:ascii="Times New Roman" w:hAnsi="Times New Roman"/>
          <w:sz w:val="20"/>
        </w:rPr>
        <w:t xml:space="preserve">” means all permits, licenses, franchises, approvals, authorizations, registrations, certificates, variances and similar rights obtained, or required to be obtained, from Governmental Authorities.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(i) liens for current Taxes, assessments, and other governmental charges not yet due and payable and (ii) Seller Affiliate Liens (but only to the extent that such Seller Affiliate Liens will be released at or promptly following the Closing).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association, partnership (general or limited), joint venture, trust, estate, limited liability company or other legal entity or organization. </w:t>
      </w:r>
    </w:p>
    <w:p>
      <w:pPr>
        <w:pStyle w:val="TextBody"/>
        <w:bidi w:val="0"/>
        <w:spacing w:before="240" w:after="0"/>
        <w:jc w:val="left"/>
        <w:rPr/>
      </w:pPr>
      <w:r>
        <w:rPr/>
        <w:t>“</w:t>
      </w:r>
      <w:r>
        <w:rPr>
          <w:rFonts w:ascii="Times New Roman" w:hAnsi="Times New Roman"/>
          <w:b/>
          <w:sz w:val="20"/>
        </w:rPr>
        <w:t>Pre-Closing Tax Period</w:t>
      </w:r>
      <w:r>
        <w:rPr>
          <w:rFonts w:ascii="Times New Roman" w:hAnsi="Times New Roman"/>
          <w:sz w:val="20"/>
        </w:rPr>
        <w:t xml:space="preserve">” means any taxable period ending on or before the Closing Date and, with respect to any Straddle Period, the portion of such taxable period ending on and including the Closing Date. </w:t>
      </w:r>
    </w:p>
    <w:p>
      <w:pPr>
        <w:pStyle w:val="TextBody"/>
        <w:bidi w:val="0"/>
        <w:spacing w:before="240" w:after="0"/>
        <w:jc w:val="left"/>
        <w:rPr/>
      </w:pPr>
      <w:r>
        <w:rPr/>
        <w:t>“</w:t>
      </w:r>
      <w:r>
        <w:rPr>
          <w:rFonts w:ascii="Times New Roman" w:hAnsi="Times New Roman"/>
          <w:b/>
          <w:sz w:val="20"/>
        </w:rPr>
        <w:t>Pre-Closing Taxes</w:t>
      </w:r>
      <w:r>
        <w:rPr>
          <w:rFonts w:ascii="Times New Roman" w:hAnsi="Times New Roman"/>
          <w:sz w:val="20"/>
        </w:rPr>
        <w:t xml:space="preserve">” means any Taxes (i) of the Company for any Pre-Closing Tax Period, allocated in the case of Straddle Periods in accordance with </w:t>
      </w:r>
      <w:r>
        <w:rPr>
          <w:rFonts w:ascii="Times New Roman" w:hAnsi="Times New Roman"/>
          <w:sz w:val="20"/>
          <w:u w:val="single"/>
        </w:rPr>
        <w:t>Section 6.6(a)</w:t>
      </w:r>
      <w:r>
        <w:rPr>
          <w:rFonts w:ascii="Times New Roman" w:hAnsi="Times New Roman"/>
          <w:sz w:val="20"/>
        </w:rPr>
        <w:t xml:space="preserve">, (ii) for which Seller is responsible pursuant to </w:t>
      </w:r>
      <w:r>
        <w:rPr>
          <w:rFonts w:ascii="Times New Roman" w:hAnsi="Times New Roman"/>
          <w:sz w:val="20"/>
          <w:u w:val="single"/>
        </w:rPr>
        <w:t>Section 6.6(c)</w:t>
      </w:r>
      <w:r>
        <w:rPr>
          <w:rFonts w:ascii="Times New Roman" w:hAnsi="Times New Roman"/>
          <w:sz w:val="20"/>
        </w:rPr>
        <w:t xml:space="preserve">, and (iii) of Seller or any of its Affiliates (other than the Company) for which the Company is liable under Treasury Regulation Section 1.1502-6 (or under any similar provision of state, local or foreign Law), which Tax relates to a Pre-Closing Tax Period. “Pre-Closing Taxes” shall not include any Taxes (A) arising from actions taken by Purchaser on the Closing Date following the Closing that are outside of the ordinary course of business or (B) arising from any breach of the covenants in this Agreement by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Proceeding</w:t>
      </w:r>
      <w:r>
        <w:rPr>
          <w:rFonts w:ascii="Times New Roman" w:hAnsi="Times New Roman"/>
          <w:sz w:val="20"/>
        </w:rPr>
        <w:t xml:space="preserve">” means any claim, action, arbitration, audit, hearing, investigation, litigation or suit (whether civil, criminal, administrative, judicial or investigative, whether formal or informal, whether public or private) commenced, brought, conducted or heard by or before, or otherwise involving, any Governmental Authority or arbitrator. </w:t>
      </w:r>
    </w:p>
    <w:p>
      <w:pPr>
        <w:pStyle w:val="TextBody"/>
        <w:bidi w:val="0"/>
        <w:spacing w:before="240" w:after="0"/>
        <w:jc w:val="left"/>
        <w:rPr/>
      </w:pPr>
      <w:r>
        <w:rPr/>
        <w:t>“</w:t>
      </w:r>
      <w:r>
        <w:rPr>
          <w:rFonts w:ascii="Times New Roman" w:hAnsi="Times New Roman"/>
          <w:b/>
          <w:sz w:val="20"/>
        </w:rPr>
        <w:t>RYTHM License</w:t>
      </w:r>
      <w:r>
        <w:rPr>
          <w:rFonts w:ascii="Times New Roman" w:hAnsi="Times New Roman"/>
          <w:sz w:val="20"/>
        </w:rPr>
        <w:t xml:space="preserve">” means the Trademark and Recipe License Agreement, dated as of May 20, 2025, by and between VCP IP Holdings, LLC and Core Growth, LLC. </w:t>
      </w:r>
    </w:p>
    <w:p>
      <w:pPr>
        <w:pStyle w:val="TextBody"/>
        <w:bidi w:val="0"/>
        <w:spacing w:before="240" w:after="0"/>
        <w:jc w:val="left"/>
        <w:rPr/>
      </w:pPr>
      <w:r>
        <w:rPr/>
        <w:t>“</w:t>
      </w:r>
      <w:r>
        <w:rPr>
          <w:rFonts w:ascii="Times New Roman" w:hAnsi="Times New Roman"/>
          <w:b/>
          <w:sz w:val="20"/>
        </w:rPr>
        <w:t>Seller’s Knowledge</w:t>
      </w:r>
      <w:r>
        <w:rPr>
          <w:rFonts w:ascii="Times New Roman" w:hAnsi="Times New Roman"/>
          <w:sz w:val="20"/>
        </w:rPr>
        <w:t>”, “</w:t>
      </w:r>
      <w:r>
        <w:rPr>
          <w:rFonts w:ascii="Times New Roman" w:hAnsi="Times New Roman"/>
          <w:b/>
          <w:sz w:val="20"/>
        </w:rPr>
        <w:t>Knowledge of Seller</w:t>
      </w:r>
      <w:r>
        <w:rPr>
          <w:rFonts w:ascii="Times New Roman" w:hAnsi="Times New Roman"/>
          <w:sz w:val="20"/>
        </w:rPr>
        <w:t xml:space="preserve">” or similar phrases as used herein means the knowledge of Anthony Georgiadis and Dominic O’Brien, after reasonable inquiry. </w:t>
      </w:r>
    </w:p>
    <w:p>
      <w:pPr>
        <w:pStyle w:val="TextBody"/>
        <w:bidi w:val="0"/>
        <w:spacing w:before="240" w:after="0"/>
        <w:jc w:val="left"/>
        <w:rPr/>
      </w:pPr>
      <w:r>
        <w:rPr/>
        <w:t>“</w:t>
      </w:r>
      <w:r>
        <w:rPr>
          <w:rFonts w:ascii="Times New Roman" w:hAnsi="Times New Roman"/>
          <w:b/>
          <w:sz w:val="20"/>
        </w:rPr>
        <w:t>Seller Affiliate Liens</w:t>
      </w:r>
      <w:r>
        <w:rPr>
          <w:rFonts w:ascii="Times New Roman" w:hAnsi="Times New Roman"/>
          <w:sz w:val="20"/>
        </w:rPr>
        <w:t xml:space="preserve">” means Liens under credit facilities of Seller’s Affiliates that are in effect as of the Closing and that have been disclosed to the Purchaser.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trademarks, service marks, brand marks, Trade Names, and, in each case, registrations thereof, pending applications for registration thereof, and unregistered rights (including, with respect to the Company, those used in the Business). </w:t>
      </w:r>
    </w:p>
    <w:p>
      <w:pPr>
        <w:pStyle w:val="TextBody"/>
        <w:bidi w:val="0"/>
        <w:spacing w:before="240" w:after="0"/>
        <w:jc w:val="left"/>
        <w:rPr/>
      </w:pPr>
      <w:r>
        <w:rPr/>
        <w:t>“</w:t>
      </w:r>
      <w:r>
        <w:rPr>
          <w:rFonts w:ascii="Times New Roman" w:hAnsi="Times New Roman"/>
          <w:b/>
          <w:sz w:val="20"/>
        </w:rPr>
        <w:t>Trade Names</w:t>
      </w:r>
      <w:r>
        <w:rPr>
          <w:rFonts w:ascii="Times New Roman" w:hAnsi="Times New Roman"/>
          <w:sz w:val="20"/>
        </w:rPr>
        <w:t xml:space="preserve">” means (i) trade names, (ii) brand names and (iii) logos and all other names and slogans. </w:t>
      </w:r>
    </w:p>
    <w:p>
      <w:pPr>
        <w:pStyle w:val="TextBody"/>
        <w:bidi w:val="0"/>
        <w:spacing w:before="240" w:after="0"/>
        <w:jc w:val="left"/>
        <w:rPr/>
      </w:pPr>
      <w:r>
        <w:rPr/>
        <w:t>“</w:t>
      </w:r>
      <w:r>
        <w:rPr>
          <w:rFonts w:ascii="Times New Roman" w:hAnsi="Times New Roman"/>
          <w:b/>
          <w:sz w:val="20"/>
        </w:rPr>
        <w:t>Trade Secrets</w:t>
      </w:r>
      <w:r>
        <w:rPr>
          <w:rFonts w:ascii="Times New Roman" w:hAnsi="Times New Roman"/>
          <w:sz w:val="20"/>
        </w:rPr>
        <w:t xml:space="preserve">” means trade secrets, know-how, inventions (whether or not patentable), discoveries, improvements, technology, business and technical information, databases, data compilations and collections, tools, and other confidential and proprietary information, in each case, to the extent primarily related to the Company’s products or services, and all rights therein. Notwithstanding the foregoing, Trade Secrets shall exclude historic sales, production, and marketing data with respect to the Company’s products, it being understood, in each case, that any such intellectual property related to the Company’s products and Trademarks are owned (and shall be retained) by Green Thumb Industries Inc. or its Affiliates.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u w:val="single"/>
        </w:rPr>
        <w:t>PURCHASE CONSIDERATION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Contribution</w:t>
      </w:r>
      <w:r>
        <w:rPr>
          <w:rFonts w:ascii="Times New Roman" w:hAnsi="Times New Roman"/>
          <w:sz w:val="20"/>
        </w:rPr>
        <w:t>. At the Closing, Seller shall contribute, assign, and transfer the Membership Interests to Purchaser, free and clear of all liens, claims, options, charges, security interests, pledges, mortgages or other encumbrances (collectively, “</w:t>
      </w:r>
      <w:r>
        <w:rPr>
          <w:rFonts w:ascii="Times New Roman" w:hAnsi="Times New Roman"/>
          <w:b/>
          <w:sz w:val="20"/>
        </w:rPr>
        <w:t>Liens</w:t>
      </w:r>
      <w:r>
        <w:rPr>
          <w:rFonts w:ascii="Times New Roman" w:hAnsi="Times New Roman"/>
          <w:sz w:val="20"/>
        </w:rPr>
        <w:t xml:space="preserve">”), other than Permitted Liens, and Purchaser shall accept such contribution.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Purchase Price</w:t>
      </w:r>
      <w:r>
        <w:rPr>
          <w:rFonts w:ascii="Times New Roman" w:hAnsi="Times New Roman"/>
          <w:sz w:val="20"/>
        </w:rPr>
        <w:t>. The aggregate purchase price for Seller’s transfer of the Membership Interests, at the Closing, shall be $50,000,000, subject to the following adjustment (the “</w:t>
      </w:r>
      <w:r>
        <w:rPr>
          <w:rFonts w:ascii="Times New Roman" w:hAnsi="Times New Roman"/>
          <w:b/>
          <w:sz w:val="20"/>
        </w:rPr>
        <w:t>Purchase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 Closing Working Capital exceeds (ii) the Closing Working Capital Target plus $100,000, then the Purchase Price shall be increased by such excess amount. </w:t>
      </w:r>
    </w:p>
    <w:p>
      <w:pPr>
        <w:pStyle w:val="TextBody"/>
        <w:bidi w:val="0"/>
        <w:spacing w:before="120" w:after="0"/>
        <w:jc w:val="left"/>
        <w:rPr>
          <w:rFonts w:ascii="Times New Roman" w:hAnsi="Times New Roman"/>
          <w:sz w:val="20"/>
        </w:rPr>
      </w:pPr>
      <w:r>
        <w:rPr>
          <w:rFonts w:ascii="Times New Roman" w:hAnsi="Times New Roman"/>
          <w:sz w:val="20"/>
        </w:rPr>
        <w:t xml:space="preserve">(b) If (i) the Closing Working Capital Target less $100,000 exceeds (ii) Closing Working Capital, then the Purchase Price shall be reduced by such shortfall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Allocation</w:t>
      </w:r>
      <w:r>
        <w:rPr>
          <w:rFonts w:ascii="Times New Roman" w:hAnsi="Times New Roman"/>
          <w:sz w:val="20"/>
        </w:rPr>
        <w:t>. Following the Closing, Purchaser and Seller shall cooperate to allocate the value of the Purchase Price (and all other items treated as consideration for Tax purposes) among the assets of the Company in accordance with Section 1060 of the Internal Revenue Code of 1986, as amended (the “</w:t>
      </w:r>
      <w:r>
        <w:rPr>
          <w:rFonts w:ascii="Times New Roman" w:hAnsi="Times New Roman"/>
          <w:b/>
          <w:sz w:val="20"/>
        </w:rPr>
        <w:t>Code</w:t>
      </w:r>
      <w:r>
        <w:rPr>
          <w:rFonts w:ascii="Times New Roman" w:hAnsi="Times New Roman"/>
          <w:sz w:val="20"/>
        </w:rPr>
        <w:t>”). Any adjustments to the Purchase Price for the Membership Interests herein shall be allocated in a manner consistent with such allocation. The Parties shall file, and cause their Affiliates to file, all returns, declarations, reports, information returns and statements, attachments thereto and other documents required or permitted to be filed under the provisions of any applicable Law and relating to Taxes (including amended returns and claims for refund) (“</w:t>
      </w:r>
      <w:r>
        <w:rPr>
          <w:rFonts w:ascii="Times New Roman" w:hAnsi="Times New Roman"/>
          <w:b/>
          <w:sz w:val="20"/>
        </w:rPr>
        <w:t>Tax Returns</w:t>
      </w:r>
      <w:r>
        <w:rPr>
          <w:rFonts w:ascii="Times New Roman" w:hAnsi="Times New Roman"/>
          <w:sz w:val="20"/>
        </w:rPr>
        <w:t xml:space="preserve">”) in a manner consistent with such allocation except as otherwise required by a final (or similar) determination of a tax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Withholding</w:t>
      </w:r>
      <w:r>
        <w:rPr>
          <w:rFonts w:ascii="Times New Roman" w:hAnsi="Times New Roman"/>
          <w:sz w:val="20"/>
        </w:rPr>
        <w:t xml:space="preserve">. Notwithstanding any other provision in this Agreement, Purchaser (and any of its Affiliates or agents) shall be entitled to deduct and withhold from any payment pursuant to this Agreement such amounts as are required to be deducted and withheld under any applicable Law; provided, that Purchaser shall provide prior written notice to Seller regarding such withholding, shall reasonably cooperate with Seller to reduce or eliminate any such withholding, and shall timely remit any amount withheld to the appropriate tax authority. Such withheld or deducted amounts shall be treated for all purposes of this Agreement as having been delivered and paid to Seller or other applicable recipient of payment in respect of which such deduction and withholding was made.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The Closing</w:t>
      </w:r>
      <w:r>
        <w:rPr>
          <w:rFonts w:ascii="Times New Roman" w:hAnsi="Times New Roman"/>
          <w:sz w:val="20"/>
        </w:rPr>
        <w:t>. The closing of the transactions contemplated hereby (the “</w:t>
      </w:r>
      <w:r>
        <w:rPr>
          <w:rFonts w:ascii="Times New Roman" w:hAnsi="Times New Roman"/>
          <w:b/>
          <w:sz w:val="20"/>
        </w:rPr>
        <w:t>Closing</w:t>
      </w:r>
      <w:r>
        <w:rPr>
          <w:rFonts w:ascii="Times New Roman" w:hAnsi="Times New Roman"/>
          <w:sz w:val="20"/>
        </w:rPr>
        <w:t>”) shall take place on the date hereof (the “</w:t>
      </w:r>
      <w:r>
        <w:rPr>
          <w:rFonts w:ascii="Times New Roman" w:hAnsi="Times New Roman"/>
          <w:b/>
          <w:sz w:val="20"/>
        </w:rPr>
        <w:t>Closing Date</w:t>
      </w:r>
      <w:r>
        <w:rPr>
          <w:rFonts w:ascii="Times New Roman" w:hAnsi="Times New Roman"/>
          <w:sz w:val="20"/>
        </w:rPr>
        <w:t xml:space="preserve">”), by electronic transmission of documents and signatures. The Closing shall be deemed effective at 8:00 a.m. Central time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Seller’s Deliveries</w:t>
      </w:r>
      <w:r>
        <w:rPr>
          <w:rFonts w:ascii="Times New Roman" w:hAnsi="Times New Roman"/>
          <w:sz w:val="20"/>
        </w:rPr>
        <w:t xml:space="preserve">. At the Closing, Seller shall deliver to Purchaser all of the following, all in form and substance reasonably acceptable to Purchaser: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Membership Interests</w:t>
      </w:r>
      <w:r>
        <w:rPr>
          <w:rFonts w:ascii="Times New Roman" w:hAnsi="Times New Roman"/>
          <w:sz w:val="20"/>
        </w:rPr>
        <w:t xml:space="preserve">. An assignment instrument executed by Seller, assigning the Membership Interests to Purchaser;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Closing Certificate</w:t>
      </w:r>
      <w:r>
        <w:rPr>
          <w:rFonts w:ascii="Times New Roman" w:hAnsi="Times New Roman"/>
          <w:sz w:val="20"/>
        </w:rPr>
        <w:t xml:space="preserve">. A certificate executed by an officer or manager of Seller, certifying that (i) attached thereto are true and complete copies of any corporate or company resolutions of Seller or its Affiliates that are required in order to authorize the execution, delivery, and performance of this Agreement and the other documents and transactions contemplated hereby, and (ii) attached thereto are true and complete copies of the Company’s formation and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Good Standing Certificate</w:t>
      </w:r>
      <w:r>
        <w:rPr>
          <w:rFonts w:ascii="Times New Roman" w:hAnsi="Times New Roman"/>
          <w:sz w:val="20"/>
        </w:rPr>
        <w:t xml:space="preserve">. A certificate evidencing the good standing of the Company issued by the Secretary of State of Delaware, dated not more than thirty (30)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UCC Releases</w:t>
      </w:r>
      <w:r>
        <w:rPr>
          <w:rFonts w:ascii="Times New Roman" w:hAnsi="Times New Roman"/>
          <w:sz w:val="20"/>
        </w:rPr>
        <w:t xml:space="preserve">. UCC termination statements (or other appropriate evidence) releasing any Liens upon the assets of the Company,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Form W-9</w:t>
      </w:r>
      <w:r>
        <w:rPr>
          <w:rFonts w:ascii="Times New Roman" w:hAnsi="Times New Roman"/>
          <w:sz w:val="20"/>
        </w:rPr>
        <w:t xml:space="preserve">. A valid and complete IRS Form W-9, duly executed by Seller;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Trademark and Recipe License Agreement</w:t>
      </w:r>
      <w:r>
        <w:rPr>
          <w:rFonts w:ascii="Times New Roman" w:hAnsi="Times New Roman"/>
          <w:sz w:val="20"/>
        </w:rPr>
        <w:t>. A copy of the Trademark and Recipe License Agreement in the form attached hereto as Exhibit A (the “</w:t>
      </w:r>
      <w:r>
        <w:rPr>
          <w:rFonts w:ascii="Times New Roman" w:hAnsi="Times New Roman"/>
          <w:b/>
          <w:sz w:val="20"/>
        </w:rPr>
        <w:t>License Agreement</w:t>
      </w:r>
      <w:r>
        <w:rPr>
          <w:rFonts w:ascii="Times New Roman" w:hAnsi="Times New Roman"/>
          <w:sz w:val="20"/>
        </w:rPr>
        <w:t xml:space="preserve">”), executed by GTI Core, LLC;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Termination Agreement of the RYTHM License</w:t>
      </w:r>
      <w:r>
        <w:rPr>
          <w:rFonts w:ascii="Times New Roman" w:hAnsi="Times New Roman"/>
          <w:sz w:val="20"/>
        </w:rPr>
        <w:t>. A copy of the Termination Agreement of the RYTHM License in the form attached hereto as Exhibit B (the “</w:t>
      </w:r>
      <w:r>
        <w:rPr>
          <w:rFonts w:ascii="Times New Roman" w:hAnsi="Times New Roman"/>
          <w:b/>
          <w:sz w:val="20"/>
        </w:rPr>
        <w:t>RYTHM Termination Agreement</w:t>
      </w:r>
      <w:r>
        <w:rPr>
          <w:rFonts w:ascii="Times New Roman" w:hAnsi="Times New Roman"/>
          <w:sz w:val="20"/>
        </w:rPr>
        <w:t xml:space="preserve">”), executed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Termination Agreement of the BEBOE License</w:t>
      </w:r>
      <w:r>
        <w:rPr>
          <w:rFonts w:ascii="Times New Roman" w:hAnsi="Times New Roman"/>
          <w:sz w:val="20"/>
        </w:rPr>
        <w:t xml:space="preserve"> . A copy of the Termination Agreement of the BEBOE License in the form attached hereto as Exhibit C (the “</w:t>
      </w:r>
      <w:r>
        <w:rPr>
          <w:rFonts w:ascii="Times New Roman" w:hAnsi="Times New Roman"/>
          <w:b/>
          <w:sz w:val="20"/>
        </w:rPr>
        <w:t>BEBOE Termination Agreement</w:t>
      </w:r>
      <w:r>
        <w:rPr>
          <w:rFonts w:ascii="Times New Roman" w:hAnsi="Times New Roman"/>
          <w:sz w:val="20"/>
        </w:rPr>
        <w:t xml:space="preserve">”),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Working Capital Statement</w:t>
      </w:r>
      <w:r>
        <w:rPr>
          <w:rFonts w:ascii="Times New Roman" w:hAnsi="Times New Roman"/>
          <w:sz w:val="20"/>
        </w:rPr>
        <w:t xml:space="preserve">. A good faith estimate of (i) the Current Assets of the Company less the Current Liabilities of the Company, determined as of the open of business on the Closing Date, and (ii) any resulting adjustment to the Purchase Price pursuant to </w:t>
      </w:r>
      <w:r>
        <w:rPr>
          <w:rFonts w:ascii="Times New Roman" w:hAnsi="Times New Roman"/>
          <w:sz w:val="20"/>
          <w:u w:val="single"/>
        </w:rPr>
        <w:t>Section 2.2</w:t>
      </w:r>
      <w:r>
        <w:rPr>
          <w:rFonts w:ascii="Times New Roman" w:hAnsi="Times New Roman"/>
          <w:sz w:val="20"/>
        </w:rPr>
        <w:t xml:space="preserve"> (the “</w:t>
      </w:r>
      <w:r>
        <w:rPr>
          <w:rFonts w:ascii="Times New Roman" w:hAnsi="Times New Roman"/>
          <w:b/>
          <w:sz w:val="20"/>
        </w:rPr>
        <w:t>Closing Working Capital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Purchaser’s Deliveries</w:t>
      </w:r>
      <w:r>
        <w:rPr>
          <w:rFonts w:ascii="Times New Roman" w:hAnsi="Times New Roman"/>
          <w:sz w:val="20"/>
        </w:rPr>
        <w:t xml:space="preserve">. At the Closing Purchaser shall deliver to Seller the following, all in form and substance reasonably acceptable to Seller: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w:t>
      </w:r>
      <w:r>
        <w:rPr>
          <w:rFonts w:ascii="Times New Roman" w:hAnsi="Times New Roman"/>
          <w:sz w:val="20"/>
        </w:rPr>
        <w:t xml:space="preserve">. The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Trademark and Recipe License Agreement</w:t>
      </w:r>
      <w:r>
        <w:rPr>
          <w:rFonts w:ascii="Times New Roman" w:hAnsi="Times New Roman"/>
          <w:sz w:val="20"/>
        </w:rPr>
        <w:t xml:space="preserve">. A copy of the License Agreement,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Agreement of the RYTHM License</w:t>
      </w:r>
      <w:r>
        <w:rPr>
          <w:rFonts w:ascii="Times New Roman" w:hAnsi="Times New Roman"/>
          <w:sz w:val="20"/>
        </w:rPr>
        <w:t xml:space="preserve">. A copy of the RYTHM Termination Agreement, executed by Core Growth, LLC;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Agreement of the BEBOE License</w:t>
      </w:r>
      <w:r>
        <w:rPr>
          <w:rFonts w:ascii="Times New Roman" w:hAnsi="Times New Roman"/>
          <w:sz w:val="20"/>
        </w:rPr>
        <w:t xml:space="preserve">. A copy of the BEBOE Termination Agreement, executed by Core Growth, LLC; and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Closing Certificate</w:t>
      </w:r>
      <w:r>
        <w:rPr>
          <w:rFonts w:ascii="Times New Roman" w:hAnsi="Times New Roman"/>
          <w:sz w:val="20"/>
        </w:rPr>
        <w:t xml:space="preserve">. A certificate executed by an executive officer of Purchaser, certifying that attached thereto are true and complete copies of any corporate resolutions of Purchaser that are required in order to authorize the execution, delivery, and performance of this Agreement and the other documents and transactions contemplated hereby.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SELLER.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Schedules attached hereto and incorporated herein by reference, Seller hereby represents and warrants to Purchaser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4.1 Organization and Authority of Seller. Seller is a Delaware limited liability company duly organized, validly existing and in good standing under the Laws of the state of Delaware. Seller has all necessary company power and authority to enter into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Ancillary Documents to which it is or will be a party, to carry out its obligations hereunder and thereunder and to consummate the transactions contemplated hereby and thereby. The execution and delivery by Seller of this Agreement and the Ancillary Documents to which Seller is or will be a party, the performance by Seller of its obligations hereunder and thereunder and the consummation by Seller of the transactions contemplated hereby and thereby have been duly authorized by all requisite limited liability company action on the part of Seller. This Agreement has been duly executed and delivered by Seller, and (assuming due authorization, execution and delivery by Purchaser) constitutes, and each Ancillary Document to which Seller is or will be a party when duly executed and delivered by Seller (assuming due authorization, execution and delivery by each other party thereto) will constitute, a legal, valid and binding obligation of Seller, enforceable against Seller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Organization, Authority and Qualification of the Company</w:t>
      </w:r>
      <w:r>
        <w:rPr>
          <w:rFonts w:ascii="Times New Roman" w:hAnsi="Times New Roman"/>
          <w:sz w:val="20"/>
        </w:rPr>
        <w:t xml:space="preserve">. The Company is a limited liability company duly organized, validly existing and in good standing under the Laws of its state of formation and has all necessary limited liability company power and authority to own, operate or lease the properties and assets now owned, operated or leased by it and to carry on its business as it is currently conducted. </w:t>
      </w:r>
      <w:r>
        <w:rPr>
          <w:rFonts w:ascii="Times New Roman" w:hAnsi="Times New Roman"/>
          <w:sz w:val="20"/>
          <w:u w:val="single"/>
        </w:rPr>
        <w:t>Schedule 4.2</w:t>
      </w:r>
      <w:r>
        <w:rPr>
          <w:rFonts w:ascii="Times New Roman" w:hAnsi="Times New Roman"/>
          <w:sz w:val="20"/>
        </w:rPr>
        <w:t xml:space="preserve"> sets forth each jurisdiction in which the Company is licensed or qualified to do business. The Company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qualified or in good standing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Capitalization;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Seller is the record owner of and has good and valid title to the Membership Interests, free and clear of all Liens other than Permitted Liens. The Membership Interests constitute 100% of the total issued and outstanding membership interests in the Company and other than the Membership Interests there are no other issued and outstanding equity interests in the Company. The Membership Interests have been duly authorized and are validly issued, fully-paid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(b) There are no outstanding or authorized options, warrants, convertible securities or other rights, agreements, arrangements or commitments of any character relating to any membership interests in the Company or obligating Seller or the Company to issue or sell any membership interests (including the Membership Interests), or any other interest in, the Company. There are no outstanding or authorized equity appreciation, profit participation, phantom equity or similar equity-based rights with respect to the Company. Other than the formation and governing documents that have been disclosed to Purchaser, there are no voting trusts, proxies or other agreements or understandings in effect with respect to the voting or transfer of any of the Membership Interests or the membership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does not own, or have any capital stock or other equity interests in,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(d) The Membership Interests were issued in compliance with applicable Laws, were not issued in violation of the formation and governing documents of the Company or any other agreement, arrangement or commitment to which the Seller or the Company is a party and are not subject to or in violation of any preemptive or similar rights of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No Conflicts; Consents</w:t>
      </w:r>
      <w:r>
        <w:rPr>
          <w:rFonts w:ascii="Times New Roman" w:hAnsi="Times New Roman"/>
          <w:sz w:val="20"/>
        </w:rPr>
        <w:t>. The execution, delivery and performance by Seller of this Agreement and the Ancillary Documents to which it is or will be a party, and the consummation of the transactions contemplated hereby and thereby, do not and will not: (i) result in a violation or breach of any provision of the formation or governing documents of Seller or the Company; (ii) result in a violation or breach of any provision of any material Law or material Governmental Order applicable to Seller or the Company; (iii) require the consent, notice or other action by any Person under, conflict with, result in a violation or breach of, or constitute a default under, any Material Contract; or (iv) result in the creation or imposition of any Lien other than a Permitted Lien on any properties or assets of the Company, except in the cases of clauses (iii) and (iv), where the violation, breach, conflict, default or failure to give notice or obtain consent would not have a Material Adverse Effect. No consent, approval, declaration or filing with, or notice to, any Governmental Authority is required by or with respect to Seller or the Company in connection with the execution and delivery of this Agreement and the Ancillary Documents to which Seller is or will be a party and the consummation of the transactions contemplated hereby and thereby, except where the failure to obtain or make such consents, approvals, declarations, filings or notices would not have, in the aggregate, a Material Adverse Effect. Notwithstanding the foregoing, the Parties acknowledge and agree the consummation of the transactions contemplated hereby may require that Seller’s parent company make certain disclosures with the Securities and Exchange Commission (“</w:t>
      </w:r>
      <w:r>
        <w:rPr>
          <w:rFonts w:ascii="Times New Roman" w:hAnsi="Times New Roman"/>
          <w:b/>
          <w:sz w:val="20"/>
        </w:rPr>
        <w:t>SEC</w:t>
      </w:r>
      <w:r>
        <w:rPr>
          <w:rFonts w:ascii="Times New Roman" w:hAnsi="Times New Roman"/>
          <w:sz w:val="20"/>
        </w:rPr>
        <w:t xml:space="preserve">”) and other securities regulators.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Books and Records; Financial Statements</w:t>
      </w:r>
      <w:r>
        <w:rPr>
          <w:rFonts w:ascii="Times New Roman" w:hAnsi="Times New Roman"/>
          <w:sz w:val="20"/>
        </w:rPr>
        <w:t>. The Company’s books and records (“</w:t>
      </w:r>
      <w:r>
        <w:rPr>
          <w:rFonts w:ascii="Times New Roman" w:hAnsi="Times New Roman"/>
          <w:b/>
          <w:sz w:val="20"/>
        </w:rPr>
        <w:t>Books and Records</w:t>
      </w:r>
      <w:r>
        <w:rPr>
          <w:rFonts w:ascii="Times New Roman" w:hAnsi="Times New Roman"/>
          <w:sz w:val="20"/>
        </w:rPr>
        <w:t xml:space="preserve">”) that have been disclosed to Purchaser are true and complete in all material respects and have been maintained in accordance with sound business practices. Seller has delivered to Purchaser complete and correct copies of the Financial Statements. The Financial Statements are consistent with the accounting records of the Company and fairly present the financial position of the Company as of the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Indebtedness; Liabilities</w:t>
      </w:r>
      <w:r>
        <w:rPr>
          <w:rFonts w:ascii="Times New Roman" w:hAnsi="Times New Roman"/>
          <w:sz w:val="20"/>
        </w:rPr>
        <w:t xml:space="preserve">. The Company has no Indebtedness and, as of the Closing, will have no outstanding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Accounts; Cash and Cash Equivalents</w:t>
      </w:r>
      <w:r>
        <w:rPr>
          <w:rFonts w:ascii="Times New Roman" w:hAnsi="Times New Roman"/>
          <w:sz w:val="20"/>
        </w:rPr>
        <w:t xml:space="preserve">. Except as set forth on </w:t>
      </w:r>
      <w:r>
        <w:rPr>
          <w:rFonts w:ascii="Times New Roman" w:hAnsi="Times New Roman"/>
          <w:sz w:val="20"/>
          <w:u w:val="single"/>
        </w:rPr>
        <w:t>Schedule 4.7</w:t>
      </w:r>
      <w:r>
        <w:rPr>
          <w:rFonts w:ascii="Times New Roman" w:hAnsi="Times New Roman"/>
          <w:sz w:val="20"/>
        </w:rPr>
        <w:t xml:space="preserve">, the Company has no bank accounts, investment accounts, cash, or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Tangible Personal Property; Real Property</w:t>
      </w:r>
      <w:r>
        <w:rPr>
          <w:rFonts w:ascii="Times New Roman" w:hAnsi="Times New Roman"/>
          <w:sz w:val="20"/>
        </w:rPr>
        <w:t xml:space="preserve">. Except as set forth on </w:t>
      </w:r>
      <w:r>
        <w:rPr>
          <w:rFonts w:ascii="Times New Roman" w:hAnsi="Times New Roman"/>
          <w:sz w:val="20"/>
          <w:u w:val="single"/>
        </w:rPr>
        <w:t>Schedule 4.8</w:t>
      </w:r>
      <w:r>
        <w:rPr>
          <w:rFonts w:ascii="Times New Roman" w:hAnsi="Times New Roman"/>
          <w:sz w:val="20"/>
        </w:rPr>
        <w:t xml:space="preserve">, the Company does not own or lease any tangible personal property or real property. With respect to all leased real property of the Company, (i) such lease is valid, binding and enforceable and in full force and effect, (ii) the Company is not in breach or default under such lease, and no event has occurred that, with the delivery of notice, passage of time or both, would constitute such a breach or default, and the Company has paid all rent due and payable under such lease; (iii)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has not received nor given any notice of any default or event that, with notice or lapse of time or both, would constitute a default by the Company under any such lease, and to Seller’s Knowledge no other party is in default thereof or has exercised any termination rights with respect thereto; and (iv) the Company has not pledged, mortgaged, or otherwise granted a Lien on its leasehold interest in any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Material Adverse Effects</w:t>
      </w:r>
      <w:r>
        <w:rPr>
          <w:rFonts w:ascii="Times New Roman" w:hAnsi="Times New Roman"/>
          <w:sz w:val="20"/>
        </w:rPr>
        <w:t xml:space="preserve">. Since December 31, 2024, there has not been any development or threatened development of a nature that has or, to Seller’s Knowledge,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Events</w:t>
      </w:r>
      <w:r>
        <w:rPr>
          <w:rFonts w:ascii="Times New Roman" w:hAnsi="Times New Roman"/>
          <w:sz w:val="20"/>
        </w:rPr>
        <w:t xml:space="preserve">. Except as otherwise set forth on </w:t>
      </w:r>
      <w:r>
        <w:rPr>
          <w:rFonts w:ascii="Times New Roman" w:hAnsi="Times New Roman"/>
          <w:sz w:val="20"/>
          <w:u w:val="single"/>
        </w:rPr>
        <w:t>Schedule 4.9(b)</w:t>
      </w:r>
      <w:r>
        <w:rPr>
          <w:rFonts w:ascii="Times New Roman" w:hAnsi="Times New Roman"/>
          <w:sz w:val="20"/>
        </w:rPr>
        <w:t xml:space="preserve">, since December 31, 2024, the Company has conducted the Business only in a commercially reasonable ordinary course manner and has acted reasonably and in good faith to maintain and enhance the Business and, without limiting the foregoing, the Company has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created or suffered to exist any Liens, other than Permitted Liens, or restrictions with respect to any of its equity interests or assets, whether tangible or intangible, or incurred, assumed or guaranteed any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sold, leased to others, licensed to others or transferred any of the Company’s assets or properties, except in the ordinary course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suffered any material loss, or material interruption in use, of any material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waived any rights related to the Business or arising under or in connection with any of the Company’s material assets, except in the ordinary course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7"/>
        <w:gridCol w:w="8373"/>
      </w:tblGrid>
      <w:tr>
        <w:trPr/>
        <w:tc>
          <w:tcPr>
            <w:tcW w:w="132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made, changed or revoked any Tax election, (ii) settled or compromised any Tax Liability, (iii) changed an annual accounting period or changed (or made a request to any tax authority to change) any aspect of its method of accounting for Tax purposes, (iv) consented to any extension or waiver of the limitation period applicable to any Tax claim or assessment, (v) entered into any Tax sharing, closing, or similar agreement in respect of any Taxes, or (vi) obtained or requested any Tax ruling, in each case, with respect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any assets or properties in connection with the Business other than in the ordinary course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abandoned or failed to maintain in full force and effect the Company Intellectual Property, except where such abandonments or failures would not be expected to have a Material Adverse Effect;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amended its formation or governing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Contracts</w:t>
      </w:r>
      <w:r>
        <w:rPr>
          <w:rFonts w:ascii="Times New Roman" w:hAnsi="Times New Roman"/>
          <w:sz w:val="20"/>
        </w:rPr>
        <w:t xml:space="preserve">. </w:t>
      </w:r>
      <w:r>
        <w:rPr>
          <w:rFonts w:ascii="Times New Roman" w:hAnsi="Times New Roman"/>
          <w:sz w:val="20"/>
          <w:u w:val="single"/>
        </w:rPr>
        <w:t>Schedule 4.10</w:t>
      </w:r>
      <w:r>
        <w:rPr>
          <w:rFonts w:ascii="Times New Roman" w:hAnsi="Times New Roman"/>
          <w:sz w:val="20"/>
        </w:rPr>
        <w:t xml:space="preserve"> lists each of the following Contracts (collectively, the “</w:t>
      </w:r>
      <w:r>
        <w:rPr>
          <w:rFonts w:ascii="Times New Roman" w:hAnsi="Times New Roman"/>
          <w:b/>
          <w:sz w:val="20"/>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agreement of the Company involving aggregate consideration in excess of $250,000 or requiring performance by any party more than one year from the date hereof, which, in each case, cannot be cancelled by the Company without material penalty or without more than 90 days’ prior notice; </w:t>
      </w:r>
    </w:p>
    <w:p>
      <w:pPr>
        <w:pStyle w:val="TextBody"/>
        <w:bidi w:val="0"/>
        <w:spacing w:before="120" w:after="0"/>
        <w:jc w:val="left"/>
        <w:rPr>
          <w:rFonts w:ascii="Times New Roman" w:hAnsi="Times New Roman"/>
          <w:sz w:val="20"/>
        </w:rPr>
      </w:pPr>
      <w:r>
        <w:rPr>
          <w:rFonts w:ascii="Times New Roman" w:hAnsi="Times New Roman"/>
          <w:sz w:val="20"/>
        </w:rPr>
        <w:t xml:space="preserve">(b) all agreements that relate to the sale of any of the Company’s assets, other than in the ordinary course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(c) all agreements that relate to the acquisition of any business, a material amount of equity or assets of any other Person or any real property (whether by merger, sale of stock or other equity interests, sale of assets or otherwise); </w:t>
      </w:r>
    </w:p>
    <w:p>
      <w:pPr>
        <w:pStyle w:val="TextBody"/>
        <w:bidi w:val="0"/>
        <w:spacing w:before="120" w:after="0"/>
        <w:jc w:val="left"/>
        <w:rPr>
          <w:rFonts w:ascii="Times New Roman" w:hAnsi="Times New Roman"/>
          <w:sz w:val="20"/>
        </w:rPr>
      </w:pPr>
      <w:r>
        <w:rPr>
          <w:rFonts w:ascii="Times New Roman" w:hAnsi="Times New Roman"/>
          <w:sz w:val="20"/>
        </w:rPr>
        <w:t xml:space="preserve">(d) except for agreements relating to trade payables, all agreements relating to Indebtedness (including, without limitation, guarantees)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all agreements between or among the Company on the one hand and Seller or any Affiliate of Seller (other than the Company)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(f) all collective bargaining agreements or agreements with any labor organization, union or association to which the Company is a party; </w:t>
      </w:r>
    </w:p>
    <w:p>
      <w:pPr>
        <w:pStyle w:val="TextBody"/>
        <w:bidi w:val="0"/>
        <w:spacing w:before="120" w:after="0"/>
        <w:jc w:val="left"/>
        <w:rPr>
          <w:rFonts w:ascii="Times New Roman" w:hAnsi="Times New Roman"/>
          <w:sz w:val="20"/>
        </w:rPr>
      </w:pPr>
      <w:r>
        <w:rPr>
          <w:rFonts w:ascii="Times New Roman" w:hAnsi="Times New Roman"/>
          <w:sz w:val="20"/>
        </w:rPr>
        <w:t xml:space="preserve">(g) all agreements that require the Company to purchase its total requirements of any product or service from a third party or that contain “take or pay” provisions; </w:t>
      </w:r>
    </w:p>
    <w:p>
      <w:pPr>
        <w:pStyle w:val="TextBody"/>
        <w:bidi w:val="0"/>
        <w:spacing w:before="120" w:after="0"/>
        <w:jc w:val="left"/>
        <w:rPr>
          <w:rFonts w:ascii="Times New Roman" w:hAnsi="Times New Roman"/>
          <w:sz w:val="20"/>
        </w:rPr>
      </w:pPr>
      <w:r>
        <w:rPr>
          <w:rFonts w:ascii="Times New Roman" w:hAnsi="Times New Roman"/>
          <w:sz w:val="20"/>
        </w:rPr>
        <w:t xml:space="preserve">(h) all agreements, other than those entered into in the ordinary course of business, that provide for the indemnification by the Company of any Person or the assumption of any Tax, environmental or other Liability of any Person; and </w:t>
      </w:r>
    </w:p>
    <w:p>
      <w:pPr>
        <w:pStyle w:val="TextBody"/>
        <w:bidi w:val="0"/>
        <w:spacing w:before="120" w:after="0"/>
        <w:jc w:val="left"/>
        <w:rPr>
          <w:rFonts w:ascii="Times New Roman" w:hAnsi="Times New Roman"/>
          <w:sz w:val="20"/>
        </w:rPr>
      </w:pPr>
      <w:r>
        <w:rPr>
          <w:rFonts w:ascii="Times New Roman" w:hAnsi="Times New Roman"/>
          <w:sz w:val="20"/>
        </w:rPr>
        <w:t xml:space="preserve">(i) all agreements that limit or purport to limit the ability of the Company to compete in any line of business or with any Person or in any geographic area or during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All of the Material Contracts are valid and binding upon the Company and enforceable against the other parties thereto in accordance with their respective terms. The Company is not in breach of any of the Material Contracts and, to Seller’s Knowledge (i) no other party to a Material Contract is in default thereunder and (ii) no condition exists which, with notice or lapse of time or both, would constitute a default by the Company, or by any other party thereunder. The Company has not provided or received any notice of any intention to terminate any Material Contract, and there are no disputes pending or to Seller’s Knowledge, threatened under any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with respect to the application of Federal Cannabis Laws to the activities of the Company’s respective businesses prior to the Closing, the Company is not, as of the Closing, in any material respect, in violation of any statute, law, ordinance, regulation, rule, code, order, constitution, treaty, common law, judgment, decree, other requirement or rule of law (each a “</w:t>
      </w:r>
      <w:r>
        <w:rPr>
          <w:rFonts w:ascii="Times New Roman" w:hAnsi="Times New Roman"/>
          <w:b/>
          <w:sz w:val="20"/>
        </w:rPr>
        <w:t>Law</w:t>
      </w:r>
      <w:r>
        <w:rPr>
          <w:rFonts w:ascii="Times New Roman" w:hAnsi="Times New Roman"/>
          <w:sz w:val="20"/>
        </w:rPr>
        <w:t>”) of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(each a “</w:t>
      </w:r>
      <w:r>
        <w:rPr>
          <w:rFonts w:ascii="Times New Roman" w:hAnsi="Times New Roman"/>
          <w:b/>
          <w:sz w:val="20"/>
        </w:rPr>
        <w:t>Governmental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Permits required for the Company to conduct its business have been obtained by it and are valid and in full force and effect. All fees and charges with respect to such Permits as of the date hereof have been paid in full. The Company has complied and is now complying with the terms of all applicable Permits. No event has occurred that, with or without notice or lapse of time or both, would reasonably be expected to result in the revocation, suspension, lapse or limitation of any Permit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All Tax Returns required to have been filed by the Company have been timely filed (taking into account any valid extension of time within which to file), and all such Tax Returns are true, correct and complete in all material respects. All Taxes due and payable by the Company have been timely paid in full (whether or not shown or required to be shown on any Tax Return) to the appropriate taxing authority. “</w:t>
      </w:r>
      <w:r>
        <w:rPr>
          <w:rFonts w:ascii="Times New Roman" w:hAnsi="Times New Roman"/>
          <w:b/>
          <w:sz w:val="20"/>
        </w:rPr>
        <w:t>Taxes</w:t>
      </w:r>
      <w:r>
        <w:rPr>
          <w:rFonts w:ascii="Times New Roman" w:hAnsi="Times New Roman"/>
          <w:sz w:val="20"/>
        </w:rPr>
        <w:t xml:space="preserve">” shall mean all taxes with respect to net income, capital gains, gross income, gross receipts, sales, use, transfer, ad valorem, franchise, profits, license, capital, withholding, payroll, employment, excise, goods and services, severance, stamp, occupation, premium, property, assessments, or other taxes or governmental charges of any kind whatsoever, together with any interest, fines and any penalties, additions to tax or additional amounts incurred or accrued under applicable Law, or assessed, charged or imposed by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(b) No extensions or waivers of statutes of limitations have been given or requested with respect to any Taxes of the Company. The Company is not involved in nor is the subject of any dispute relating to Taxes, and has not received notice or threat of any pending audit or notice of deficiency from the IRS or any other tax authority. There are no unsatisfied liabilities for Taxes (including liabilities for interest, additions to Tax and penalties thereon and related expenses) with respect to any written notice of deficiency or similar document received by the Company with respect to any Tax. The Company has not received from any governmental entity in a jurisdiction where the Company has not filed any Tax Returns any written claim that the Company is subject to taxation by that jurisdiction, which claim has not been fully resolved. There are no liens for Taxes upon any assets of the Company except for statutory liens for current Taxes that are not yet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Taxes that the Company has been required by law to deduct, withhold or to collect for payment have been duly and timely deducted, withheld and collected, and have been paid over to the appropriate tax authority in compliance with all applicable Law with respect to payments made to any current or former employee, independent contractor, other service provider, creditor, shareholder, customer, vendor, supplier, or other third party, and the Company has timely complied in all material respects with all information reporting and withholding requirements under all applicable Law, including maintenance of required records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(d) No closing agreements, private letter rulings, technical advice memoranda, advance pricing agreement, consent to an extension of time to make an election, consent to a change a method of accounting or other similar agreements or rulings relating to Taxes have been entered into or issued by any Tax authority with or in respect of the Company. The Company does not have a power of attorney with respect to any Tax that is in force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has collected and properly remitted all sales, use, value-added, goods and services and other similar Taxes required to have been collected and remitted with respect to sales or leases made or services provided by the Company, and for all sales, leases, or provisions of services that are exempt from such Taxes and that were made without charging or remitting such Taxes, the Company has received and retained any appropriate Tax exemption certificates and other documentations qualifying such sales, leases, or provision of services as exempt. </w:t>
      </w:r>
    </w:p>
    <w:p>
      <w:pPr>
        <w:pStyle w:val="TextBody"/>
        <w:bidi w:val="0"/>
        <w:spacing w:before="120" w:after="0"/>
        <w:jc w:val="left"/>
        <w:rPr>
          <w:rFonts w:ascii="Times New Roman" w:hAnsi="Times New Roman"/>
          <w:sz w:val="20"/>
        </w:rPr>
      </w:pPr>
      <w:r>
        <w:rPr>
          <w:rFonts w:ascii="Times New Roman" w:hAnsi="Times New Roman"/>
          <w:sz w:val="20"/>
        </w:rPr>
        <w:t xml:space="preserve">(f) The Company is not, and has not been, a party to, or a promoter of, a “reportable transaction” within the meaning of Treasury Regulations Section 1.6011-4(b). </w:t>
      </w:r>
    </w:p>
    <w:p>
      <w:pPr>
        <w:pStyle w:val="TextBody"/>
        <w:bidi w:val="0"/>
        <w:spacing w:before="120" w:after="0"/>
        <w:jc w:val="left"/>
        <w:rPr>
          <w:rFonts w:ascii="Times New Roman" w:hAnsi="Times New Roman"/>
          <w:sz w:val="20"/>
        </w:rPr>
      </w:pPr>
      <w:r>
        <w:rPr>
          <w:rFonts w:ascii="Times New Roman" w:hAnsi="Times New Roman"/>
          <w:sz w:val="20"/>
        </w:rPr>
        <w:t xml:space="preserve">(g) None of the assets of the Company are (i) tax-exempt use property within the meaning of Section 168(h) of the Code, (ii) subject to Section 168(g)(1)(A) of the Code, or (iii) subject to a disqualified leaseback or long-term agreement as defined in Section 467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Products Liability</w:t>
      </w:r>
      <w:r>
        <w:rPr>
          <w:rFonts w:ascii="Times New Roman" w:hAnsi="Times New Roman"/>
          <w:sz w:val="20"/>
        </w:rPr>
        <w:t>. There are no pending or, to Seller’s Knowledge, threatened Proceedings that involve any product alleged to have been processed, manufactured, marketed, or sold by the Company (including any product alleged to have borne any of the Company’s Trademarks or to have been processed, manufactured, marketed, or sold by third parties at the Company’s direction or pursuant to any contracts or other agreements to which any such third party and the Company is a party) (“</w:t>
      </w:r>
      <w:r>
        <w:rPr>
          <w:rFonts w:ascii="Times New Roman" w:hAnsi="Times New Roman"/>
          <w:b/>
          <w:sz w:val="20"/>
        </w:rPr>
        <w:t>Products</w:t>
      </w:r>
      <w:r>
        <w:rPr>
          <w:rFonts w:ascii="Times New Roman" w:hAnsi="Times New Roman"/>
          <w:sz w:val="20"/>
        </w:rPr>
        <w:t xml:space="preserve">”), including any such Proceedings pursuant to which any Products are alleged to have been defective, or improperly processed, manufactured or labeled; nor is there any valid basis for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Product Warranty</w:t>
      </w:r>
      <w:r>
        <w:rPr>
          <w:rFonts w:ascii="Times New Roman" w:hAnsi="Times New Roman"/>
          <w:sz w:val="20"/>
        </w:rPr>
        <w:t xml:space="preserve">. Each Product produced in connection with the Business has been produced and delivered in material conformance with all contractual commitments, and the Company has no Liability (and there is no basis for any present or future Proceeding against the Company giving rise to any Liability) for replacement thereof. Except as set forth on </w:t>
      </w:r>
      <w:r>
        <w:rPr>
          <w:rFonts w:ascii="Times New Roman" w:hAnsi="Times New Roman"/>
          <w:sz w:val="20"/>
          <w:u w:val="single"/>
        </w:rPr>
        <w:t>Schedule 4.13</w:t>
      </w:r>
      <w:r>
        <w:rPr>
          <w:rFonts w:ascii="Times New Roman" w:hAnsi="Times New Roman"/>
          <w:sz w:val="20"/>
        </w:rPr>
        <w:t xml:space="preserve">, and except for standard commercial product warranties and indemnities provided in the ordinary course of business, none of the Products produced in connection with the Business are subject to any extended and non-standard guaranty, warranty, or other indemnity.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Inventory</w:t>
      </w:r>
      <w:r>
        <w:rPr>
          <w:rFonts w:ascii="Times New Roman" w:hAnsi="Times New Roman"/>
          <w:sz w:val="20"/>
        </w:rPr>
        <w:t xml:space="preserve">. All inventory of the Company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All such inventory is owned by the Company free and clear of all Liens (other than Permitted Liens), and no inventory is held on a consignment basis.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Title</w:t>
      </w:r>
      <w:r>
        <w:rPr>
          <w:rFonts w:ascii="Times New Roman" w:hAnsi="Times New Roman"/>
          <w:sz w:val="20"/>
        </w:rPr>
        <w:t xml:space="preserve">. The Company has good and valid title to all personal property and other assets constituting the Business, other than assets sold or otherwise disposed of in the ordinary course of business consistent with past practice. All such assets are free and clear of Liens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Set forth on </w:t>
      </w:r>
      <w:r>
        <w:rPr>
          <w:rFonts w:ascii="Times New Roman" w:hAnsi="Times New Roman"/>
          <w:sz w:val="20"/>
          <w:u w:val="single"/>
        </w:rPr>
        <w:t>Schedule 4.14</w:t>
      </w:r>
      <w:r>
        <w:rPr>
          <w:rFonts w:ascii="Times New Roman" w:hAnsi="Times New Roman"/>
          <w:sz w:val="20"/>
        </w:rPr>
        <w:t xml:space="preserve"> is a true and complete list of all Patents, registered Trademarks, and registered copyrights owned by the Company (the “</w:t>
      </w:r>
      <w:r>
        <w:rPr>
          <w:rFonts w:ascii="Times New Roman" w:hAnsi="Times New Roman"/>
          <w:b/>
          <w:sz w:val="20"/>
        </w:rPr>
        <w:t>Company Intellectual Property</w:t>
      </w:r>
      <w:r>
        <w:rPr>
          <w:rFonts w:ascii="Times New Roman" w:hAnsi="Times New Roman"/>
          <w:sz w:val="20"/>
        </w:rPr>
        <w:t xml:space="preserve">”), listing, as applicable, (i) the name of the applicant or registrant and current owner; (ii) date of application or issuance; (iii) the jurisdiction where the application or registration is located; and (iv) the application or registration number. </w:t>
      </w:r>
      <w:r>
        <w:rPr>
          <w:rFonts w:ascii="Times New Roman" w:hAnsi="Times New Roman"/>
          <w:sz w:val="20"/>
          <w:u w:val="single"/>
        </w:rPr>
        <w:t>Schedule 4.14</w:t>
      </w:r>
      <w:r>
        <w:rPr>
          <w:rFonts w:ascii="Times New Roman" w:hAnsi="Times New Roman"/>
          <w:sz w:val="20"/>
        </w:rPr>
        <w:t xml:space="preserve"> also sets forth a correct, current and complete list of all Company IP Agreements (i) under which the Company is a licensor or otherwise grants to any Person any right or interest relating to the Company Intellectual Property; (ii) under which the Company is a licensee or otherwise granted any right or interest relating to the Intellectual Property of any Person; and (iii) which otherwise relate to the Company’s ownership or use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(b) The Company is the sole and exclusive legal and beneficial, and with respect to the Company IP Registrations, record, owner of all right, title and interest in and to the Company Intellectual Property listed next to the Company’s name on </w:t>
      </w:r>
      <w:r>
        <w:rPr>
          <w:rFonts w:ascii="Times New Roman" w:hAnsi="Times New Roman"/>
          <w:sz w:val="20"/>
          <w:u w:val="single"/>
        </w:rPr>
        <w:t>Schedule 4.14</w:t>
      </w:r>
      <w:r>
        <w:rPr>
          <w:rFonts w:ascii="Times New Roman" w:hAnsi="Times New Roman"/>
          <w:sz w:val="20"/>
        </w:rPr>
        <w:t xml:space="preserve">, and has the valid and enforceable right to use all other Intellectual Property used or held for use in or necessary for the conduct of the Business, in each case, free and clear of Liens other than Permitted Liens. All assignments and other instruments necessary to establish, record, and perfect the Company’s ownership interest in the Company IP Registrations have been validly executed, delivered, and filed with the relevant Governmental Authorities and authorized registrars. </w:t>
      </w:r>
    </w:p>
    <w:p>
      <w:pPr>
        <w:pStyle w:val="TextBody"/>
        <w:bidi w:val="0"/>
        <w:spacing w:before="120" w:after="0"/>
        <w:jc w:val="left"/>
        <w:rPr>
          <w:rFonts w:ascii="Times New Roman" w:hAnsi="Times New Roman"/>
          <w:sz w:val="20"/>
        </w:rPr>
      </w:pPr>
      <w:r>
        <w:rPr>
          <w:rFonts w:ascii="Times New Roman" w:hAnsi="Times New Roman"/>
          <w:sz w:val="20"/>
        </w:rPr>
        <w:t xml:space="preserve">(c) Neither the execution, delivery or performance of this Agreement, nor the consummation of the transactions contemplated hereunder, will result in the loss or impairment of, or require the consent of any other Person in respect of, the Company’s right to own or use the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Schedule 4.14</w:t>
      </w:r>
      <w:r>
        <w:rPr>
          <w:rFonts w:ascii="Times New Roman" w:hAnsi="Times New Roman"/>
          <w:sz w:val="20"/>
        </w:rPr>
        <w:t xml:space="preserve">, all of the Company Intellectual Property is valid and enforceable, and all Company IP Registrations are subsisting and in full force and effect. Except as set forth on </w:t>
      </w:r>
      <w:r>
        <w:rPr>
          <w:rFonts w:ascii="Times New Roman" w:hAnsi="Times New Roman"/>
          <w:sz w:val="20"/>
          <w:u w:val="single"/>
        </w:rPr>
        <w:t>Schedule 4.14</w:t>
      </w:r>
      <w:r>
        <w:rPr>
          <w:rFonts w:ascii="Times New Roman" w:hAnsi="Times New Roman"/>
          <w:sz w:val="20"/>
        </w:rPr>
        <w:t xml:space="preserve">, the Company has taken all reasonable steps to maintain and enforce the Company Intellectual Property to preserve the confidentiality of all Trade Secrets included in the Company Intellectual Property. Except as set forth on </w:t>
      </w:r>
      <w:r>
        <w:rPr>
          <w:rFonts w:ascii="Times New Roman" w:hAnsi="Times New Roman"/>
          <w:sz w:val="20"/>
          <w:u w:val="single"/>
        </w:rPr>
        <w:t>Schedule 4.14</w:t>
      </w:r>
      <w:r>
        <w:rPr>
          <w:rFonts w:ascii="Times New Roman" w:hAnsi="Times New Roman"/>
          <w:sz w:val="20"/>
        </w:rPr>
        <w:t xml:space="preserve">, all required filings and fees related to the Company IP Registrations have been timely submitted with and paid to the relevant Governmental Authorities and authorized registrars. </w:t>
      </w:r>
    </w:p>
    <w:p>
      <w:pPr>
        <w:pStyle w:val="TextBody"/>
        <w:bidi w:val="0"/>
        <w:spacing w:before="120" w:after="0"/>
        <w:jc w:val="left"/>
        <w:rPr>
          <w:rFonts w:ascii="Times New Roman" w:hAnsi="Times New Roman"/>
          <w:sz w:val="20"/>
        </w:rPr>
      </w:pPr>
      <w:r>
        <w:rPr>
          <w:rFonts w:ascii="Times New Roman" w:hAnsi="Times New Roman"/>
          <w:sz w:val="20"/>
        </w:rPr>
        <w:t xml:space="preserve">(e) To Seller’s Knowledge, the conduct of the Business as currently and formerly conducted, including the use of the Company Intellectual Property in connection therewith, and the products, processes and services of the Company have not materially infringed, misappropriated or otherwise violated the Intellectual Property or other rights of any Person. To Seller’s Knowledge, no Person has materially infringed, misappropriated or otherwise violated the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(f) There are no material actions (including any opposition, cancellation, revocation, review or other proceeding), whether settled, pending or to Seller’s Knowledge, threatened (including in the form of offers to obtain a license): (i) alleging any infringement, misappropriation or other violation by the Company of the Intellectual Property of any Person; (ii) challenging the validity, enforceability, registrability, patentability or ownership of the Company Intellectual Property or the Company’s respective right, title, or interest in or to the Company Intellectual Property; or (iii) by the Company alleging any infringement, misappropriation, or other violation by any Person of the Company Intellectual Property. Except as set forth on </w:t>
      </w:r>
      <w:r>
        <w:rPr>
          <w:rFonts w:ascii="Times New Roman" w:hAnsi="Times New Roman"/>
          <w:sz w:val="20"/>
          <w:u w:val="single"/>
        </w:rPr>
        <w:t>Schedule 4.14</w:t>
      </w:r>
      <w:r>
        <w:rPr>
          <w:rFonts w:ascii="Times New Roman" w:hAnsi="Times New Roman"/>
          <w:sz w:val="20"/>
        </w:rPr>
        <w:t xml:space="preserve">, to the Seller’s Knowledge, there are no facts or circumstances that could reasonably be expected to give rise to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Litigation</w:t>
      </w:r>
      <w:r>
        <w:rPr>
          <w:rFonts w:ascii="Times New Roman" w:hAnsi="Times New Roman"/>
          <w:sz w:val="20"/>
        </w:rPr>
        <w:t xml:space="preserve">. There are no Proceedings pending or, to Seller’s Knowledge, threatened against the Company or affecting any of its respective properties or assets. To Seller’s Knowledge, no event has occurred or circumstances exist that may give rise to, or serve as a basis for,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Labor and Employee Matters</w:t>
      </w:r>
      <w:r>
        <w:rPr>
          <w:rFonts w:ascii="Times New Roman" w:hAnsi="Times New Roman"/>
          <w:sz w:val="20"/>
        </w:rPr>
        <w:t xml:space="preserve">. The Company has no employees. Each individual who is or has been classified by the Company as an independent contractor has been properly classified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Brokers</w:t>
      </w:r>
      <w:r>
        <w:rPr>
          <w:rFonts w:ascii="Times New Roman" w:hAnsi="Times New Roman"/>
          <w:sz w:val="20"/>
        </w:rPr>
        <w:t xml:space="preserve">. No agent, broker, investment banker, financial advisor or other Person is or will be entitled to any brokerage commission, finder’s fee or like payment in connection with the Transaction based upon such arrangements made by or on behalf of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this </w:t>
      </w:r>
      <w:r>
        <w:rPr>
          <w:rFonts w:ascii="Times New Roman" w:hAnsi="Times New Roman"/>
          <w:sz w:val="20"/>
          <w:u w:val="single"/>
        </w:rPr>
        <w:t>Article IV</w:t>
      </w:r>
      <w:r>
        <w:rPr>
          <w:rFonts w:ascii="Times New Roman" w:hAnsi="Times New Roman"/>
          <w:sz w:val="20"/>
        </w:rPr>
        <w:t xml:space="preserve"> (including the related portions of the Schedules), none of Seller, the Company or any other Person has made or makes any other express or implied representation or warranty, either written or oral, on behalf of Seller or the Company, including any representation or warranty as to the accuracy or completeness of any information regarding the Company furnished or made available to Purchaser and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PURCHASER. </w:t>
      </w:r>
    </w:p>
    <w:p>
      <w:pPr>
        <w:pStyle w:val="TextBody"/>
        <w:bidi w:val="0"/>
        <w:spacing w:before="240" w:after="0"/>
        <w:jc w:val="left"/>
        <w:rPr>
          <w:rFonts w:ascii="Times New Roman" w:hAnsi="Times New Roman"/>
          <w:sz w:val="20"/>
        </w:rPr>
      </w:pPr>
      <w:r>
        <w:rPr>
          <w:rFonts w:ascii="Times New Roman" w:hAnsi="Times New Roman"/>
          <w:sz w:val="20"/>
        </w:rPr>
        <w:t xml:space="preserve">Purchaser hereby represents and warrants to Seller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and Authority of Purchaser</w:t>
      </w:r>
      <w:r>
        <w:rPr>
          <w:rFonts w:ascii="Times New Roman" w:hAnsi="Times New Roman"/>
          <w:sz w:val="20"/>
        </w:rPr>
        <w:t xml:space="preserve">. Purchaser is a corporation duly organized, validly existing and in good standing under the Laws of the state of Nevada. Purchaser has all necessary corporate power and authority to enter into this Agreement and the Ancillary Documents to which Purchaser is or will be a party, to carry out its obligations hereunder and thereunder and to consummate the transactions contemplated hereby and thereby. The execution and delivery by Purchaser of this Agreement and the Ancillary Documents to which Purchaser is or will be a party, the performance by Purchaser of its obligations hereunder and thereunder and the consummation by Purchaser of the transactions contemplated hereby and thereby have been duly authorized by all requisite corporate action on the part of Purchaser. This Agreement has been duly executed and delivered by Purchaser, and (assuming due authorization, execution and delivery by Seller) constitutes, and each Ancillary Document to which Purchaser is or will be a party when duly executed and delivered by Purchaser (assuming due authorization, execution and delivery by each other party thereto) will constitute, a legal, valid and binding obligation of Purchaser, enforceable against Purchaser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No Conflicts; Consents</w:t>
      </w:r>
      <w:r>
        <w:rPr>
          <w:rFonts w:ascii="Times New Roman" w:hAnsi="Times New Roman"/>
          <w:sz w:val="20"/>
        </w:rPr>
        <w:t xml:space="preserve">. The execution, delivery and performance by Purchaser of this Agreement and the Ancillary Documents to which it is or will be a party, and the consummation of the transactions contemplated hereby and thereby, do not and will not: (i) result in a violation or breach of any provision of the formation or governing documents of Purchaser; (ii) result in a violation or breach of any provision of any material Law or Governmental Order applicable to Purchaser; or (iii) require the consent, notice or other action by any Person under, conflict with, result in a violation or breach of, or constitute a default under, any agreement to which Purchaser is a party, except in the cases of clause (iii), where the violation, breach, conflict, default or failure to give notice or obtain consent would not have a material adverse effect on Purchaser’s ability to consummate the transactions contemplated hereby. No consent, approval, declaration or filing with, or notice to, any Governmental Authority is required by or with respect to Purchaser in connection with the execution and delivery of this Agreement and the Ancillary Documents to which it is or will be party and the consummation of the transactions contemplated hereby and thereby, except where the failure to obtain or make such consents, approvals, declarations, filings or notices would not have a material adverse effect on Purchaser’s ability to consummate the transactions contemplated hereby and thereby. Notwithstanding the foregoing, the Parties acknowledge and agree the consummation of the transactions contemplated hereby may require that Purchaser make certain disclosures with the SEC and other securities regulators.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Investment Purpose</w:t>
      </w:r>
      <w:r>
        <w:rPr>
          <w:rFonts w:ascii="Times New Roman" w:hAnsi="Times New Roman"/>
          <w:sz w:val="20"/>
        </w:rPr>
        <w:t xml:space="preserve">. Purchaser is acquiring the Membership Interests solely for its own account for investment purposes and not with a view to, or for offer or sale in connection with, any distribution thereof. Purchaser acknowledges that the Membership Interests are not registered under the Securities Act or any state securities laws, and that the Membership Interests may not be transferred or sold except pursuant to the registration provisions of the Securities Act or pursuant to an applicable exemption therefrom and subject to state securities laws and regulations, as applicable. Purchaser is able to bear the economic risk of holding the Membership Interests for an indefinite period (including total loss of its investment), and has sufficient knowledge and experience in financial and business matters so as to be capable of evaluating the merits and risk of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Absence of Proceedings</w:t>
      </w:r>
      <w:r>
        <w:rPr>
          <w:rFonts w:ascii="Times New Roman" w:hAnsi="Times New Roman"/>
          <w:sz w:val="20"/>
        </w:rPr>
        <w:t xml:space="preserve">. No action or proceeding has been instituted against Purchaser before any Governmental Authority (i) seeking to restrain or prohibit the execution and delivery of this Agreement or the consummation of the Transaction, or (ii) that would, if decided adversely to Purchaser, have a material adverse effect on Purchaser’s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Brokers</w:t>
      </w:r>
      <w:r>
        <w:rPr>
          <w:rFonts w:ascii="Times New Roman" w:hAnsi="Times New Roman"/>
          <w:sz w:val="20"/>
        </w:rPr>
        <w:t xml:space="preserve">. Neither Purchaser nor any of its officers, directors or employees has made any agreement or taken any other action that might cause Seller to become liable for any brokerage fees, commissions or finders’ fees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SEC Reports; Financial Statements</w:t>
      </w:r>
      <w:r>
        <w:rPr>
          <w:rFonts w:ascii="Times New Roman" w:hAnsi="Times New Roman"/>
          <w:sz w:val="20"/>
        </w:rPr>
        <w:t>. Purchaser has filed or furnished, as applicable, all forms, reports, schedules, and other statements required to be filed or furnished by it with the SEC under the Securities Exchange Act or the Securities Act since January 1, 2024 (collectively, the “</w:t>
      </w:r>
      <w:r>
        <w:rPr>
          <w:rFonts w:ascii="Times New Roman" w:hAnsi="Times New Roman"/>
          <w:b/>
          <w:sz w:val="20"/>
        </w:rPr>
        <w:t>Purchaser SEC Reports</w:t>
      </w:r>
      <w:r>
        <w:rPr>
          <w:rFonts w:ascii="Times New Roman" w:hAnsi="Times New Roman"/>
          <w:sz w:val="20"/>
        </w:rPr>
        <w:t xml:space="preserve">”). As of its respective date, and, if amended, as of the date of the last such amendment, each Purchaser SEC Report complied in all material respects with the applicable requirements of the Securities Act and the Securities Exchange Act and any rules and regulations promulgated thereunder applicable to the Purchaser SEC Report. As of its respective date, and, if amended, as of the date of the last such amendment, no Purchaser SEC Report contained any untrue statement of a material fact or omitted to state a material fact required to be stated therein or necessary to make the statements made therein, in light of the circumstances in which they were made, not misleading. As of the date hereof, there are no outstanding or unresolved comments from any comment letters received by Purchaser from the SEC relating to reports, statements, schedules, registration statements or other filings made by Purchaser with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Independent Investigation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Purchaser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Seller and the Company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(b) Purchaser acknowledges that (i) none of Seller, the Company, nor any other Person on behalf of Seller or the Company has made any representation or warranty, expressed or implied, as to the Company or the Membership Interests, or the accuracy or completeness of any information regarding the Company or the Membership Interests furnished or made available to Seller and its representatives, or any other matter related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transactions contemplated herein, other than those representations and warranties expressly set forth in this Agreement (including the related portions of the Schedules), (ii) in determining to enter into this Agreement, Purchaser has not relied on any representation or warranty from Seller, the Company or any other Person on behalf of Seller or the Company, or upon the accuracy or completeness of any information regarding the Company or the Membership Interests furnished or made available to Purchaser and its representatives, other than those representations and warranties expressly set forth in this Agreement (including the related portions of the Schedules), and (iii) none of Seller, the Company or any other Person acting on behalf of Seller or the Company shall have any liability to Purchaser or any other Person with respect to any projections, forecasts, estimates, plans, or budgets of future revenue, expenses, or expenditures, future results of operations, future cash flows, or the future financial condition of the Company or the future business, operations, or affairs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this Article V, none of the Purchaser or any other Person has made or makes any other express or implied representation or warranty, either written or oral, on behalf of the Purchaser, including any representation or warranty as to the accuracy or completeness of any information regarding the Purchaser furnished or made available to the Seller and its representatives.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COVENANTS; REPURCHASE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Public Announcements</w:t>
      </w:r>
      <w:r>
        <w:rPr>
          <w:rFonts w:ascii="Times New Roman" w:hAnsi="Times New Roman"/>
          <w:sz w:val="20"/>
        </w:rPr>
        <w:t xml:space="preserve">. Seller and Purchaser shall not issue or make any press release or other public statements with respect to the transactions contemplated hereunder without the other Party’s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Further Assurances; Release of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Following the Closing, each Party shall, and shall cause its Affiliates to, execute and deliver such additional documents, instruments, conveyances and assurances, and take such further actions as may be reasonably required to carry out the provisions hereof and give effect to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Following the Closing, the Seller shall, and shall cause its Affiliates to, execute and deliver such additional documents, instruments and assurances, and take such further actions as may be reasonably required to obtain a full and unconditional release of the Seller Affiliate Liens, which release shall be obtained within ninety (90) calendar days of the Closing and shall not require any payment or other consideration from the Purchaser.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Governmental Authority Concerns</w:t>
      </w:r>
      <w:r>
        <w:rPr>
          <w:rFonts w:ascii="Times New Roman" w:hAnsi="Times New Roman"/>
          <w:sz w:val="20"/>
        </w:rPr>
        <w:t xml:space="preserve">. 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Access to and Preservation of Information and Records</w:t>
      </w:r>
      <w:r>
        <w:rPr>
          <w:rFonts w:ascii="Times New Roman" w:hAnsi="Times New Roman"/>
          <w:sz w:val="20"/>
        </w:rPr>
        <w:t xml:space="preserve">. For a period of five (5) years following the Closing Date, each of Purchaser and Seller shall preserve any books and records relating to the Business and shall provide to the other Party reasonable access to such books and records and to their respective employees and agents as the other Party shall reasonably request for purposes of preparing Tax Returns required to be filed by such Party, and responding to audits thereof, or as otherwise needed by such Party with respect to matters related to the Business. Each Party shall also provide the other Party such information related to the Company or the Business as such other Party shall reasonably request for such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Payment of Pre-Closing Liabilities; Incorrect Payments</w:t>
      </w:r>
      <w:r>
        <w:rPr>
          <w:rFonts w:ascii="Times New Roman" w:hAnsi="Times New Roman"/>
          <w:sz w:val="20"/>
        </w:rPr>
        <w:t xml:space="preserve">. Notwithstanding anything to the contrary herein, the Parties agree that (i) Purchaser shall be solely responsible for satisfying any pre-Closing payables of the Company that remain outstanding as of the Closing, and (ii) while Purchaser shall be entitled to receive funds payable into the Company’s bank accounts with respect to receivables that were included as Current Assets in the calculation of Closing Working Capital, to the extent that the Company receives post-Closing payments that were not included as Current Assets in the calculation of Closing Working Capital and that ought to have been made to Seller or its Affiliates, then, to the extent the amount of such payments exceeds $1,000.00, the Purchaser shall cause the Company to pay the amount of such excess to Seller or its designee.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amount of personal property, real property and ad valorem (and other similar) Taxes of the Company for any Tax period beginning on or before the Closing Date and ending after the Closing Date (a “</w:t>
      </w:r>
      <w:r>
        <w:rPr>
          <w:rFonts w:ascii="Times New Roman" w:hAnsi="Times New Roman"/>
          <w:b/>
          <w:sz w:val="20"/>
        </w:rPr>
        <w:t>Straddle Period</w:t>
      </w:r>
      <w:r>
        <w:rPr>
          <w:rFonts w:ascii="Times New Roman" w:hAnsi="Times New Roman"/>
          <w:sz w:val="20"/>
        </w:rPr>
        <w:t xml:space="preserve">”) that is attributable to the portion of such Tax period ending on and including the Closing Date shall be deemed to be the amount of such Taxes for the entire Straddle Period multiplied by a fraction, the numerator of which is the number of days in the Tax period ending on the Closing Date and the denominator of which is the number of days in such Straddle Period. The amount of any other Taxes of the Company that relate to the pre-Closing portion of a Straddle Period will be determined based on an interim closing of the books as of the end of the Closing Date; provided, however, that any item determined on an annual or periodic basis (such as deductions for depreciation or real estate Taxes) shall be apportioned on a daily basis. </w:t>
      </w:r>
    </w:p>
    <w:p>
      <w:pPr>
        <w:pStyle w:val="TextBody"/>
        <w:bidi w:val="0"/>
        <w:spacing w:before="120" w:after="0"/>
        <w:jc w:val="left"/>
        <w:rPr>
          <w:rFonts w:ascii="Times New Roman" w:hAnsi="Times New Roman"/>
          <w:sz w:val="20"/>
        </w:rPr>
      </w:pPr>
      <w:r>
        <w:rPr>
          <w:rFonts w:ascii="Times New Roman" w:hAnsi="Times New Roman"/>
          <w:sz w:val="20"/>
        </w:rPr>
        <w:t>(b) Seller shall prepare and timely file, or cause to be prepared and timely filed, all Tax Returns of any combined, consolidated, affiliated or unitary group that includes the Company and for which Seller or any of its Affiliates (other than the Company) is the common parent (a “</w:t>
      </w:r>
      <w:r>
        <w:rPr>
          <w:rFonts w:ascii="Times New Roman" w:hAnsi="Times New Roman"/>
          <w:b/>
          <w:sz w:val="20"/>
        </w:rPr>
        <w:t>Seller Consolidated Group</w:t>
      </w:r>
      <w:r>
        <w:rPr>
          <w:rFonts w:ascii="Times New Roman" w:hAnsi="Times New Roman"/>
          <w:sz w:val="20"/>
        </w:rPr>
        <w:t>” and any such Tax Return, a “</w:t>
      </w:r>
      <w:r>
        <w:rPr>
          <w:rFonts w:ascii="Times New Roman" w:hAnsi="Times New Roman"/>
          <w:b/>
          <w:sz w:val="20"/>
        </w:rPr>
        <w:t>Seller Consolidated Return</w:t>
      </w:r>
      <w:r>
        <w:rPr>
          <w:rFonts w:ascii="Times New Roman" w:hAnsi="Times New Roman"/>
          <w:sz w:val="20"/>
        </w:rPr>
        <w:t>”), and all Flow-Through Tax Returns of the Company required to be filed for taxable periods ending on or prior to the Closing Date that become due after the Closing Date (each a “</w:t>
      </w:r>
      <w:r>
        <w:rPr>
          <w:rFonts w:ascii="Times New Roman" w:hAnsi="Times New Roman"/>
          <w:b/>
          <w:sz w:val="20"/>
        </w:rPr>
        <w:t>Seller Tax Return</w:t>
      </w:r>
      <w:r>
        <w:rPr>
          <w:rFonts w:ascii="Times New Roman" w:hAnsi="Times New Roman"/>
          <w:sz w:val="20"/>
        </w:rPr>
        <w:t xml:space="preserve">”). All Seller Tax Returns shall be prepared in accordance with the past practices of the Company except as otherwise required by Law. Except as provided above for Seller Tax Returns, Purchaser shall prepare and timely file, or cause to be prepared and timely filed all Tax Returns required to be filed by the Company after the Closing Date with respect to a Pre-Closing Tax Period. Any such Tax Return shall be prepared in accordance with the past practices of the Company except as otherwise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Notwithstanding anything in this Agreement to the contrary, all Tax Returns with respect to any transfer, documentary, sales, use, stamp, registration, value added and other such Taxes and fees (including any penalties and interest) incurred in connection with, or as a result of, the Transaction (including any real property transfer Tax and any other similar Tax) (the “</w:t>
      </w:r>
      <w:r>
        <w:rPr>
          <w:rFonts w:ascii="Times New Roman" w:hAnsi="Times New Roman"/>
          <w:b/>
          <w:sz w:val="20"/>
        </w:rPr>
        <w:t>Transfer Taxes</w:t>
      </w:r>
      <w:r>
        <w:rPr>
          <w:rFonts w:ascii="Times New Roman" w:hAnsi="Times New Roman"/>
          <w:sz w:val="20"/>
        </w:rPr>
        <w:t xml:space="preserve">”) incurred in connection with or as a consequence of the Transaction shall be timely filed by the Party hereto responsible for such filing under applicable Law, and all such Transfer Taxes (and all reasonable out-of-pocket costs for preparation of such Tax Returns) shall be borne by the Seller. Purchaser and Seller shall reasonably cooperate to reduce or eliminate any Transfer Taxes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The Parties agree to utilize, or cause their respective Affiliates to utilize, the “standard procedure” set forth in Section 4 of Revenue Procedure 2004-53, 2004-2 C.B. 320 for wage reporting with respect to any transferring Business employees. </w:t>
      </w:r>
    </w:p>
    <w:p>
      <w:pPr>
        <w:pStyle w:val="TextBody"/>
        <w:bidi w:val="0"/>
        <w:spacing w:before="120" w:after="0"/>
        <w:jc w:val="left"/>
        <w:rPr>
          <w:rFonts w:ascii="Times New Roman" w:hAnsi="Times New Roman"/>
          <w:sz w:val="20"/>
        </w:rPr>
      </w:pPr>
      <w:r>
        <w:rPr>
          <w:rFonts w:ascii="Times New Roman" w:hAnsi="Times New Roman"/>
          <w:sz w:val="20"/>
        </w:rPr>
        <w:t xml:space="preserve">(e) Purchaser shall promptly notify Seller in writing upon receipt by Purchaser or any of its Affiliates of notice of any pending or threatened Tax audits, examinations or assessments which, if successful, is reasonably expected to result in an indemnity payment pursuant to </w:t>
      </w:r>
      <w:r>
        <w:rPr>
          <w:rFonts w:ascii="Times New Roman" w:hAnsi="Times New Roman"/>
          <w:sz w:val="20"/>
          <w:u w:val="single"/>
        </w:rPr>
        <w:t>Section 8.2</w:t>
      </w:r>
      <w:r>
        <w:rPr>
          <w:rFonts w:ascii="Times New Roman" w:hAnsi="Times New Roman"/>
          <w:sz w:val="20"/>
        </w:rPr>
        <w:t xml:space="preserve"> (a “</w:t>
      </w:r>
      <w:r>
        <w:rPr>
          <w:rFonts w:ascii="Times New Roman" w:hAnsi="Times New Roman"/>
          <w:b/>
          <w:sz w:val="20"/>
        </w:rPr>
        <w:t>Tax Claim</w:t>
      </w:r>
      <w:r>
        <w:rPr>
          <w:rFonts w:ascii="Times New Roman" w:hAnsi="Times New Roman"/>
          <w:sz w:val="20"/>
        </w:rPr>
        <w:t xml:space="preserve">”). Notwithstanding anything to the contrary in this Agreement, Seller shall have the right to control any Tax Claim relating to (A) any Tax Return of Seller or any of its Affiliates (other than solely the Company), (B) any Flow-Through Tax Return (in respect of periods ending on or prior to the Closing Date), and (C) any Tax Return of any Seller Consolidated Group (including any Seller Consolidated Return). If Seller chooses not to control such Tax Claim, Purchaser may defend the same in such manner as it may deem appropriate. The Party hereto controlling a Tax Claim shall in any event keep the other Party hereto informed of the progress of such Tax Claim, shall promptly provide such other Party with copies of all material documents (including material notices, protests, briefs, written rulings and determinations and correspondence) pertaining to such Tax Claim and shall not settle such Tax Claim without such other Party’s advance written consent, which consent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(f) The parties acknowledge and agree that the transactions contemplated by this Agreement shall be treated for all U.S. federal income tax purposes and, as may be applicable, for state and local income tax purposes, as a sale of all the assets of the Company in the case of Seller and as a purchase of all the assets of the Company in the case of Purchaser. The Parties shall file, and cause their Affiliates to file, all Tax Returns in a manner consistent with such treatment and will take no position inconsistent with such characterization for any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(g) After the Closing, Purchaser and the Company shall not, and shall cause their Affiliates not to, without the prior written consent of Seller (which consent shall not be unreasonably withheld, conditioned or delayed), (i) make or change any Tax election that has a retroactive effect to a Pre-Closing Tax Period, or (ii) amend, refile or otherwise modify any Tax Return relating to a Pre-Closing Tax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Any Tax refund or credit or offset in lieu thereof (including any interest paid or credited by a taxing authority with respect thereto) of the Company with respect to a Pre-Closing Tax Period or for which Seller would otherwise be responsible pursuant to this Agreement (a “</w:t>
      </w:r>
      <w:r>
        <w:rPr>
          <w:rFonts w:ascii="Times New Roman" w:hAnsi="Times New Roman"/>
          <w:b/>
          <w:sz w:val="20"/>
        </w:rPr>
        <w:t>Tax Refund</w:t>
      </w:r>
      <w:r>
        <w:rPr>
          <w:rFonts w:ascii="Times New Roman" w:hAnsi="Times New Roman"/>
          <w:sz w:val="20"/>
        </w:rPr>
        <w:t xml:space="preserve">”) shall be for the sole benefit of Seller, provided that Seller shall not be entitled to any refund of Taxes to the extent such refund is attributable to the carryback of losses solely arising in or attributable to any period that is not a Pre-Closing Tax Period. To the extent that Purchaser or any of its Affiliates (including the Company after the Closing) receives any Tax Refund, Purchaser shall promptly pay to Seller such Tax Refund after such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Repurchase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Call Option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The Purchaser hereby grants to Seller an option to repurchase the Company (such option, the “</w:t>
            </w:r>
            <w:r>
              <w:rPr>
                <w:rFonts w:ascii="Times New Roman" w:hAnsi="Times New Roman"/>
                <w:b/>
                <w:sz w:val="20"/>
              </w:rPr>
              <w:t>Call</w:t>
            </w:r>
            <w:r>
              <w:rPr>
                <w:rFonts w:ascii="Times New Roman" w:hAnsi="Times New Roman"/>
                <w:sz w:val="20"/>
              </w:rPr>
              <w:t xml:space="preserve"> </w:t>
            </w:r>
            <w:r>
              <w:rPr>
                <w:rFonts w:ascii="Times New Roman" w:hAnsi="Times New Roman"/>
                <w:b/>
                <w:sz w:val="20"/>
              </w:rPr>
              <w:t>Option</w:t>
            </w:r>
            <w:r>
              <w:rPr>
                <w:rFonts w:ascii="Times New Roman" w:hAnsi="Times New Roman"/>
                <w:sz w:val="20"/>
              </w:rPr>
              <w:t>”), at a purchase price equal to (i) the Purchase Price plus an amount of simple interest on such Purchase Price equal to 10% per annum based on the number of days elapsed between the Closing and the date Seller delivers the Call Option Exercise Notice (defined below) and assuming a 365-day year if the Call Option Exercise Notice is delivered on or prior to the 24-month anniversary of the Closing or (ii) at a purchase price agreed upon by Purchaser and Seller or, if they cannot agree, the midway point of the valuation range determined by a third-party appraisal company jointly selected by the parties if the Call Option Exercise Notice is delivered after the 24-month anniversary of the Closing (the “</w:t>
            </w:r>
            <w:r>
              <w:rPr>
                <w:rFonts w:ascii="Times New Roman" w:hAnsi="Times New Roman"/>
                <w:b/>
                <w:sz w:val="20"/>
              </w:rPr>
              <w:t>Option Purchase Price</w:t>
            </w:r>
            <w:r>
              <w:rPr>
                <w:rFonts w:ascii="Times New Roman" w:hAnsi="Times New Roman"/>
                <w:sz w:val="20"/>
              </w:rPr>
              <w:t xml:space="preserve">”). The Call Option may only be exercised upon an event outside the Seller’s and Purchaser’s control which (i) could reasonably be expected to have a material and adverse impact on the standing of the Purchaser on its primary exchange or (ii) upon a federal ban of consumable hemp-derived THC products. This Call Option will expire on the five (5) year anniversary of the Closing unless duly exercised by the Seller prior to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exercise the Call Option, the Seller must deliver a written notice to the Purchaser prior to the five (5) year anniversary of the Closing referencing this </w:t>
            </w:r>
            <w:r>
              <w:rPr>
                <w:rFonts w:ascii="Times New Roman" w:hAnsi="Times New Roman"/>
                <w:sz w:val="20"/>
                <w:u w:val="single"/>
              </w:rPr>
              <w:t>Section 6.7</w:t>
            </w:r>
            <w:r>
              <w:rPr>
                <w:rFonts w:ascii="Times New Roman" w:hAnsi="Times New Roman"/>
                <w:sz w:val="20"/>
              </w:rPr>
              <w:t xml:space="preserve"> and stating its intention to exercise the Call Option (the “</w:t>
            </w:r>
            <w:r>
              <w:rPr>
                <w:rFonts w:ascii="Times New Roman" w:hAnsi="Times New Roman"/>
                <w:b/>
                <w:sz w:val="20"/>
              </w:rPr>
              <w:t>Call</w:t>
            </w:r>
            <w:r>
              <w:rPr>
                <w:rFonts w:ascii="Times New Roman" w:hAnsi="Times New Roman"/>
                <w:sz w:val="20"/>
              </w:rPr>
              <w:t xml:space="preserve"> </w:t>
            </w:r>
            <w:r>
              <w:rPr>
                <w:rFonts w:ascii="Times New Roman" w:hAnsi="Times New Roman"/>
                <w:b/>
                <w:sz w:val="20"/>
              </w:rPr>
              <w:t>Option Exercise Notice</w:t>
            </w:r>
            <w:r>
              <w:rPr>
                <w:rFonts w:ascii="Times New Roman" w:hAnsi="Times New Roman"/>
                <w:sz w:val="20"/>
              </w:rPr>
              <w:t xml:space="preserve">”) on the date that is five (5) business days following the date of the Call Option Exercise Notice or such date as may be mutually agreed to by the Seller and the Purchaser. The aggregate Option Purchase Price (as determined in accordance with </w:t>
            </w:r>
            <w:r>
              <w:rPr>
                <w:rFonts w:ascii="Times New Roman" w:hAnsi="Times New Roman"/>
                <w:sz w:val="20"/>
                <w:u w:val="single"/>
              </w:rPr>
              <w:t>Section 6.7(a)(1))</w:t>
            </w:r>
            <w:r>
              <w:rPr>
                <w:rFonts w:ascii="Times New Roman" w:hAnsi="Times New Roman"/>
                <w:sz w:val="20"/>
              </w:rPr>
              <w:t xml:space="preserve"> shall be paid by the Seller to the Purchaser pursuant to a wire transfer of immediately available funds to an account designated in writing to the Seller by the Purchaser upon the closing of Seller’s repurchase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Notwithstanding the foregoing, in connection with an exercise of the Call Option permitted hereunder, in lieu of repurchasing the Membership Interests, the Seller may instead elect to repurchase all or any portion of the trademark(s) listed in Exhibit A of the License Agreement (including any related marks obtained after the Closing) (a “</w:t>
            </w:r>
            <w:r>
              <w:rPr>
                <w:rFonts w:ascii="Times New Roman" w:hAnsi="Times New Roman"/>
                <w:b/>
                <w:sz w:val="20"/>
              </w:rPr>
              <w:t>Trademark Repurchase</w:t>
            </w:r>
            <w:r>
              <w:rPr>
                <w:rFonts w:ascii="Times New Roman" w:hAnsi="Times New Roman"/>
                <w:sz w:val="20"/>
              </w:rPr>
              <w:t>”). To effect a Trademark Repurchase, the Seller must deliver a Call Option Exercise Notice to the Purchaser in the same manner and form as described in Section 6.7(a)(2), specifying the trademark(s) to be repurchased (the “</w:t>
            </w:r>
            <w:r>
              <w:rPr>
                <w:rFonts w:ascii="Times New Roman" w:hAnsi="Times New Roman"/>
                <w:b/>
                <w:sz w:val="20"/>
              </w:rPr>
              <w:t>Repurchased Trademarks</w:t>
            </w:r>
            <w:r>
              <w:rPr>
                <w:rFonts w:ascii="Times New Roman" w:hAnsi="Times New Roman"/>
                <w:sz w:val="20"/>
              </w:rPr>
              <w:t xml:space="preserve">”) at a purchase price agreed upon by Purchaser and Seller or, if they cannot agree, the midway point of the valuation range determined by a third-party appraisal company jointly selected by the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Grant of Put Option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The Seller hereby grants to Purchaser an option to require the Seller to repurchase the Company (such option, the “</w:t>
            </w:r>
            <w:r>
              <w:rPr>
                <w:rFonts w:ascii="Times New Roman" w:hAnsi="Times New Roman"/>
                <w:b/>
                <w:sz w:val="20"/>
              </w:rPr>
              <w:t>Put</w:t>
            </w:r>
            <w:r>
              <w:rPr>
                <w:rFonts w:ascii="Times New Roman" w:hAnsi="Times New Roman"/>
                <w:sz w:val="20"/>
              </w:rPr>
              <w:t xml:space="preserve"> </w:t>
            </w:r>
            <w:r>
              <w:rPr>
                <w:rFonts w:ascii="Times New Roman" w:hAnsi="Times New Roman"/>
                <w:b/>
                <w:sz w:val="20"/>
              </w:rPr>
              <w:t>Option</w:t>
            </w:r>
            <w:r>
              <w:rPr>
                <w:rFonts w:ascii="Times New Roman" w:hAnsi="Times New Roman"/>
                <w:sz w:val="20"/>
              </w:rPr>
              <w:t>”), at a purchase price equal to the Option Purchase Price (treating a Put Option Exercise Notice as a Call Option Exercise Notice for purposes of calculating the Option Purchase Price), if the Seller Affiliate Liens are not fully released from the Company and their assets within 90 days following Closing (or such longer timeframe if otherwise extended upon mutual agreement of the Parties)(a “</w:t>
            </w:r>
            <w:r>
              <w:rPr>
                <w:rFonts w:ascii="Times New Roman" w:hAnsi="Times New Roman"/>
                <w:b/>
                <w:sz w:val="20"/>
              </w:rPr>
              <w:t>Put Option Trigger Event</w:t>
            </w:r>
            <w:r>
              <w:rPr>
                <w:rFonts w:ascii="Times New Roman" w:hAnsi="Times New Roman"/>
                <w:sz w:val="20"/>
              </w:rPr>
              <w:t xml:space="preserve">”). The Put Option will expire on the five (5) year anniversary of the Closing unless duly exercised by the Seller prior to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exercise the Put Option, the Purchaser must deliver a written notice to the Seller within ninety (90) days of a Put Option Trigger Event, which notice shall reference this </w:t>
            </w:r>
            <w:r>
              <w:rPr>
                <w:rFonts w:ascii="Times New Roman" w:hAnsi="Times New Roman"/>
                <w:sz w:val="20"/>
                <w:u w:val="single"/>
              </w:rPr>
              <w:t>Section 6.7</w:t>
            </w:r>
            <w:r>
              <w:rPr>
                <w:rFonts w:ascii="Times New Roman" w:hAnsi="Times New Roman"/>
                <w:sz w:val="20"/>
              </w:rPr>
              <w:t xml:space="preserve"> and state the Purchaser’s intention to exercise the Put Option (the “</w:t>
            </w:r>
            <w:r>
              <w:rPr>
                <w:rFonts w:ascii="Times New Roman" w:hAnsi="Times New Roman"/>
                <w:b/>
                <w:sz w:val="20"/>
              </w:rPr>
              <w:t>Put</w:t>
            </w:r>
            <w:r>
              <w:rPr>
                <w:rFonts w:ascii="Times New Roman" w:hAnsi="Times New Roman"/>
                <w:sz w:val="20"/>
              </w:rPr>
              <w:t xml:space="preserve"> </w:t>
            </w:r>
            <w:r>
              <w:rPr>
                <w:rFonts w:ascii="Times New Roman" w:hAnsi="Times New Roman"/>
                <w:b/>
                <w:sz w:val="20"/>
              </w:rPr>
              <w:t>Option Exercise Notice</w:t>
            </w:r>
            <w:r>
              <w:rPr>
                <w:rFonts w:ascii="Times New Roman" w:hAnsi="Times New Roman"/>
                <w:sz w:val="20"/>
              </w:rPr>
              <w:t xml:space="preserve">”) on the date that is five (5) business days following the date of the Put Option Exercise Notice or such date as may be mutually agreed to by the Seller and the Purchaser. The aggregate Option Purchase Price (as determined in accordance with </w:t>
            </w:r>
            <w:r>
              <w:rPr>
                <w:rFonts w:ascii="Times New Roman" w:hAnsi="Times New Roman"/>
                <w:sz w:val="20"/>
                <w:u w:val="single"/>
              </w:rPr>
              <w:t>Section 6.7(a)(i)</w:t>
            </w:r>
            <w:r>
              <w:rPr>
                <w:rFonts w:ascii="Times New Roman" w:hAnsi="Times New Roman"/>
                <w:sz w:val="20"/>
              </w:rPr>
              <w:t xml:space="preserve">) shall be paid by the Seller to the Purchaser pursuant to a wire transfer of immediately available funds to an account designated in writing to the Seller by the Purchaser upon the closing of Seller’s repurchase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either of the Put Option or the Call Option is exercised, the Purchaser shall take all actions as may be reasonably necessary to consummate the repurchase by the Seller of the Company and the assets held by the Company at the Closing free and clear of all liens, claims, options, charges, security interests, pledges, mortgages or other encumbrances, including, without limitation, entering into agreements and delivering certificates and instruments and consents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8369"/>
      </w:tblGrid>
      <w:tr>
        <w:trPr/>
        <w:tc>
          <w:tcPr>
            <w:tcW w:w="1836" w:type="dxa"/>
            <w:tcBorders/>
            <w:vAlign w:val="center"/>
          </w:tcPr>
          <w:p>
            <w:pPr>
              <w:pStyle w:val="TableContents"/>
              <w:bidi w:val="0"/>
              <w:spacing w:before="0" w:after="283"/>
              <w:jc w:val="left"/>
              <w:rPr/>
            </w:pPr>
            <w:r>
              <w:rPr/>
              <w:t> </w:t>
            </w:r>
          </w:p>
        </w:tc>
        <w:tc>
          <w:tcPr>
            <w:tcW w:w="8369" w:type="dxa"/>
            <w:tcBorders/>
          </w:tcPr>
          <w:p>
            <w:pPr>
              <w:pStyle w:val="TableContents"/>
              <w:bidi w:val="0"/>
              <w:spacing w:before="0" w:after="283"/>
              <w:jc w:val="left"/>
              <w:rPr/>
            </w:pPr>
            <w:r>
              <w:rPr/>
              <w:t xml:space="preserve">may be necessary or appropriate (which definitive documents shall contain representations and warranties, purchase price adjustment provisions, and indemnification provisions that are, in each case, substantially identical to those contained herein). To the extent any assets of the Company at the time of Closing are transferred to an affiliate of the Purchaser following Closing, then, in connection with the exercise of any Put Option or Call Option, the Purchaser shall take all actions as may be reasonably necessary to transfer such assets to the Company prior to the consummation of the repurchase. To the extent any Repurchased Trademarks have been transferred, licensed, sublicensed, encumbered, or otherwise disposed of by Purchaser or any of its Affiliates following the Closing, then, in connection with Trademark Repurchase, the Purchaser shall take all actions as may be reasonably necessary to cause such Repurchased Trademark(s) to be unencumbered and available for reassignment or transfer to the Seller prior to the consummation of the repurchase of such Repurchased Trademark(s).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Restrictions on Transfer; Right of First Offer; Right of First Refusal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Restriction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The Purchaser hereby agrees that, for a period beginning at the Closing and ending on the five (5) year anniversary thereof, without the prior written notice to Seller along with compliance with the terms and conditions of Sections 6.8(b) and 6.8(c), neither the Purchaser nor its Affiliates shall, directly or indirectly, sell, pledge, sublicense, transfer, abandon, or otherwise dispose of any of the membership interests or material assets of the Company (such prohibited transfers being referred to collectively as “</w:t>
            </w:r>
            <w:r>
              <w:rPr>
                <w:rFonts w:ascii="Times New Roman" w:hAnsi="Times New Roman"/>
                <w:b/>
                <w:sz w:val="20"/>
              </w:rPr>
              <w:t>Transfers</w:t>
            </w:r>
            <w:r>
              <w:rPr>
                <w:rFonts w:ascii="Times New Roman" w:hAnsi="Times New Roman"/>
                <w:sz w:val="20"/>
              </w:rPr>
              <w:t xml:space="preserve">”). The Transfer restrictions set forth in this </w:t>
            </w:r>
            <w:r>
              <w:rPr>
                <w:rFonts w:ascii="Times New Roman" w:hAnsi="Times New Roman"/>
                <w:sz w:val="20"/>
                <w:u w:val="single"/>
              </w:rPr>
              <w:t>Section 6.8(a)</w:t>
            </w:r>
            <w:r>
              <w:rPr>
                <w:rFonts w:ascii="Times New Roman" w:hAnsi="Times New Roman"/>
                <w:sz w:val="20"/>
              </w:rPr>
              <w:t xml:space="preserve"> are designed solely to prevent Transfer of the membership interests or material assets of the Company to a competitor or to a less creditworthy, or otherwise less qualified, party in the event such party is not the only potential purchaser of the membership interests or material assets of the Company. The Transfer restrictions set forth in this </w:t>
            </w:r>
            <w:r>
              <w:rPr>
                <w:rFonts w:ascii="Times New Roman" w:hAnsi="Times New Roman"/>
                <w:sz w:val="20"/>
                <w:u w:val="single"/>
              </w:rPr>
              <w:t>Section 6.8(a)</w:t>
            </w:r>
            <w:r>
              <w:rPr>
                <w:rFonts w:ascii="Times New Roman" w:hAnsi="Times New Roman"/>
                <w:sz w:val="20"/>
              </w:rPr>
              <w:t xml:space="preserve"> are not intended to constrain the Purchaser from recognizing its economic interests in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of First Offer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On or after the Closing (the “</w:t>
            </w:r>
            <w:r>
              <w:rPr>
                <w:rFonts w:ascii="Times New Roman" w:hAnsi="Times New Roman"/>
                <w:b/>
                <w:sz w:val="20"/>
              </w:rPr>
              <w:t>ROFO Period</w:t>
            </w:r>
            <w:r>
              <w:rPr>
                <w:rFonts w:ascii="Times New Roman" w:hAnsi="Times New Roman"/>
                <w:sz w:val="20"/>
              </w:rPr>
              <w:t>”), the Purchaser shall not solicit offers to enter into any agreement or consummate any transaction relating to a Transfer with any Person that is not the Seller or its Affiliates (a “</w:t>
            </w:r>
            <w:r>
              <w:rPr>
                <w:rFonts w:ascii="Times New Roman" w:hAnsi="Times New Roman"/>
                <w:b/>
                <w:sz w:val="20"/>
              </w:rPr>
              <w:t>Third Party Transaction</w:t>
            </w:r>
            <w:r>
              <w:rPr>
                <w:rFonts w:ascii="Times New Roman" w:hAnsi="Times New Roman"/>
                <w:sz w:val="20"/>
              </w:rPr>
              <w:t xml:space="preserve">”) except in compliance with the terms and conditions of this </w:t>
            </w:r>
            <w:r>
              <w:rPr>
                <w:rFonts w:ascii="Times New Roman" w:hAnsi="Times New Roman"/>
                <w:sz w:val="20"/>
                <w:u w:val="single"/>
              </w:rPr>
              <w:t>Section 6.8(b)</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If, at any time during the ROFO Period, the Purchaser decides to pursue a Third Party Transaction, the Purchaser shall, prior to soliciting any offers with respect to a Third Party Transaction, deliver to the Seller a written offer (the “</w:t>
            </w:r>
            <w:r>
              <w:rPr>
                <w:rFonts w:ascii="Times New Roman" w:hAnsi="Times New Roman"/>
                <w:b/>
                <w:sz w:val="20"/>
              </w:rPr>
              <w:t>ROFO Offer Notice</w:t>
            </w:r>
            <w:r>
              <w:rPr>
                <w:rFonts w:ascii="Times New Roman" w:hAnsi="Times New Roman"/>
                <w:sz w:val="20"/>
              </w:rPr>
              <w:t>”) outlining the material financial and other terms and conditions under which the Purchaser would like to effect a Third Party Transaction (including, without limitation, any minimum production requirements or guaranteed fees) (the “</w:t>
            </w:r>
            <w:r>
              <w:rPr>
                <w:rFonts w:ascii="Times New Roman" w:hAnsi="Times New Roman"/>
                <w:b/>
                <w:sz w:val="20"/>
              </w:rPr>
              <w:t>ROFO Material Terms</w:t>
            </w:r>
            <w:r>
              <w:rPr>
                <w:rFonts w:ascii="Times New Roman" w:hAnsi="Times New Roman"/>
                <w:sz w:val="20"/>
              </w:rPr>
              <w:t>”). Each ROFO Offer Notice constitutes an offer made by the Purchaser to enter into an agreement with the Seller or its Affiliates subject to the ROFO Material Terms (the “</w:t>
            </w:r>
            <w:r>
              <w:rPr>
                <w:rFonts w:ascii="Times New Roman" w:hAnsi="Times New Roman"/>
                <w:b/>
                <w:sz w:val="20"/>
              </w:rPr>
              <w:t>ROFO Offer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At any time prior to the expiration of the thirty (30) day period following Seller’s receipt of the ROFO Offer Notice (the “</w:t>
            </w:r>
            <w:r>
              <w:rPr>
                <w:rFonts w:ascii="Times New Roman" w:hAnsi="Times New Roman"/>
                <w:b/>
                <w:sz w:val="20"/>
              </w:rPr>
              <w:t>ROFO Exercise Period</w:t>
            </w:r>
            <w:r>
              <w:rPr>
                <w:rFonts w:ascii="Times New Roman" w:hAnsi="Times New Roman"/>
                <w:sz w:val="20"/>
              </w:rPr>
              <w:t xml:space="preserve">”), the Seller may accept the ROFO Offer by delivery to the Purchaser of a written notice of acceptance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the expiration of the ROFO Exercise Period, the Seller has not accepted the ROFO Offer, and provided that the Purchaser has materially complied with all of the provisions of this </w:t>
            </w:r>
            <w:r>
              <w:rPr>
                <w:rFonts w:ascii="Times New Roman" w:hAnsi="Times New Roman"/>
                <w:sz w:val="20"/>
                <w:u w:val="single"/>
              </w:rPr>
              <w:t>Section 6.8(b)</w:t>
            </w:r>
            <w:r>
              <w:rPr>
                <w:rFonts w:ascii="Times New Roman" w:hAnsi="Times New Roman"/>
                <w:sz w:val="20"/>
              </w:rPr>
              <w:t xml:space="preserve">, at any time following the expiration of the ROFO Exercise Period, the Purchaser may solicit offers with respect to a Third Party Transaction (subject to the Purchaser’s compliance with Section 6.8(c)). If a Third Party Transaction is not consummated within 180 days of the ROFO Offer Notice, the terms and conditions of this </w:t>
            </w:r>
            <w:r>
              <w:rPr>
                <w:rFonts w:ascii="Times New Roman" w:hAnsi="Times New Roman"/>
                <w:sz w:val="20"/>
                <w:u w:val="single"/>
              </w:rPr>
              <w:t>Section 6.8(b)</w:t>
            </w:r>
            <w:r>
              <w:rPr>
                <w:rFonts w:ascii="Times New Roman" w:hAnsi="Times New Roman"/>
                <w:sz w:val="20"/>
              </w:rPr>
              <w:t xml:space="preserve"> will again apply and the Purchaser shall not solicit offers with respect to a Third Party Transaction during the ROFO Period without affording the Seller the right of first offer on the terms and conditions of this </w:t>
            </w:r>
            <w:r>
              <w:rPr>
                <w:rFonts w:ascii="Times New Roman" w:hAnsi="Times New Roman"/>
                <w:sz w:val="20"/>
                <w:u w:val="single"/>
              </w:rPr>
              <w:t>Section 6.8(b)</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 of First Refusal</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On or after the Closing (the “</w:t>
            </w:r>
            <w:r>
              <w:rPr>
                <w:rFonts w:ascii="Times New Roman" w:hAnsi="Times New Roman"/>
                <w:b/>
                <w:sz w:val="20"/>
              </w:rPr>
              <w:t>ROFR Period</w:t>
            </w:r>
            <w:r>
              <w:rPr>
                <w:rFonts w:ascii="Times New Roman" w:hAnsi="Times New Roman"/>
                <w:sz w:val="20"/>
              </w:rPr>
              <w:t xml:space="preserve">”), the Purchaser shall not enter into any agreement to, or consummate, any Third Party Transaction except in compliance with the terms and conditions of this </w:t>
            </w:r>
            <w:r>
              <w:rPr>
                <w:rFonts w:ascii="Times New Roman" w:hAnsi="Times New Roman"/>
                <w:sz w:val="20"/>
                <w:u w:val="single"/>
              </w:rPr>
              <w:t>Section 6.8(c)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If, at any time during the ROFR Period, the Purchaser receives a bona fide written offer for a Third Party Transaction that the Purchaser desires to accept (each, a “</w:t>
            </w:r>
            <w:r>
              <w:rPr>
                <w:rFonts w:ascii="Times New Roman" w:hAnsi="Times New Roman"/>
                <w:b/>
                <w:sz w:val="20"/>
              </w:rPr>
              <w:t>Third Party Offer</w:t>
            </w:r>
            <w:r>
              <w:rPr>
                <w:rFonts w:ascii="Times New Roman" w:hAnsi="Times New Roman"/>
                <w:sz w:val="20"/>
              </w:rPr>
              <w:t>”), the Purchaser shall, within five (5) business days following the receipt of the Third Party Offer, notify the Seller in writing (the “</w:t>
            </w:r>
            <w:r>
              <w:rPr>
                <w:rFonts w:ascii="Times New Roman" w:hAnsi="Times New Roman"/>
                <w:b/>
                <w:sz w:val="20"/>
              </w:rPr>
              <w:t>ROFR Offer Notice</w:t>
            </w:r>
            <w:r>
              <w:rPr>
                <w:rFonts w:ascii="Times New Roman" w:hAnsi="Times New Roman"/>
                <w:sz w:val="20"/>
              </w:rPr>
              <w:t>”) of the identity of all proposed parties to such Third Party Transaction and the material financial and other terms and conditions of such Third Party Offer (including, without limitation, any minimum production requirements or guaranteed fees) (the “</w:t>
            </w:r>
            <w:r>
              <w:rPr>
                <w:rFonts w:ascii="Times New Roman" w:hAnsi="Times New Roman"/>
                <w:b/>
                <w:sz w:val="20"/>
              </w:rPr>
              <w:t>ROFR Material Terms</w:t>
            </w:r>
            <w:r>
              <w:rPr>
                <w:rFonts w:ascii="Times New Roman" w:hAnsi="Times New Roman"/>
                <w:sz w:val="20"/>
              </w:rPr>
              <w:t>”). Each ROFR Offer Notice constitutes an offer made by the Purchaser to enter into an agreement with the Seller or its Affiliates on the same ROFR Material Terms of such Third Party Offer (the “</w:t>
            </w:r>
            <w:r>
              <w:rPr>
                <w:rFonts w:ascii="Times New Roman" w:hAnsi="Times New Roman"/>
                <w:b/>
                <w:sz w:val="20"/>
              </w:rPr>
              <w:t>ROFR Offer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At any time prior to the expiration of the thirty (30) day period following Seller’s receipt of the ROFR Offer Notice (the “</w:t>
            </w:r>
            <w:r>
              <w:rPr>
                <w:rFonts w:ascii="Times New Roman" w:hAnsi="Times New Roman"/>
                <w:b/>
                <w:sz w:val="20"/>
              </w:rPr>
              <w:t>ROFR Exercise Period</w:t>
            </w:r>
            <w:r>
              <w:rPr>
                <w:rFonts w:ascii="Times New Roman" w:hAnsi="Times New Roman"/>
                <w:sz w:val="20"/>
              </w:rPr>
              <w:t xml:space="preserve">”), the Seller may accept the ROFR Offer by delivery to the Purchaser of a written notice of acceptance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the expiration of the ROFR Exercise Period, the Seller has not accepted the ROFR Offer, and provided that the Purchaser has materially complied with all of the provisions of this </w:t>
            </w:r>
            <w:r>
              <w:rPr>
                <w:rFonts w:ascii="Times New Roman" w:hAnsi="Times New Roman"/>
                <w:sz w:val="20"/>
                <w:u w:val="single"/>
              </w:rPr>
              <w:t>Section 6.8(c)</w:t>
            </w:r>
            <w:r>
              <w:rPr>
                <w:rFonts w:ascii="Times New Roman" w:hAnsi="Times New Roman"/>
                <w:sz w:val="20"/>
              </w:rPr>
              <w:t xml:space="preserve">, at any time following the expiration of the ROFR Exercise Period, the Purchaser may consummate the Third Party Transaction with the counterparty identified in the applicable ROFR Offer Notice on ROFR Material Terms that are the same or more favorable to the Purchaser as the Material Terms set forth in the ROFR Offer Notice. If such Third Party Transaction is not consummated within 180 days of the Offer Notice, the terms and conditions of this </w:t>
            </w:r>
            <w:r>
              <w:rPr>
                <w:rFonts w:ascii="Times New Roman" w:hAnsi="Times New Roman"/>
                <w:sz w:val="20"/>
                <w:u w:val="single"/>
              </w:rPr>
              <w:t>Section 6.8(c)</w:t>
            </w:r>
            <w:r>
              <w:rPr>
                <w:rFonts w:ascii="Times New Roman" w:hAnsi="Times New Roman"/>
                <w:sz w:val="20"/>
              </w:rPr>
              <w:t xml:space="preserve"> will again apply and the Purchaser shall not enter into any Third Party Transaction during the ROFR Period without affording the Seller the right of first refusal on the terms and conditions of this </w:t>
            </w:r>
            <w:r>
              <w:rPr>
                <w:rFonts w:ascii="Times New Roman" w:hAnsi="Times New Roman"/>
                <w:sz w:val="20"/>
                <w:u w:val="single"/>
              </w:rPr>
              <w:t>Section 6.8(c)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the terms and conditions of this Section 6.8(c) apply to each Third Party Offer received by the Purchaser during the ROFR Period.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Seller hereby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Confidential Information</w:t>
      </w:r>
      <w:r>
        <w:rPr>
          <w:rFonts w:ascii="Times New Roman" w:hAnsi="Times New Roman"/>
          <w:sz w:val="20"/>
        </w:rPr>
        <w:t>. The Parties acknowledge that, in light of Purchaser’s business interests in the Company and their Business following the Closing and Seller’s interest in protecting information with respect to its and its Affiliates’ business (the “</w:t>
      </w:r>
      <w:r>
        <w:rPr>
          <w:rFonts w:ascii="Times New Roman" w:hAnsi="Times New Roman"/>
          <w:b/>
          <w:sz w:val="20"/>
        </w:rPr>
        <w:t>Retained Business</w:t>
      </w:r>
      <w:r>
        <w:rPr>
          <w:rFonts w:ascii="Times New Roman" w:hAnsi="Times New Roman"/>
          <w:sz w:val="20"/>
        </w:rPr>
        <w:t>”) that has or may be disclosed in connection with the negotiation of this Agreement or the consummation of the transactions contemplated hereby, confidential treatment shall be afforded with respect to confidential or proprietary information related to the Business and the Retained Business that is not generally known within the relevant trade group or by the public, including all documents, writings, memoranda, business plans, illustrations, designs, plans, processes, programs, inventions, reports, sources of supply, customer lists, supplier lists, trade secrets and all other valuable or unique information and techniques acquired, developed or used by the Company related to the Business or by Seller or its Affiliates, as the case may be (hereinafter collectively termed “</w:t>
      </w:r>
      <w:r>
        <w:rPr>
          <w:rFonts w:ascii="Times New Roman" w:hAnsi="Times New Roman"/>
          <w:b/>
          <w:sz w:val="20"/>
        </w:rPr>
        <w:t>Protected Information</w:t>
      </w:r>
      <w:r>
        <w:rPr>
          <w:rFonts w:ascii="Times New Roman" w:hAnsi="Times New Roman"/>
          <w:sz w:val="20"/>
        </w:rPr>
        <w:t xml:space="preserve">”). Each Party expressly acknowledges and agrees that the other Party’s Protected Information constitutes trade secrets and/or confidential and proprietary business information to which it has had access in connection with the transactions contemplated hereby, and which, in the case of Protected Information related to the Company and the Business, will be acquired by Purchaser upon Closing. Protected Information shall exclude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that (i) becomes generally available or known to the public by any means except disclosure by a Party in violation of the restrictions set forth herein, (ii) becomes available to a Party from a third party and such disclosure does not violate an obligation of confidentiality owed to the other Party, and (iii) is independently developed by a Party without reference to the other Party’s Protected Information. Each Party agrees to maintain all of the other Party’s Protected Information in strict confidence and to refrain from making any disclosure of any such Protected Information to any other party for so long as the Protected Information is not generally available or known to the public. Each Party also agrees to take all reasonable measures necessary to keep the Protected Information from being (i) inadvertently disclosed to any third party, or (ii) misappropriated by a third party. Notwithstanding the foregoing, a Party may disclose the other Party’s Protected Information (i) to its legal, financial, and other professional advisors, provided that such advisors are bound by professional or contractual confidentiality restrictions to the extent reasonably necessary to ensure the confidential treatment of such Protected Information and (ii) to the extent that, upon advice of counsel, it is legally obligated to do so, provided that (to the extent legally permissible) such Party gives prior written notice of such obligation to the other Party and reasonably cooperates with any effort by the other Party to limit the scope of such disclosure (at the other Party’s cost). To the extent there is any conflict between the provisions of the License Agreement and this </w:t>
      </w:r>
      <w:r>
        <w:rPr>
          <w:rFonts w:ascii="Times New Roman" w:hAnsi="Times New Roman"/>
          <w:sz w:val="20"/>
          <w:u w:val="single"/>
        </w:rPr>
        <w:t>Section 7.1</w:t>
      </w:r>
      <w:r>
        <w:rPr>
          <w:rFonts w:ascii="Times New Roman" w:hAnsi="Times New Roman"/>
          <w:sz w:val="20"/>
        </w:rPr>
        <w:t xml:space="preserve">, the provisions of the License Agreement shall control. The restrictions set forth in this </w:t>
      </w:r>
      <w:r>
        <w:rPr>
          <w:rFonts w:ascii="Times New Roman" w:hAnsi="Times New Roman"/>
          <w:sz w:val="20"/>
          <w:u w:val="single"/>
        </w:rPr>
        <w:t>Section 7.1</w:t>
      </w:r>
      <w:r>
        <w:rPr>
          <w:rFonts w:ascii="Times New Roman" w:hAnsi="Times New Roman"/>
          <w:sz w:val="20"/>
        </w:rPr>
        <w:t xml:space="preserve"> shall terminate on the third (3rd)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Scope</w:t>
      </w:r>
      <w:r>
        <w:rPr>
          <w:rFonts w:ascii="Times New Roman" w:hAnsi="Times New Roman"/>
          <w:sz w:val="20"/>
        </w:rPr>
        <w:t xml:space="preserve">. If, at the time of enforcement of any of the provisions of this </w:t>
      </w:r>
      <w:r>
        <w:rPr>
          <w:rFonts w:ascii="Times New Roman" w:hAnsi="Times New Roman"/>
          <w:sz w:val="20"/>
          <w:u w:val="single"/>
        </w:rPr>
        <w:t>Article VII</w:t>
      </w:r>
      <w:r>
        <w:rPr>
          <w:rFonts w:ascii="Times New Roman" w:hAnsi="Times New Roman"/>
          <w:sz w:val="20"/>
        </w:rPr>
        <w:t xml:space="preserve">, a court of competent jurisdiction determines that the restrictions stated therein are unreasonable under the circumstances then existing, the Parties agree that the maximum period, scope, or geographical area reasonable under the circumstances shall be substituted for the stated period, scope, or geographical area. The Parties further agree that such court shall be allowed to revise the restrictions contained therein to cover the maximum period, scope, or geographical area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Remedies</w:t>
      </w:r>
      <w:r>
        <w:rPr>
          <w:rFonts w:ascii="Times New Roman" w:hAnsi="Times New Roman"/>
          <w:sz w:val="20"/>
        </w:rPr>
        <w:t xml:space="preserve">. Seller agrees that if it shall commit or threaten to commit a breach of any of the covenants and agreements contained in this </w:t>
      </w:r>
      <w:r>
        <w:rPr>
          <w:rFonts w:ascii="Times New Roman" w:hAnsi="Times New Roman"/>
          <w:sz w:val="20"/>
          <w:u w:val="single"/>
        </w:rPr>
        <w:t>Article VII</w:t>
      </w:r>
      <w:r>
        <w:rPr>
          <w:rFonts w:ascii="Times New Roman" w:hAnsi="Times New Roman"/>
          <w:sz w:val="20"/>
        </w:rPr>
        <w:t xml:space="preserve">, then Purchaser shall have the right to seek and obtain all appropriate injunctive and other equitable remedies therefor, in addition to any other rights and remedies that may be available at Law, it being acknowledged and agreed that any such breach may cause irreparable injury to Purchaser and that money damages would not provide an adequate remedy therefor.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Survival of Representations, Warranties and Covenants. The respective representations and warranties of each of the Parties shall survive the Closing for a period of eighteen (18) months, provided that the representations and warranties contained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4.17</w:t>
      </w:r>
      <w:r>
        <w:rPr>
          <w:rFonts w:ascii="Times New Roman" w:hAnsi="Times New Roman"/>
          <w:sz w:val="20"/>
        </w:rPr>
        <w:t xml:space="preserve">, </w:t>
      </w:r>
      <w:r>
        <w:rPr>
          <w:rFonts w:ascii="Times New Roman" w:hAnsi="Times New Roman"/>
          <w:sz w:val="20"/>
          <w:u w:val="single"/>
        </w:rPr>
        <w:t>5.1</w:t>
      </w:r>
      <w:r>
        <w:rPr>
          <w:rFonts w:ascii="Times New Roman" w:hAnsi="Times New Roman"/>
          <w:sz w:val="20"/>
        </w:rPr>
        <w:t xml:space="preserve">, and </w:t>
      </w:r>
      <w:r>
        <w:rPr>
          <w:rFonts w:ascii="Times New Roman" w:hAnsi="Times New Roman"/>
          <w:sz w:val="20"/>
          <w:u w:val="single"/>
        </w:rPr>
        <w:t>5.5</w:t>
      </w:r>
      <w:r>
        <w:rPr>
          <w:rFonts w:ascii="Times New Roman" w:hAnsi="Times New Roman"/>
          <w:sz w:val="20"/>
        </w:rPr>
        <w:t xml:space="preserve"> shall survive indefinitely and the representations and warranties set forth in </w:t>
      </w:r>
      <w:r>
        <w:rPr>
          <w:rFonts w:ascii="Times New Roman" w:hAnsi="Times New Roman"/>
          <w:sz w:val="20"/>
          <w:u w:val="single"/>
        </w:rPr>
        <w:t>Section 4.14</w:t>
      </w:r>
      <w:r>
        <w:rPr>
          <w:rFonts w:ascii="Times New Roman" w:hAnsi="Times New Roman"/>
          <w:sz w:val="20"/>
        </w:rPr>
        <w:t xml:space="preserve"> shall survive the Closing for a period of three (3) years (collectively, the “</w:t>
      </w:r>
      <w:r>
        <w:rPr>
          <w:rFonts w:ascii="Times New Roman" w:hAnsi="Times New Roman"/>
          <w:b/>
          <w:sz w:val="20"/>
        </w:rPr>
        <w:t>Fundamental Representations</w:t>
      </w:r>
      <w:r>
        <w:rPr>
          <w:rFonts w:ascii="Times New Roman" w:hAnsi="Times New Roman"/>
          <w:sz w:val="20"/>
        </w:rPr>
        <w:t xml:space="preserve">”). None of the covenants or other agreements contained in this Agreement shall survive the Closing Date other than those which by their terms contemplate performance after the Closing Date, and each such surviving covenant and agreement shall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Closing for the period contemplated by its terms.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such survival period and such claims shall survive until finally resolved.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Seller’s Indemnification</w:t>
      </w:r>
      <w:r>
        <w:rPr>
          <w:rFonts w:ascii="Times New Roman" w:hAnsi="Times New Roman"/>
          <w:sz w:val="20"/>
        </w:rPr>
        <w:t xml:space="preserve">. Subject to the terms and conditions of this </w:t>
      </w:r>
      <w:r>
        <w:rPr>
          <w:rFonts w:ascii="Times New Roman" w:hAnsi="Times New Roman"/>
          <w:sz w:val="20"/>
          <w:u w:val="single"/>
        </w:rPr>
        <w:t>Article VIII</w:t>
      </w:r>
      <w:r>
        <w:rPr>
          <w:rFonts w:ascii="Times New Roman" w:hAnsi="Times New Roman"/>
          <w:sz w:val="20"/>
        </w:rPr>
        <w:t>, Seller shall indemnify and hold harmless Purchaser and its Affiliates and their respective officers, directors, managers, members, stockholders, agents, successors and assigns from and against and in respect of any and all demands, claims, threatened claims, causes of action, administrative orders and notices, losses, costs, fines, Liabilities, penalties, damages (direct or indirect) and expenses (including, without limitation, reasonable legal, accounting and consultant fees and other expenses incurred in the investigation and defense of any actual or threatened claims or actions) (hereinafter collectively called “</w:t>
      </w:r>
      <w:r>
        <w:rPr>
          <w:rFonts w:ascii="Times New Roman" w:hAnsi="Times New Roman"/>
          <w:b/>
          <w:sz w:val="20"/>
        </w:rPr>
        <w:t>Losses</w:t>
      </w:r>
      <w:r>
        <w:rPr>
          <w:rFonts w:ascii="Times New Roman" w:hAnsi="Times New Roman"/>
          <w:sz w:val="20"/>
        </w:rPr>
        <w:t xml:space="preserve">”) resulting from, in connection with or arising out of: </w:t>
      </w:r>
    </w:p>
    <w:p>
      <w:pPr>
        <w:pStyle w:val="TextBody"/>
        <w:bidi w:val="0"/>
        <w:spacing w:before="120" w:after="0"/>
        <w:jc w:val="left"/>
        <w:rPr>
          <w:rFonts w:ascii="Times New Roman" w:hAnsi="Times New Roman"/>
          <w:sz w:val="20"/>
        </w:rPr>
      </w:pPr>
      <w:r>
        <w:rPr>
          <w:rFonts w:ascii="Times New Roman" w:hAnsi="Times New Roman"/>
          <w:sz w:val="20"/>
        </w:rPr>
        <w:t xml:space="preserve">(a) The inaccuracy of any representation or the breach of any warranty made by Seller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breach by Seller of any of the covenants or agreements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Any Pre-Closing Taxes; or </w:t>
      </w:r>
    </w:p>
    <w:p>
      <w:pPr>
        <w:pStyle w:val="TextBody"/>
        <w:bidi w:val="0"/>
        <w:spacing w:before="120" w:after="0"/>
        <w:jc w:val="left"/>
        <w:rPr>
          <w:rFonts w:ascii="Times New Roman" w:hAnsi="Times New Roman"/>
          <w:sz w:val="20"/>
        </w:rPr>
      </w:pPr>
      <w:r>
        <w:rPr>
          <w:rFonts w:ascii="Times New Roman" w:hAnsi="Times New Roman"/>
          <w:sz w:val="20"/>
        </w:rPr>
        <w:t xml:space="preserve">(d) any Indebtedness of the Company outstanding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Purchaser’s Indemnification</w:t>
      </w:r>
      <w:r>
        <w:rPr>
          <w:rFonts w:ascii="Times New Roman" w:hAnsi="Times New Roman"/>
          <w:sz w:val="20"/>
        </w:rPr>
        <w:t xml:space="preserve">. Purchaser shall indemnify and hold harmless Seller and its Affiliates and their respective officers, directors, stockholders, agents, successors and assigns, from and against and in respect of any and all Losses resulting from, in connection with or arising out of: </w:t>
      </w:r>
    </w:p>
    <w:p>
      <w:pPr>
        <w:pStyle w:val="TextBody"/>
        <w:bidi w:val="0"/>
        <w:spacing w:before="120" w:after="0"/>
        <w:jc w:val="left"/>
        <w:rPr>
          <w:rFonts w:ascii="Times New Roman" w:hAnsi="Times New Roman"/>
          <w:sz w:val="20"/>
        </w:rPr>
      </w:pPr>
      <w:r>
        <w:rPr>
          <w:rFonts w:ascii="Times New Roman" w:hAnsi="Times New Roman"/>
          <w:sz w:val="20"/>
        </w:rPr>
        <w:t xml:space="preserve">(a) The inaccuracy of any representation or the breach of any warranty made by Purchaser in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(b) The breach by Purchaser of any of the covenants or agreements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Cooperation</w:t>
      </w:r>
      <w:r>
        <w:rPr>
          <w:rFonts w:ascii="Times New Roman" w:hAnsi="Times New Roman"/>
          <w:sz w:val="20"/>
        </w:rPr>
        <w:t>. A Party or Parties against whom an indemnification claim (“</w:t>
      </w:r>
      <w:r>
        <w:rPr>
          <w:rFonts w:ascii="Times New Roman" w:hAnsi="Times New Roman"/>
          <w:b/>
          <w:sz w:val="20"/>
        </w:rPr>
        <w:t>Claim</w:t>
      </w:r>
      <w:r>
        <w:rPr>
          <w:rFonts w:ascii="Times New Roman" w:hAnsi="Times New Roman"/>
          <w:sz w:val="20"/>
        </w:rPr>
        <w:t xml:space="preserve">”) has been asserted pursuant to this </w:t>
      </w:r>
      <w:r>
        <w:rPr>
          <w:rFonts w:ascii="Times New Roman" w:hAnsi="Times New Roman"/>
          <w:sz w:val="20"/>
          <w:u w:val="single"/>
        </w:rPr>
        <w:t>Article VIII</w:t>
      </w:r>
      <w:r>
        <w:rPr>
          <w:rFonts w:ascii="Times New Roman" w:hAnsi="Times New Roman"/>
          <w:sz w:val="20"/>
        </w:rPr>
        <w:t xml:space="preserve"> (individually and collectively “</w:t>
      </w:r>
      <w:r>
        <w:rPr>
          <w:rFonts w:ascii="Times New Roman" w:hAnsi="Times New Roman"/>
          <w:b/>
          <w:sz w:val="20"/>
        </w:rPr>
        <w:t>Indemnifying Party</w:t>
      </w:r>
      <w:r>
        <w:rPr>
          <w:rFonts w:ascii="Times New Roman" w:hAnsi="Times New Roman"/>
          <w:sz w:val="20"/>
        </w:rPr>
        <w:t>”) shall have the right, at their own expense, assisted by counsel of their own choosing, to participate in the defense of any action or proceeding brought by a third party (including any Governmental Authority) which resulted in said Claim (a “</w:t>
      </w:r>
      <w:r>
        <w:rPr>
          <w:rFonts w:ascii="Times New Roman" w:hAnsi="Times New Roman"/>
          <w:b/>
          <w:sz w:val="20"/>
        </w:rPr>
        <w:t>Third Party Claim</w:t>
      </w:r>
      <w:r>
        <w:rPr>
          <w:rFonts w:ascii="Times New Roman" w:hAnsi="Times New Roman"/>
          <w:sz w:val="20"/>
        </w:rPr>
        <w:t>”), and if such right is exercised, the Party or Parties entitled to indemnification (individually and collectively “</w:t>
      </w:r>
      <w:r>
        <w:rPr>
          <w:rFonts w:ascii="Times New Roman" w:hAnsi="Times New Roman"/>
          <w:b/>
          <w:sz w:val="20"/>
        </w:rPr>
        <w:t>Indemnified Party</w:t>
      </w:r>
      <w:r>
        <w:rPr>
          <w:rFonts w:ascii="Times New Roman" w:hAnsi="Times New Roman"/>
          <w:sz w:val="20"/>
        </w:rPr>
        <w:t xml:space="preserve">”) and the Indemnifying Party shall reasonably cooperate in the defense of such action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Nature of Other Liabilities</w:t>
      </w:r>
      <w:r>
        <w:rPr>
          <w:rFonts w:ascii="Times New Roman" w:hAnsi="Times New Roman"/>
          <w:sz w:val="20"/>
        </w:rPr>
        <w:t>. In the event any Indemnified Party should have a Claim against any Indemnifying Party hereunder that does not involve a Third Party Claim, the Indemnified Party shall transmit to the Indemnifying Party a written notice (the “</w:t>
      </w:r>
      <w:r>
        <w:rPr>
          <w:rFonts w:ascii="Times New Roman" w:hAnsi="Times New Roman"/>
          <w:b/>
          <w:sz w:val="20"/>
        </w:rPr>
        <w:t>Indemnity Notice</w:t>
      </w:r>
      <w:r>
        <w:rPr>
          <w:rFonts w:ascii="Times New Roman" w:hAnsi="Times New Roman"/>
          <w:sz w:val="20"/>
        </w:rPr>
        <w:t xml:space="preserve">”) describing in reasonable detail the nature of the Claim, and the basis of the Indemnified Party’s request for indemnification under this Agreement. If the Indemnifying Party does not notify the Indemnified Party within thirty (30) days from its receipt of the Indemnity Notice that the Indemnifying Party disputes such Claim, the Claim specified by the Indemnified Party in the Indemnity Notice shall be deemed a Liability of the Indemnifying Party hereunder, with respect to which the Indemnified Party is entitled to prompt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Certain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set forth in this Agreement, except to the extent caused by a Party’s Fraud or intentional misconduct, the maximum aggregate liability of either Party with respect to breaches of representations or warranties made hereunder (other than the Fundamental Representations) shall not exceed $5,000,000, and neither Party shall be obligated to indemnify the other Party or its Affiliates with respect to Losses arising from breaches of such representations or warranties until such Losses, in the aggregate, exceed $375,000 (the “</w:t>
      </w:r>
      <w:r>
        <w:rPr>
          <w:rFonts w:ascii="Times New Roman" w:hAnsi="Times New Roman"/>
          <w:b/>
          <w:sz w:val="20"/>
        </w:rPr>
        <w:t>Deductible</w:t>
      </w:r>
      <w:r>
        <w:rPr>
          <w:rFonts w:ascii="Times New Roman" w:hAnsi="Times New Roman"/>
          <w:sz w:val="20"/>
        </w:rPr>
        <w:t xml:space="preserve">”), in which event the Indemnifying Party shall only be required to pay or be liable for Losses in excess of the Deductible.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set forth in this Agreement, the maximum aggregate liability of either Party shall not exceed an amount equal to the Purchase Price paid at the Closing. </w:t>
      </w:r>
    </w:p>
    <w:p>
      <w:pPr>
        <w:pStyle w:val="TextBody"/>
        <w:bidi w:val="0"/>
        <w:spacing w:before="120" w:after="0"/>
        <w:jc w:val="left"/>
        <w:rPr>
          <w:rFonts w:ascii="Times New Roman" w:hAnsi="Times New Roman"/>
          <w:sz w:val="20"/>
        </w:rPr>
      </w:pPr>
      <w:r>
        <w:rPr>
          <w:rFonts w:ascii="Times New Roman" w:hAnsi="Times New Roman"/>
          <w:sz w:val="20"/>
        </w:rPr>
        <w:t xml:space="preserve">(c) Payments by an Indemnifying Party in respect of any Loss shall be limited to the amount of any liability or damage that remains after deducting therefrom any insurance proceeds and any indemnity, contribution or other similar payment received or reasonably expected to be received by the Indemnified Party (or the Company) in respect of any such claim. The Indemnified Party shall use its commercially reasonable efforts to recover under insurance policies or indemnity, contribution or other similar agreements for any Losses prior to seeking indemnification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Payments by an Indemnifying Party in respect of any Loss shall be reduced by an amount equal to any Tax benefit realized as a result of such Loss by the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(e) 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 </w:t>
      </w:r>
    </w:p>
    <w:p>
      <w:pPr>
        <w:pStyle w:val="TextBody"/>
        <w:bidi w:val="0"/>
        <w:spacing w:before="120" w:after="0"/>
        <w:jc w:val="left"/>
        <w:rPr>
          <w:rFonts w:ascii="Times New Roman" w:hAnsi="Times New Roman"/>
          <w:sz w:val="20"/>
        </w:rPr>
      </w:pPr>
      <w:r>
        <w:rPr>
          <w:rFonts w:ascii="Times New Roman" w:hAnsi="Times New Roman"/>
          <w:sz w:val="20"/>
        </w:rPr>
        <w:t xml:space="preserve">(f) 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 </w:t>
      </w:r>
    </w:p>
    <w:p>
      <w:pPr>
        <w:pStyle w:val="TextBody"/>
        <w:bidi w:val="0"/>
        <w:spacing w:before="120" w:after="0"/>
        <w:jc w:val="left"/>
        <w:rPr>
          <w:rFonts w:ascii="Times New Roman" w:hAnsi="Times New Roman"/>
          <w:sz w:val="20"/>
        </w:rPr>
      </w:pPr>
      <w:r>
        <w:rPr>
          <w:rFonts w:ascii="Times New Roman" w:hAnsi="Times New Roman"/>
          <w:sz w:val="20"/>
        </w:rPr>
        <w:t xml:space="preserve">(g) No Losses may be claimed hereunder to the extent that such Losses either (i) were included in the calculation of the Purchase Price (pursuant to </w:t>
      </w:r>
      <w:r>
        <w:rPr>
          <w:rFonts w:ascii="Times New Roman" w:hAnsi="Times New Roman"/>
          <w:sz w:val="20"/>
          <w:u w:val="single"/>
        </w:rPr>
        <w:t>Section 2.2</w:t>
      </w:r>
      <w:r>
        <w:rPr>
          <w:rFonts w:ascii="Times New Roman" w:hAnsi="Times New Roman"/>
          <w:sz w:val="20"/>
        </w:rPr>
        <w:t xml:space="preserve">) or, (ii) had they been factored into calculating the Purchase Price (pursuant to </w:t>
      </w:r>
      <w:r>
        <w:rPr>
          <w:rFonts w:ascii="Times New Roman" w:hAnsi="Times New Roman"/>
          <w:sz w:val="20"/>
          <w:u w:val="single"/>
        </w:rPr>
        <w:t>Section 2.2</w:t>
      </w:r>
      <w:r>
        <w:rPr>
          <w:rFonts w:ascii="Times New Roman" w:hAnsi="Times New Roman"/>
          <w:sz w:val="20"/>
        </w:rPr>
        <w:t xml:space="preserve">), would not have resulted in a reduction in the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Effect of Investigation</w:t>
      </w:r>
      <w:r>
        <w:rPr>
          <w:rFonts w:ascii="Times New Roman" w:hAnsi="Times New Roman"/>
          <w:sz w:val="20"/>
        </w:rPr>
        <w:t xml:space="preserve">.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Exclusive Remedies</w:t>
      </w:r>
      <w:r>
        <w:rPr>
          <w:rFonts w:ascii="Times New Roman" w:hAnsi="Times New Roman"/>
          <w:sz w:val="20"/>
        </w:rPr>
        <w:t xml:space="preserve">. The Parties acknowledge and agree that from and after Closing their sole and exclusive remedy with respect to any and all claims (other than claims of Fraud against a Party hereto committing Fraud) for any breach of any representation, warranty, covenant, agreement or obligation set forth herein or otherwise relating to the subject matter of this Agreement, shall be pursuant to the indemnification provisions set forth in this </w:t>
      </w:r>
      <w:r>
        <w:rPr>
          <w:rFonts w:ascii="Times New Roman" w:hAnsi="Times New Roman"/>
          <w:sz w:val="20"/>
          <w:u w:val="single"/>
        </w:rPr>
        <w:t>Article VIII</w:t>
      </w:r>
      <w:r>
        <w:rPr>
          <w:rFonts w:ascii="Times New Roman" w:hAnsi="Times New Roman"/>
          <w:sz w:val="20"/>
        </w:rPr>
        <w:t xml:space="preserve">. In furtherance of the foregoing,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 w:hAnsi="Times New Roman"/>
          <w:sz w:val="20"/>
          <w:u w:val="single"/>
        </w:rPr>
        <w:t>Article VIII</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Successors and Assigns and No Third-Party Beneficiaries</w:t>
      </w:r>
      <w:r>
        <w:rPr>
          <w:rFonts w:ascii="Times New Roman" w:hAnsi="Times New Roman"/>
          <w:sz w:val="20"/>
        </w:rPr>
        <w:t xml:space="preserve">. This Agreement shall inure to the benefit of, and be binding upon, the Parties hereto and their respective successors, representatives and assigns. Neither Party shall assign its rights hereunder without the other Party’s prior written consent; provided that such consent shall not be required in the cases of assignments made (i) by operation of law or (ii) to a Party’s Affiliate. Nothing in this Agreement shall confer upon any Person not a party to this Agreement, or the legal representatives of such Person, any rights (including, without limitation, rights as a third-party beneficiary) or remedies of any nature or kind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Expenses</w:t>
      </w:r>
      <w:r>
        <w:rPr>
          <w:rFonts w:ascii="Times New Roman" w:hAnsi="Times New Roman"/>
          <w:sz w:val="20"/>
        </w:rPr>
        <w:t xml:space="preserve">. Except as otherwise provided herein, all costs and expenses incurred by a Party in connection with this Agreement and with the consummation of the Transactions shall be paid by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given to such Party at its address set forth below, with delivery being effective upon actual receipt or on the second Business Day after deposit if sent by a recognized overnight delivery service or by registered or certified mail (postage prepaid, return receipt requested), in each case to the address specified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If to Purchaser, to: </w:t>
      </w:r>
    </w:p>
    <w:p>
      <w:pPr>
        <w:pStyle w:val="TextBody"/>
        <w:bidi w:val="0"/>
        <w:spacing w:before="120" w:after="0"/>
        <w:jc w:val="left"/>
        <w:rPr>
          <w:rFonts w:ascii="Times New Roman" w:hAnsi="Times New Roman"/>
          <w:sz w:val="20"/>
        </w:rPr>
      </w:pPr>
      <w:r>
        <w:rPr>
          <w:rFonts w:ascii="Times New Roman" w:hAnsi="Times New Roman"/>
          <w:sz w:val="20"/>
        </w:rPr>
        <w:t xml:space="preserve">Agrify Corporation </w:t>
      </w:r>
    </w:p>
    <w:p>
      <w:pPr>
        <w:pStyle w:val="TextBody"/>
        <w:bidi w:val="0"/>
        <w:spacing w:before="120" w:after="0"/>
        <w:jc w:val="left"/>
        <w:rPr>
          <w:rFonts w:ascii="Times New Roman" w:hAnsi="Times New Roman"/>
          <w:sz w:val="20"/>
        </w:rPr>
      </w:pPr>
      <w:r>
        <w:rPr>
          <w:rFonts w:ascii="Times New Roman" w:hAnsi="Times New Roman"/>
          <w:sz w:val="20"/>
        </w:rPr>
        <w:t xml:space="preserve">2220 Hicks Road, Suite 210 </w:t>
      </w:r>
    </w:p>
    <w:p>
      <w:pPr>
        <w:pStyle w:val="TextBody"/>
        <w:bidi w:val="0"/>
        <w:spacing w:before="0" w:after="0"/>
        <w:jc w:val="left"/>
        <w:rPr>
          <w:rFonts w:ascii="Times New Roman" w:hAnsi="Times New Roman"/>
          <w:sz w:val="20"/>
        </w:rPr>
      </w:pPr>
      <w:r>
        <w:rPr>
          <w:rFonts w:ascii="Times New Roman" w:hAnsi="Times New Roman"/>
          <w:sz w:val="20"/>
        </w:rPr>
        <w:t xml:space="preserve">Rolling Meadows, IL 60008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Blank Rome LLP </w:t>
      </w:r>
    </w:p>
    <w:p>
      <w:pPr>
        <w:pStyle w:val="TextBody"/>
        <w:bidi w:val="0"/>
        <w:spacing w:before="0" w:after="0"/>
        <w:jc w:val="left"/>
        <w:rPr>
          <w:rFonts w:ascii="Times New Roman" w:hAnsi="Times New Roman"/>
          <w:sz w:val="20"/>
        </w:rPr>
      </w:pPr>
      <w:r>
        <w:rPr>
          <w:rFonts w:ascii="Times New Roman" w:hAnsi="Times New Roman"/>
          <w:sz w:val="20"/>
        </w:rPr>
        <w:t xml:space="preserve">125 High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02110 </w:t>
      </w:r>
    </w:p>
    <w:p>
      <w:pPr>
        <w:pStyle w:val="TextBody"/>
        <w:bidi w:val="0"/>
        <w:spacing w:before="0" w:after="0"/>
        <w:jc w:val="left"/>
        <w:rPr>
          <w:rFonts w:ascii="Times New Roman" w:hAnsi="Times New Roman"/>
          <w:sz w:val="20"/>
        </w:rPr>
      </w:pPr>
      <w:r>
        <w:rPr>
          <w:rFonts w:ascii="Times New Roman" w:hAnsi="Times New Roman"/>
          <w:sz w:val="20"/>
        </w:rPr>
        <w:t xml:space="preserve">Attention: Frank A. Segall </w:t>
      </w:r>
    </w:p>
    <w:p>
      <w:pPr>
        <w:pStyle w:val="TextBody"/>
        <w:bidi w:val="0"/>
        <w:spacing w:before="0" w:after="0"/>
        <w:jc w:val="left"/>
        <w:rPr>
          <w:rFonts w:ascii="Times New Roman" w:hAnsi="Times New Roman"/>
          <w:sz w:val="20"/>
        </w:rPr>
      </w:pPr>
      <w:r>
        <w:rPr>
          <w:rFonts w:ascii="Times New Roman" w:hAnsi="Times New Roman"/>
          <w:sz w:val="20"/>
        </w:rPr>
        <w:t xml:space="preserve">Email: frank.segall@blankrome.com </w:t>
      </w:r>
    </w:p>
    <w:p>
      <w:pPr>
        <w:pStyle w:val="TextBody"/>
        <w:bidi w:val="0"/>
        <w:spacing w:before="120" w:after="0"/>
        <w:jc w:val="left"/>
        <w:rPr>
          <w:rFonts w:ascii="Times New Roman" w:hAnsi="Times New Roman"/>
          <w:sz w:val="20"/>
        </w:rPr>
      </w:pPr>
      <w:r>
        <w:rPr>
          <w:rFonts w:ascii="Times New Roman" w:hAnsi="Times New Roman"/>
          <w:sz w:val="20"/>
        </w:rPr>
        <w:t xml:space="preserve">(b) If to Seller, to: </w:t>
      </w:r>
    </w:p>
    <w:p>
      <w:pPr>
        <w:pStyle w:val="TextBody"/>
        <w:bidi w:val="0"/>
        <w:spacing w:before="120" w:after="0"/>
        <w:jc w:val="left"/>
        <w:rPr>
          <w:rFonts w:ascii="Times New Roman" w:hAnsi="Times New Roman"/>
          <w:sz w:val="20"/>
        </w:rPr>
      </w:pPr>
      <w:r>
        <w:rPr>
          <w:rFonts w:ascii="Times New Roman" w:hAnsi="Times New Roman"/>
          <w:sz w:val="20"/>
        </w:rPr>
        <w:t xml:space="preserve">VCP23, LLC </w:t>
      </w:r>
    </w:p>
    <w:p>
      <w:pPr>
        <w:pStyle w:val="TextBody"/>
        <w:bidi w:val="0"/>
        <w:spacing w:before="0" w:after="0"/>
        <w:jc w:val="left"/>
        <w:rPr>
          <w:rFonts w:ascii="Times New Roman" w:hAnsi="Times New Roman"/>
          <w:sz w:val="20"/>
        </w:rPr>
      </w:pPr>
      <w:r>
        <w:rPr>
          <w:rFonts w:ascii="Times New Roman" w:hAnsi="Times New Roman"/>
          <w:sz w:val="20"/>
        </w:rPr>
        <w:t xml:space="preserve">c/o Green Thumb Industries Inc. </w:t>
      </w:r>
    </w:p>
    <w:p>
      <w:pPr>
        <w:pStyle w:val="TextBody"/>
        <w:bidi w:val="0"/>
        <w:spacing w:before="0" w:after="0"/>
        <w:jc w:val="left"/>
        <w:rPr>
          <w:rFonts w:ascii="Times New Roman" w:hAnsi="Times New Roman"/>
          <w:sz w:val="20"/>
        </w:rPr>
      </w:pPr>
      <w:r>
        <w:rPr>
          <w:rFonts w:ascii="Times New Roman" w:hAnsi="Times New Roman"/>
          <w:sz w:val="20"/>
        </w:rPr>
        <w:t xml:space="preserve">325 W. Huron Street, Suite 700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Dentons US LLP </w:t>
      </w:r>
    </w:p>
    <w:p>
      <w:pPr>
        <w:pStyle w:val="TextBody"/>
        <w:bidi w:val="0"/>
        <w:spacing w:before="0" w:after="0"/>
        <w:jc w:val="left"/>
        <w:rPr>
          <w:rFonts w:ascii="Times New Roman" w:hAnsi="Times New Roman"/>
          <w:sz w:val="20"/>
        </w:rPr>
      </w:pPr>
      <w:r>
        <w:rPr>
          <w:rFonts w:ascii="Times New Roman" w:hAnsi="Times New Roman"/>
          <w:sz w:val="20"/>
        </w:rPr>
        <w:t xml:space="preserve">233 S. Wacker Dr., #5900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Ross Docksey and Jacob Styburski </w:t>
      </w:r>
    </w:p>
    <w:p>
      <w:pPr>
        <w:pStyle w:val="TextBody"/>
        <w:bidi w:val="0"/>
        <w:spacing w:before="0" w:after="0"/>
        <w:jc w:val="left"/>
        <w:rPr>
          <w:rFonts w:ascii="Times New Roman" w:hAnsi="Times New Roman"/>
          <w:sz w:val="20"/>
        </w:rPr>
      </w:pPr>
      <w:r>
        <w:rPr>
          <w:rFonts w:ascii="Times New Roman" w:hAnsi="Times New Roman"/>
          <w:sz w:val="20"/>
        </w:rPr>
        <w:t xml:space="preserve">Email: ross.docksey@dentons.com and </w:t>
      </w:r>
    </w:p>
    <w:p>
      <w:pPr>
        <w:pStyle w:val="TextBody"/>
        <w:bidi w:val="0"/>
        <w:spacing w:before="0" w:after="0"/>
        <w:jc w:val="left"/>
        <w:rPr>
          <w:rFonts w:ascii="Times New Roman" w:hAnsi="Times New Roman"/>
          <w:sz w:val="20"/>
        </w:rPr>
      </w:pPr>
      <w:r>
        <w:rPr>
          <w:rFonts w:ascii="Times New Roman" w:hAnsi="Times New Roman"/>
          <w:sz w:val="20"/>
        </w:rPr>
        <w:t xml:space="preserve">jacob.styburski@dentons.com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persons as the Parties may from time to time designate in writing in the manner provided in this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Entire Agreement</w:t>
      </w:r>
      <w:r>
        <w:rPr>
          <w:rFonts w:ascii="Times New Roman" w:hAnsi="Times New Roman"/>
          <w:sz w:val="20"/>
        </w:rPr>
        <w:t xml:space="preserve">. This Agreement, together with the Ancillary Documents and the Exhibits and the Schedules attached hereto, represents the entire agreement and understanding of the Parties hereto with respect to the transactions contemplated hereby. This Agreement supersedes all prior negotiations, discussions, correspondence, communications, understandings and agreements among the Parties related to the subject matter of this Agreement, whether written or oral, and all prior drafts thereof, all of which are merged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Amendments; Waiver</w:t>
      </w:r>
      <w:r>
        <w:rPr>
          <w:rFonts w:ascii="Times New Roman" w:hAnsi="Times New Roman"/>
          <w:sz w:val="20"/>
        </w:rPr>
        <w:t xml:space="preserve">. This Agreement may be amended only by a written instrument signed by Purchaser and Seller. No waiver by any Party of any of the provisions hereof shall be effective unless explicitly set forth in writing and signed by the Party so waiving. No waiver by a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Time of the Essence</w:t>
      </w:r>
      <w:r>
        <w:rPr>
          <w:rFonts w:ascii="Times New Roman" w:hAnsi="Times New Roman"/>
          <w:sz w:val="20"/>
        </w:rPr>
        <w:t xml:space="preserve">. With regard to all dates and time periods set forth or referred to in this Agreement, time is of the essence.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Severability</w:t>
      </w:r>
      <w:r>
        <w:rPr>
          <w:rFonts w:ascii="Times New Roman" w:hAnsi="Times New Roman"/>
          <w:sz w:val="20"/>
        </w:rPr>
        <w:t xml:space="preserve">.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so long as the economic or legal substance of the transactions contemplated hereby are not affected in any manner adverse to either Party. Upon such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Rules of 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term “including” and the abbreviation “e.g.” mean “including, without limitation” unless the context clearly states otherwise. </w:t>
      </w:r>
    </w:p>
    <w:p>
      <w:pPr>
        <w:pStyle w:val="TextBody"/>
        <w:bidi w:val="0"/>
        <w:spacing w:before="120" w:after="0"/>
        <w:jc w:val="left"/>
        <w:rPr>
          <w:rFonts w:ascii="Times New Roman" w:hAnsi="Times New Roman"/>
          <w:sz w:val="20"/>
        </w:rPr>
      </w:pPr>
      <w:r>
        <w:rPr>
          <w:rFonts w:ascii="Times New Roman" w:hAnsi="Times New Roman"/>
          <w:sz w:val="20"/>
        </w:rPr>
        <w:t xml:space="preserve">(b) The recitals to this Agreement shall be deemed to be a 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All reference herein to this “Agreement” shall include the Exhibits and Schedules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(d) The word “shall” when used in this Agreement is a word of mandate, construed as “must.” </w:t>
      </w:r>
    </w:p>
    <w:p>
      <w:pPr>
        <w:pStyle w:val="TextBody"/>
        <w:bidi w:val="0"/>
        <w:spacing w:before="120" w:after="0"/>
        <w:jc w:val="left"/>
        <w:rPr>
          <w:rFonts w:ascii="Times New Roman" w:hAnsi="Times New Roman"/>
          <w:sz w:val="20"/>
        </w:rPr>
      </w:pPr>
      <w:r>
        <w:rPr>
          <w:rFonts w:ascii="Times New Roman" w:hAnsi="Times New Roman"/>
          <w:sz w:val="20"/>
        </w:rPr>
        <w:t xml:space="preserve">(e) This Agreement shall be construed without regard to any presumption or rule requiring construction or interpretation against the Party drafting an instrument or causing any instrument to be drafted. </w:t>
      </w:r>
    </w:p>
    <w:p>
      <w:pPr>
        <w:pStyle w:val="TextBody"/>
        <w:bidi w:val="0"/>
        <w:spacing w:before="120" w:after="0"/>
        <w:jc w:val="left"/>
        <w:rPr>
          <w:rFonts w:ascii="Times New Roman" w:hAnsi="Times New Roman"/>
          <w:sz w:val="20"/>
        </w:rPr>
      </w:pPr>
      <w:r>
        <w:rPr>
          <w:rFonts w:ascii="Times New Roman" w:hAnsi="Times New Roman"/>
          <w:sz w:val="20"/>
        </w:rPr>
        <w:t xml:space="preserve">(f) The headings in this Agreement are for reference only and shall not effect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All section headings in the Schedules correspond to the sections of this Agreement, but information provided in any section of the Schedules shall constitute disclosure for purposes of each section of this Agreement where such information is relevant. Unless the context otherwise requires, all capitalized terms used in the Schedules shall have the respective meanings assigned to such terms in this Agreement.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set forth in the Schedules is included solely for informational purposes, and may not be required to be disclosed pursuant to this Agreement. No disclosure in the Schedules relating to any possible breach or violation of any agreement or Law shall be construed as an admission or indication that any such breach or violation exists or has actually occurred. The inclusion of any information in the Schedules shall not be deemed to be an admission or acknowledgment by Seller that in and of itself, such information is material to or outside the ordinary course of the business. No disclosure in the Schedules shall be deemed to create any rights in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Counterparts</w:t>
      </w:r>
      <w:r>
        <w:rPr>
          <w:rFonts w:ascii="Times New Roman" w:hAnsi="Times New Roman"/>
          <w:sz w:val="20"/>
        </w:rPr>
        <w:t xml:space="preserve">. This Agreement may be executed in counterparts, each of which shall be deemed an original and all of which together shall be considered one and the same agreement. The signature of any party that is delivered by telecopy or other means of electronic execution and/or delivery (including DocuSign) shall be effective and deemed an original.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Governing Law; Dispute Resolution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INTERNAL LAWS OF THE STATE OF DELAWARE, WITHOUT REGARD TO PRINCIPLES OF CONFLICT OF LAWS. </w:t>
      </w:r>
    </w:p>
    <w:p>
      <w:pPr>
        <w:pStyle w:val="TextBody"/>
        <w:bidi w:val="0"/>
        <w:spacing w:before="120" w:after="0"/>
        <w:jc w:val="left"/>
        <w:rPr>
          <w:rFonts w:ascii="Times New Roman" w:hAnsi="Times New Roman"/>
          <w:sz w:val="20"/>
        </w:rPr>
      </w:pPr>
      <w:r>
        <w:rPr>
          <w:rFonts w:ascii="Times New Roman" w:hAnsi="Times New Roman"/>
          <w:sz w:val="20"/>
        </w:rPr>
        <w:t xml:space="preserve">(b) Informal Dispute Resolution. In the event of any dispute, claim or controversy arising out of or relating to this Agreement, the Parties shall first attempt in good faith to resolve their dispute through in-person or video conference negotiation between authorized representatives of each of the Parties with authority to settle the relevant dispute for a period of not less than ten (10) days from the delivery of written notice under this </w:t>
      </w:r>
      <w:r>
        <w:rPr>
          <w:rFonts w:ascii="Times New Roman" w:hAnsi="Times New Roman"/>
          <w:sz w:val="20"/>
          <w:u w:val="single"/>
        </w:rPr>
        <w:t>Section 9.10(b)</w:t>
      </w:r>
      <w:r>
        <w:rPr>
          <w:rFonts w:ascii="Times New Roman" w:hAnsi="Times New Roman"/>
          <w:sz w:val="20"/>
        </w:rPr>
        <w:t xml:space="preserve">. Either Party may commence this negotiation by delivering written notice to the other Party pursuant to the terms outlined in this Agreement. The Parties may agree to engage the services of a jointly agreed-upon mediator to facilitate this in-person meeting, in which case they agree to share equally in the costs of the mediation.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Arbitration</w:t>
      </w:r>
      <w:r>
        <w:rPr>
          <w:rFonts w:ascii="Times New Roman" w:hAnsi="Times New Roman"/>
          <w:sz w:val="20"/>
        </w:rPr>
        <w:t xml:space="preserve">. Any unresolved controversy or claim arising out of or relating to this Agreement, except as (i) otherwise expressly provided in this Agreement, or (ii) any such controversies or claims arising out of a Party’s breach of its restrictive covenants hereunder for which a provisional remedy or equitable relief is sought, shall be submitted to arbitration with a single arbitrator mutually agreed upon by the Parties, and if no agreement can be reached within thirty (30) days after names of potential arbitrators have been proposed, then by one arbitrator having reasonable experience in corporate transactions of the type provided for in this Agreement and who is chosen by JAMS. The arbitration shall take place in Chicago, Illinois in accordance with the JAMS International Arbitration Rules then in effect, and judgment upon any award rendered in such arbitration will be final and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 (c) such other depositions as may be allowed by the arbitrators upon a showing of good cause. Depositions shall be conducted in accordance with Illinois laws, the arbitrator shall be required to provide in writing to the Parties the basis for the award or order of such arbitrator, and a court reporter shall record all hearings, with such record constituting the official transcript of such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JURY TRIAL WAIVER</w:t>
      </w:r>
      <w:r>
        <w:rPr>
          <w:rFonts w:ascii="Times New Roman" w:hAnsi="Times New Roman"/>
          <w:sz w:val="20"/>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hAnsi="Times New Roman"/>
          <w:sz w:val="20"/>
          <w:u w:val="single"/>
        </w:rPr>
        <w:t>SECTION 9.10(D)</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signed as of the date first written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5"/>
        <w:gridCol w:w="108"/>
        <w:gridCol w:w="389"/>
        <w:gridCol w:w="108"/>
        <w:gridCol w:w="604"/>
        <w:gridCol w:w="108"/>
        <w:gridCol w:w="4463"/>
      </w:tblGrid>
      <w:tr>
        <w:trPr/>
        <w:tc>
          <w:tcPr>
            <w:tcW w:w="442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63" w:type="dxa"/>
            <w:tcBorders/>
            <w:vAlign w:val="center"/>
          </w:tcPr>
          <w:p>
            <w:pPr>
              <w:pStyle w:val="TableContents"/>
              <w:bidi w:val="0"/>
              <w:spacing w:before="0" w:after="283"/>
              <w:jc w:val="left"/>
              <w:rPr>
                <w:sz w:val="4"/>
                <w:szCs w:val="4"/>
              </w:rPr>
            </w:pPr>
            <w:r>
              <w:rPr>
                <w:sz w:val="4"/>
                <w:szCs w:val="4"/>
              </w:rPr>
            </w:r>
          </w:p>
        </w:tc>
      </w:tr>
      <w:tr>
        <w:trPr/>
        <w:tc>
          <w:tcPr>
            <w:tcW w:w="4425" w:type="dxa"/>
            <w:tcBorders/>
          </w:tcPr>
          <w:p>
            <w:pPr>
              <w:pStyle w:val="TableContents"/>
              <w:bidi w:val="0"/>
              <w:spacing w:before="0" w:after="283"/>
              <w:jc w:val="left"/>
              <w:rPr/>
            </w:pPr>
            <w:r>
              <w:rPr/>
              <w:t>SELLER:</w:t>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75" w:type="dxa"/>
            <w:gridSpan w:val="3"/>
            <w:tcBorders/>
          </w:tcPr>
          <w:p>
            <w:pPr>
              <w:pStyle w:val="TableContents"/>
              <w:bidi w:val="0"/>
              <w:spacing w:before="0" w:after="283"/>
              <w:jc w:val="left"/>
              <w:rPr/>
            </w:pPr>
            <w:r>
              <w:rPr/>
              <w:t>VCP23, LLC</w:t>
            </w:r>
          </w:p>
        </w:tc>
      </w:tr>
      <w:tr>
        <w:trPr>
          <w:trHeight w:val="240" w:hRule="atLeast"/>
        </w:trPr>
        <w:tc>
          <w:tcPr>
            <w:tcW w:w="4425"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c>
          <w:tcPr>
            <w:tcW w:w="4571" w:type="dxa"/>
            <w:gridSpan w:val="2"/>
            <w:tcBorders/>
            <w:vAlign w:val="center"/>
          </w:tcPr>
          <w:p>
            <w:pPr>
              <w:pStyle w:val="TableContents"/>
              <w:bidi w:val="0"/>
              <w:spacing w:before="0" w:after="283"/>
              <w:jc w:val="left"/>
              <w:rPr>
                <w:sz w:val="4"/>
                <w:szCs w:val="4"/>
              </w:rPr>
            </w:pPr>
            <w:r>
              <w:rPr>
                <w:sz w:val="4"/>
                <w:szCs w:val="4"/>
              </w:rPr>
            </w:r>
          </w:p>
        </w:tc>
      </w:tr>
      <w:tr>
        <w:trPr/>
        <w:tc>
          <w:tcPr>
            <w:tcW w:w="442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63" w:type="dxa"/>
            <w:tcBorders>
              <w:bottom w:val="single" w:sz="2" w:space="0" w:color="000000"/>
            </w:tcBorders>
            <w:tcMar>
              <w:bottom w:w="28" w:type="dxa"/>
            </w:tcMar>
          </w:tcPr>
          <w:p>
            <w:pPr>
              <w:pStyle w:val="TableContents"/>
              <w:bidi w:val="0"/>
              <w:spacing w:before="0" w:after="283"/>
              <w:jc w:val="left"/>
              <w:rPr/>
            </w:pPr>
            <w:r>
              <w:rPr/>
              <w:t>/s/ Anthony Georgiadis</w:t>
            </w:r>
          </w:p>
        </w:tc>
      </w:tr>
      <w:tr>
        <w:trPr/>
        <w:tc>
          <w:tcPr>
            <w:tcW w:w="442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63" w:type="dxa"/>
            <w:tcBorders/>
          </w:tcPr>
          <w:p>
            <w:pPr>
              <w:pStyle w:val="TableContents"/>
              <w:bidi w:val="0"/>
              <w:spacing w:before="0" w:after="283"/>
              <w:jc w:val="left"/>
              <w:rPr/>
            </w:pPr>
            <w:r>
              <w:rPr/>
              <w:t>Anthony Georgiadis</w:t>
            </w:r>
          </w:p>
        </w:tc>
      </w:tr>
      <w:tr>
        <w:trPr/>
        <w:tc>
          <w:tcPr>
            <w:tcW w:w="442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63"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4"/>
        <w:gridCol w:w="109"/>
        <w:gridCol w:w="375"/>
        <w:gridCol w:w="109"/>
        <w:gridCol w:w="651"/>
        <w:gridCol w:w="109"/>
        <w:gridCol w:w="4368"/>
      </w:tblGrid>
      <w:tr>
        <w:trPr/>
        <w:tc>
          <w:tcPr>
            <w:tcW w:w="448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68" w:type="dxa"/>
            <w:tcBorders/>
            <w:vAlign w:val="center"/>
          </w:tcPr>
          <w:p>
            <w:pPr>
              <w:pStyle w:val="TableContents"/>
              <w:bidi w:val="0"/>
              <w:spacing w:before="0" w:after="283"/>
              <w:jc w:val="left"/>
              <w:rPr>
                <w:sz w:val="4"/>
                <w:szCs w:val="4"/>
              </w:rPr>
            </w:pPr>
            <w:r>
              <w:rPr>
                <w:sz w:val="4"/>
                <w:szCs w:val="4"/>
              </w:rPr>
            </w:r>
          </w:p>
        </w:tc>
      </w:tr>
      <w:tr>
        <w:trPr/>
        <w:tc>
          <w:tcPr>
            <w:tcW w:w="4484" w:type="dxa"/>
            <w:tcBorders/>
          </w:tcPr>
          <w:p>
            <w:pPr>
              <w:pStyle w:val="TableContents"/>
              <w:bidi w:val="0"/>
              <w:spacing w:before="0" w:after="283"/>
              <w:jc w:val="left"/>
              <w:rPr/>
            </w:pPr>
            <w:r>
              <w:rPr/>
              <w:t>PURCHASER:</w:t>
            </w:r>
          </w:p>
        </w:tc>
        <w:tc>
          <w:tcPr>
            <w:tcW w:w="109"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28" w:type="dxa"/>
            <w:gridSpan w:val="3"/>
            <w:tcBorders/>
          </w:tcPr>
          <w:p>
            <w:pPr>
              <w:pStyle w:val="TableContents"/>
              <w:bidi w:val="0"/>
              <w:spacing w:before="0" w:after="283"/>
              <w:jc w:val="left"/>
              <w:rPr/>
            </w:pPr>
            <w:r>
              <w:rPr/>
              <w:t>AGRIFY CORPORATION</w:t>
            </w:r>
          </w:p>
        </w:tc>
      </w:tr>
      <w:tr>
        <w:trPr>
          <w:trHeight w:val="240" w:hRule="atLeast"/>
        </w:trPr>
        <w:tc>
          <w:tcPr>
            <w:tcW w:w="4484" w:type="dxa"/>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760" w:type="dxa"/>
            <w:gridSpan w:val="2"/>
            <w:tcBorders/>
            <w:vAlign w:val="center"/>
          </w:tcPr>
          <w:p>
            <w:pPr>
              <w:pStyle w:val="TableContents"/>
              <w:bidi w:val="0"/>
              <w:spacing w:before="0" w:after="283"/>
              <w:jc w:val="left"/>
              <w:rPr>
                <w:sz w:val="4"/>
                <w:szCs w:val="4"/>
              </w:rPr>
            </w:pPr>
            <w:r>
              <w:rPr>
                <w:sz w:val="4"/>
                <w:szCs w:val="4"/>
              </w:rPr>
            </w:r>
          </w:p>
        </w:tc>
        <w:tc>
          <w:tcPr>
            <w:tcW w:w="4477" w:type="dxa"/>
            <w:gridSpan w:val="2"/>
            <w:tcBorders/>
            <w:vAlign w:val="center"/>
          </w:tcPr>
          <w:p>
            <w:pPr>
              <w:pStyle w:val="TableContents"/>
              <w:bidi w:val="0"/>
              <w:spacing w:before="0" w:after="283"/>
              <w:jc w:val="left"/>
              <w:rPr>
                <w:sz w:val="4"/>
                <w:szCs w:val="4"/>
              </w:rPr>
            </w:pPr>
            <w:r>
              <w:rPr>
                <w:sz w:val="4"/>
                <w:szCs w:val="4"/>
              </w:rPr>
            </w:r>
          </w:p>
        </w:tc>
      </w:tr>
      <w:tr>
        <w:trPr/>
        <w:tc>
          <w:tcPr>
            <w:tcW w:w="44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368" w:type="dxa"/>
            <w:tcBorders>
              <w:bottom w:val="single" w:sz="2" w:space="0" w:color="000000"/>
            </w:tcBorders>
            <w:tcMar>
              <w:bottom w:w="28" w:type="dxa"/>
            </w:tcMar>
          </w:tcPr>
          <w:p>
            <w:pPr>
              <w:pStyle w:val="TableContents"/>
              <w:bidi w:val="0"/>
              <w:spacing w:before="0" w:after="283"/>
              <w:jc w:val="left"/>
              <w:rPr/>
            </w:pPr>
            <w:r>
              <w:rPr/>
              <w:t>/s/ Brad Asher</w:t>
            </w:r>
          </w:p>
        </w:tc>
      </w:tr>
      <w:tr>
        <w:trPr/>
        <w:tc>
          <w:tcPr>
            <w:tcW w:w="44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368" w:type="dxa"/>
            <w:tcBorders/>
          </w:tcPr>
          <w:p>
            <w:pPr>
              <w:pStyle w:val="TableContents"/>
              <w:bidi w:val="0"/>
              <w:spacing w:before="0" w:after="283"/>
              <w:jc w:val="left"/>
              <w:rPr/>
            </w:pPr>
            <w:r>
              <w:rPr/>
              <w:t>Brad Asher</w:t>
            </w:r>
          </w:p>
        </w:tc>
      </w:tr>
      <w:tr>
        <w:trPr/>
        <w:tc>
          <w:tcPr>
            <w:tcW w:w="44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1"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368" w:type="dxa"/>
            <w:tcBorders/>
            <w:vAlign w:val="bottom"/>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4" w:name="d65517dex102.htm"/>
      <w:bookmarkStart w:id="5" w:name="ksd65517dex102"/>
      <w:bookmarkEnd w:id="4"/>
      <w:bookmarkEnd w:id="5"/>
      <w:r>
        <w:rPr>
          <w:rFonts w:ascii="Times New Roman" w:hAnsi="Times New Roman"/>
          <w:b/>
          <w:sz w:val="20"/>
        </w:rPr>
        <w:t xml:space="preserve">Exhibit 10.2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TRADEMARK AND RECIPE LICENSE AGREEMENT </w:t>
      </w:r>
    </w:p>
    <w:p>
      <w:pPr>
        <w:pStyle w:val="TextBody"/>
        <w:bidi w:val="0"/>
        <w:spacing w:before="240" w:after="0"/>
        <w:jc w:val="left"/>
        <w:rPr>
          <w:rFonts w:ascii="Times New Roman" w:hAnsi="Times New Roman"/>
          <w:sz w:val="20"/>
        </w:rPr>
      </w:pPr>
      <w:r>
        <w:rPr>
          <w:rFonts w:ascii="Times New Roman" w:hAnsi="Times New Roman"/>
          <w:sz w:val="20"/>
        </w:rPr>
        <w:t>This Trademark and Recipe License Agreement (“</w:t>
      </w:r>
      <w:r>
        <w:rPr>
          <w:rFonts w:ascii="Times New Roman" w:hAnsi="Times New Roman"/>
          <w:b/>
          <w:sz w:val="20"/>
        </w:rPr>
        <w:t>Agreement</w:t>
      </w:r>
      <w:r>
        <w:rPr>
          <w:rFonts w:ascii="Times New Roman" w:hAnsi="Times New Roman"/>
          <w:sz w:val="20"/>
        </w:rPr>
        <w:t>”) is made as of August 27, 2025 (the “</w:t>
      </w:r>
      <w:r>
        <w:rPr>
          <w:rFonts w:ascii="Times New Roman" w:hAnsi="Times New Roman"/>
          <w:b/>
          <w:sz w:val="20"/>
        </w:rPr>
        <w:t>Effective Date</w:t>
      </w:r>
      <w:r>
        <w:rPr>
          <w:rFonts w:ascii="Times New Roman" w:hAnsi="Times New Roman"/>
          <w:sz w:val="20"/>
        </w:rPr>
        <w:t>”) by and between VCP IP Holdings, LLC, a Delaware limited liability company (“</w:t>
      </w:r>
      <w:r>
        <w:rPr>
          <w:rFonts w:ascii="Times New Roman" w:hAnsi="Times New Roman"/>
          <w:b/>
          <w:sz w:val="20"/>
        </w:rPr>
        <w:t>Licensor</w:t>
      </w:r>
      <w:r>
        <w:rPr>
          <w:rFonts w:ascii="Times New Roman" w:hAnsi="Times New Roman"/>
          <w:sz w:val="20"/>
        </w:rPr>
        <w:t>”), and GTI Core, LLC, a Delaware limited liability company (“</w:t>
      </w:r>
      <w:r>
        <w:rPr>
          <w:rFonts w:ascii="Times New Roman" w:hAnsi="Times New Roman"/>
          <w:b/>
          <w:sz w:val="20"/>
        </w:rPr>
        <w:t>Licensee</w:t>
      </w:r>
      <w:r>
        <w:rPr>
          <w:rFonts w:ascii="Times New Roman" w:hAnsi="Times New Roman"/>
          <w:sz w:val="20"/>
        </w:rPr>
        <w:t>” and, together with Licensor, the “</w:t>
      </w:r>
      <w:r>
        <w:rPr>
          <w:rFonts w:ascii="Times New Roman" w:hAnsi="Times New Roman"/>
          <w:b/>
          <w:sz w:val="20"/>
        </w:rPr>
        <w:t>Parties</w:t>
      </w:r>
      <w:r>
        <w:rPr>
          <w:rFonts w:ascii="Times New Roman" w:hAnsi="Times New Roman"/>
          <w:sz w:val="20"/>
        </w:rPr>
        <w:t>,” or each, individually, a “</w:t>
      </w:r>
      <w:r>
        <w:rPr>
          <w:rFonts w:ascii="Times New Roman" w:hAnsi="Times New Roman"/>
          <w:b/>
          <w:sz w:val="20"/>
        </w:rPr>
        <w:t>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Licensor is the owner of certain trademarks, service marks, trade names, design marks and commercial symbols, and such other common law trademarks, service marks, trade names, design marks and commercial symbols set forth on </w:t>
      </w:r>
      <w:r>
        <w:rPr>
          <w:rFonts w:ascii="Times New Roman" w:hAnsi="Times New Roman"/>
          <w:b/>
          <w:sz w:val="20"/>
        </w:rPr>
        <w:t>Exhibit A</w:t>
      </w:r>
      <w:r>
        <w:rPr>
          <w:rFonts w:ascii="Times New Roman" w:hAnsi="Times New Roman"/>
          <w:sz w:val="20"/>
        </w:rPr>
        <w:t xml:space="preserve"> (together with any additional, related marks of which Licensor gives Licensee written notice from time to time, the “</w:t>
      </w:r>
      <w:r>
        <w:rPr>
          <w:rFonts w:ascii="Times New Roman" w:hAnsi="Times New Roman"/>
          <w:b/>
          <w:sz w:val="20"/>
        </w:rPr>
        <w:t>Trademarks</w:t>
      </w:r>
      <w:r>
        <w:rPr>
          <w:rFonts w:ascii="Times New Roman" w:hAnsi="Times New Roman"/>
          <w:sz w:val="20"/>
        </w:rPr>
        <w:t>”) and the product recipes associated with and used in connection with the Trademarks, including as may be altered, changed, or replaced by Licensor from time to time, and any and all trade secret rights, formulations, know-how, and all other intellectual property rights in same (to the extent provided to Licensee from time to time, including the recipes for the products marketed under the Trademarks, including, without limitation, recipes relating to a list of products that has been provided by Licensor to Licensee (the “</w:t>
      </w:r>
      <w:r>
        <w:rPr>
          <w:rFonts w:ascii="Times New Roman" w:hAnsi="Times New Roman"/>
          <w:b/>
          <w:sz w:val="20"/>
        </w:rPr>
        <w:t>Recipes</w:t>
      </w:r>
      <w:r>
        <w:rPr>
          <w:rFonts w:ascii="Times New Roman" w:hAnsi="Times New Roman"/>
          <w:sz w:val="20"/>
        </w:rPr>
        <w:t xml:space="preserve">”)), related to the Licensed Services (defined below); and </w:t>
      </w:r>
    </w:p>
    <w:p>
      <w:pPr>
        <w:pStyle w:val="TextBody"/>
        <w:bidi w:val="0"/>
        <w:spacing w:before="240" w:after="0"/>
        <w:jc w:val="left"/>
        <w:rPr>
          <w:rFonts w:ascii="Times New Roman" w:hAnsi="Times New Roman"/>
          <w:sz w:val="20"/>
        </w:rPr>
      </w:pPr>
      <w:r>
        <w:rPr>
          <w:rFonts w:ascii="Times New Roman" w:hAnsi="Times New Roman"/>
          <w:sz w:val="20"/>
        </w:rPr>
        <w:t xml:space="preserve">WHEREAS, Licensor has represented to Licensee that Licensor has sufficient rights in and to the Trademarks and Recipes; and </w:t>
      </w:r>
    </w:p>
    <w:p>
      <w:pPr>
        <w:pStyle w:val="TextBody"/>
        <w:bidi w:val="0"/>
        <w:spacing w:before="240" w:after="0"/>
        <w:jc w:val="left"/>
        <w:rPr>
          <w:rFonts w:ascii="Times New Roman" w:hAnsi="Times New Roman"/>
          <w:sz w:val="20"/>
        </w:rPr>
      </w:pPr>
      <w:r>
        <w:rPr>
          <w:rFonts w:ascii="Times New Roman" w:hAnsi="Times New Roman"/>
          <w:sz w:val="20"/>
        </w:rPr>
        <w:t>WHEREAS, Licensee desires to use the Trademarks and the Recipes in connection with cannabis product infusion and production, retail dispensary services, online retail sales of products including cannabis, cannabis concentrates, cannabis infused products, and cannabis accessories, and the marketing and sale of all products contemplated herein, in each case, only with respect to products whose production, marketing, or sale (a) is legal under applicable state law and (b) do not fall into the category of hemp products that are legal under federal law, as such law stands (regardless of whether such law changes at a later date) (collectively, the “</w:t>
      </w:r>
      <w:r>
        <w:rPr>
          <w:rFonts w:ascii="Times New Roman" w:hAnsi="Times New Roman"/>
          <w:b/>
          <w:sz w:val="20"/>
        </w:rPr>
        <w:t>Licensed Services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Licensor has agreed to grant a license to Licensee to use the Trademarks and Recipes in accordance with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covenants herein exchanged, and for other good and valuable consideration, the receipt and adequacy of which is hereby acknowledged, the Parties agree, and covenant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Grant of License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 Pursuant to the terms and conditions herein, Licensor hereby grants to Licensee a limited, non-transferable, exclusive, sublicensable license to use the Trademarks and the Recipes in connection with the Licensed Services in those states in which Licensee or any of its affiliates, or its or their third-party contractors or permitted sublicensees, whether now or hereafter existing (together with Licensee, the “</w:t>
      </w:r>
      <w:r>
        <w:rPr>
          <w:rFonts w:ascii="Times New Roman" w:hAnsi="Times New Roman"/>
          <w:b/>
          <w:sz w:val="20"/>
        </w:rPr>
        <w:t>Licensee Parties</w:t>
      </w:r>
      <w:r>
        <w:rPr>
          <w:rFonts w:ascii="Times New Roman" w:hAnsi="Times New Roman"/>
          <w:sz w:val="20"/>
        </w:rPr>
        <w:t xml:space="preserve">”), operate cannabis cultivation facilities, production facilities, infusion facilities, and/or dispensaries licensed by the applicable regulatory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authorities and in compliance with such rules and regulations applicable thereto (collectively, the “</w:t>
      </w:r>
      <w:r>
        <w:rPr>
          <w:rFonts w:ascii="Times New Roman" w:hAnsi="Times New Roman"/>
          <w:b/>
          <w:sz w:val="20"/>
        </w:rPr>
        <w:t>Locations</w:t>
      </w:r>
      <w:r>
        <w:rPr>
          <w:rFonts w:ascii="Times New Roman" w:hAnsi="Times New Roman"/>
          <w:sz w:val="20"/>
        </w:rPr>
        <w:t xml:space="preserve">”) during the Term (as defined below). Licensor and Licensee expressly acknowledge and agree that the exclusivity of such license extends only to the Locations, and Licensor reserves the right to use the Trademarks and Recipes, or to license the same, in jurisdictions outside the Locations. It is understood that Licensee, without Licensor’s prior written consent, may not use the Trademarks or the Recipes for any purpose other than as contemplated herein related to the Locations. Any proposed sublicense of the license granted hereunder shall be subject to the prior written approval of Licensor in its sole discretion; provided that Licensee may freely sublicense its rights hereunder to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1.2 Licensee acknowledges that, as between the Parties, Licensor (or its affiliates) is the sole owner of the Trademarks, the Recipes, and, in each case, the goodwill associated therewith, and that Licensee hereby acquires no right, title, interest or claim of ownership in or to the Trademarks or the Recipes except the license granted herein. Licensee agrees not to contest Licensor’s ownership of the Trademarks or the Recipes nor to use the Trademarks or the Recipes in any manner other than as specifically provided herein without Licensor’s prior written consent. Licensee agrees not to register or attempt to register any trademark or service mark that would be confusingly similar to the Trademarks. All use of the Trademarks and the Recipes by Licensee shall inure to the benefit of Licensor. Upon termination of this Agreement, all rights granted to Licensee hereunder shall automatically terminate and revert to Licensor. </w:t>
      </w:r>
    </w:p>
    <w:p>
      <w:pPr>
        <w:pStyle w:val="TextBody"/>
        <w:bidi w:val="0"/>
        <w:spacing w:before="240" w:after="0"/>
        <w:jc w:val="left"/>
        <w:rPr>
          <w:rFonts w:ascii="Times New Roman" w:hAnsi="Times New Roman"/>
          <w:sz w:val="20"/>
        </w:rPr>
      </w:pPr>
      <w:r>
        <w:rPr>
          <w:rFonts w:ascii="Times New Roman" w:hAnsi="Times New Roman"/>
          <w:sz w:val="20"/>
        </w:rPr>
        <w:t xml:space="preserve">1.3 Licensor has the right to examine and approve the nature and quality of all uses of the Trademarks and the Recipes. Licensee shall only use the Trademarks and the Recipes in the form and manner and with appropriate legends as prescribed from time to time by Licensor and in accordance with any branding guidelines and instructions provided by Licensor to Licensee, as may be updated from time to time. Licensee will not, either directly or indirectly, do or permit to be done any action or thing which (i) impairs Licensor’s right in and to the Trademarks or Recipes or any intellectual property rights arising therefrom or relating thereto, (ii) materially reduces or dilutes the value of the Trademarks or Recipes or any intellectual property rights arising therefrom or relating thereto, or (iii) materially disparage or dilute, detract from or reflect adversely upon the reputation, image and prestige of Licensor, the Trademarks, Recipes, or any intellectual property rights arising therefrom or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1.4 Licensee may not assign the license granted pursuant to this Agreement without the prior written approval of Licensor. Notwithstanding the foregoing, the restrictions on assignment in this Section 1.4 shall not apply to assignments made (i) by operation of law, or (ii) to business entities controlled by or under common control with Licensee. </w:t>
      </w:r>
    </w:p>
    <w:p>
      <w:pPr>
        <w:pStyle w:val="TextBody"/>
        <w:bidi w:val="0"/>
        <w:spacing w:before="240" w:after="0"/>
        <w:jc w:val="left"/>
        <w:rPr>
          <w:rFonts w:ascii="Times New Roman" w:hAnsi="Times New Roman"/>
          <w:sz w:val="20"/>
        </w:rPr>
      </w:pPr>
      <w:r>
        <w:rPr>
          <w:rFonts w:ascii="Times New Roman" w:hAnsi="Times New Roman"/>
          <w:sz w:val="20"/>
        </w:rPr>
        <w:t xml:space="preserve">1.5 Licensee acknowledges and agrees that as between Licensee and Licensor, Licensor shall be the sole and exclusive owner of all right, title, and interest in and to the Trademarks, the Recipes, and, in each case the goodwill associated therewith and any improvements or derivatives of the Trademarks or Recipes.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Consideration for the transactions contemplated under this Agreement is as described on </w:t>
      </w:r>
      <w:r>
        <w:rPr>
          <w:rFonts w:ascii="Times New Roman" w:hAnsi="Times New Roman"/>
          <w:b/>
          <w:sz w:val="20"/>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 Licensor shall have thirty (30) days after receipt of the Calculation Statement for each applicable period (in each case, the “</w:t>
      </w:r>
      <w:r>
        <w:rPr>
          <w:rFonts w:ascii="Times New Roman" w:hAnsi="Times New Roman"/>
          <w:b/>
          <w:sz w:val="20"/>
        </w:rPr>
        <w:t>Review Period</w:t>
      </w:r>
      <w:r>
        <w:rPr>
          <w:rFonts w:ascii="Times New Roman" w:hAnsi="Times New Roman"/>
          <w:sz w:val="20"/>
        </w:rPr>
        <w:t>”) to review the Calculation Statement. During the Review Period, Licensor and its representatives shall have the right to inspect Licensee’s books and records during normal business hours at Licensee’s offices, upon reasonable prior notice and solely for purposes reasonably related to the determinations of Net Revenue and the resulting license fees. Prior to the expiration of the Review Period, Licensor may object to the calculation of Net Revenue or the resulting license fees set forth in the Calculation Statement for the applicable Calculation Period by delivering a written notice of objection (an “</w:t>
      </w:r>
      <w:r>
        <w:rPr>
          <w:rFonts w:ascii="Times New Roman" w:hAnsi="Times New Roman"/>
          <w:b/>
          <w:sz w:val="20"/>
        </w:rPr>
        <w:t>Objection Notice</w:t>
      </w:r>
      <w:r>
        <w:rPr>
          <w:rFonts w:ascii="Times New Roman" w:hAnsi="Times New Roman"/>
          <w:sz w:val="20"/>
        </w:rPr>
        <w:t>”) to Licensee. Any Objection Notice shall specify the items in the applicable calculation disputed by Licensor and shall describe in reasonable detail the basis for such objection, as well as the amount in dispute. If Licensor fails to deliver an Objection Notice to Licensee prior to the expiration of the Review Period, then the calculations set forth in the Calculation Statement shall be final and binding on the parties hereto, and Licensee shall pay the applicable license fees to Licensor within five (5) business days following the end of the Review Period or, if the Licensee has delivered an Objection Notice, within five (5) business days following final resolution of such dispute, whether by agreement between the parties or by an Independent Accountant. If Licensor timely delivers an Objection Notice, Licensee and Licensor shall negotiate in good faith to resolve the disputed items and agree upon the resulting amount of the Net Revenue and the license fee for the applicable period. If Licensee and Licensor are unable to reach agreement within sixty (60) days after such an Objection Notice has been given, all unresolved disputed items shall be referred to an impartial nationally recognized firm of independent certified public accountants, other than Licensee’s or Licensor’s accountants, appointed by mutual agreement of Licensee and Licensor (the “</w:t>
      </w:r>
      <w:r>
        <w:rPr>
          <w:rFonts w:ascii="Times New Roman" w:hAnsi="Times New Roman"/>
          <w:b/>
          <w:sz w:val="20"/>
        </w:rPr>
        <w:t>Independent Accountant</w:t>
      </w:r>
      <w:r>
        <w:rPr>
          <w:rFonts w:ascii="Times New Roman" w:hAnsi="Times New Roman"/>
          <w:sz w:val="20"/>
        </w:rPr>
        <w:t xml:space="preserve">”), who, acting as experts and not arbitrators, shall resolve the unresolved disputed items. The Independent Accountant shall be directed to render a written report on the unresolved disputed items with respect to the applicable calculation as promptly as practicable, but in no event greater than thirty (30) days after such submission to the Independent Accountant, and to resolve only those unresolved disputed items set forth in the Objection Notice. If unresolved disputed items are submitted to the Independent Accountant, Licensee and Licensor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Licensee and Licensor, and not by independent review. The resolution of the dispute and the calculation of Net Revenue and/or license fees that is the subject of the applicable Objection Notice by the Independent Accountant shall be final and binding on the parties hereto. The fees and expenses of the Independent Accountant shall be borne by Licensor and Licensee in proportion to the amounts by which their respective calculations of license fees due for an applicable period differ from the license fees for such period as finally determined by the Independent Accountant.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2.3 If either Party incurs out-of-pocket costs upon request of the other Party (“</w:t>
      </w:r>
      <w:r>
        <w:rPr>
          <w:rFonts w:ascii="Times New Roman" w:hAnsi="Times New Roman"/>
          <w:b/>
          <w:sz w:val="20"/>
        </w:rPr>
        <w:t>Reimbursable Costs</w:t>
      </w:r>
      <w:r>
        <w:rPr>
          <w:rFonts w:ascii="Times New Roman" w:hAnsi="Times New Roman"/>
          <w:sz w:val="20"/>
        </w:rPr>
        <w:t xml:space="preserve">”), then (i) the Parties shall mutually agree in writing, with email as an acceptable method, on the allocation of such Reimbursable Costs; and (ii) the incurring Party shall provide the other Party with an invoice for such Reimbursable Costs, without mark-up, payable within thirty (30) days of receipt.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Term;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Term</w:t>
      </w:r>
      <w:r>
        <w:rPr>
          <w:rFonts w:ascii="Times New Roman" w:hAnsi="Times New Roman"/>
          <w:sz w:val="20"/>
        </w:rPr>
        <w:t>. The term of this Agreement shall commence as of the Effective Date and shall continue in perpetuity unless and until terminated in accordance with this Agreement (the “</w:t>
      </w:r>
      <w:r>
        <w:rPr>
          <w:rFonts w:ascii="Times New Roman" w:hAnsi="Times New Roman"/>
          <w:b/>
          <w:sz w:val="20"/>
        </w:rPr>
        <w:t>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3.2.1 Notwithstanding any other provision of this Agreement, this Agreement and the license granted hereunder shall automatically terminate, and all rights granted hereunder shall revert to Licensor, if at any time Licensee becomes insolvent, files a petition in bankruptcy or insolvency, is adjudicated bankrupt or insolvent, files any petition or answer seeking reorganization, readjustment or arrangement of Licensee’s business under any law relating to bankruptcy or insolvency, or if a receiver, trustee or liquidator is appointed, or if Licensee makes any assignment for the benefit of creditors, or in the event of government expropriation of any of the assets of Licensee which relate to any activities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3.2.2 Upon termination or expiration of this Agreement, all rights granted to Licensee hereunder shall automatically terminate and revert to Licensor. Licensee shall discontinue any and all use of the Trademarks and the Recipes and, if requested by Licensor, destroy, or relabel all signage, menus, business cards, online listings, and any other advertising and promotional materials bearing the Trademarks within one hundred eighty (180) days of such termination; provided that, Licensee shall be permitted to sell all existing product using or containing the Trademarks during such one hundred eighty (180) day period. </w:t>
      </w:r>
    </w:p>
    <w:p>
      <w:pPr>
        <w:pStyle w:val="TextBody"/>
        <w:bidi w:val="0"/>
        <w:spacing w:before="240" w:after="0"/>
        <w:jc w:val="left"/>
        <w:rPr>
          <w:rFonts w:ascii="Times New Roman" w:hAnsi="Times New Roman"/>
          <w:sz w:val="20"/>
        </w:rPr>
      </w:pPr>
      <w:r>
        <w:rPr>
          <w:rFonts w:ascii="Times New Roman" w:hAnsi="Times New Roman"/>
          <w:sz w:val="20"/>
        </w:rPr>
        <w:t xml:space="preserve">3.2.3 Notwithstanding any other provision of this Agreement, this Agreement may be terminated at any time with immediate effect upon the mutual agreement of Licensee and Licensor; provided, however, from and after the fifth (5th) anniversary of the Effective Date, this Agreement may be terminated at any time with immediate effect by Licensee upon written notice to Licensor.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Quality Standards; Insurance</w:t>
      </w:r>
      <w:r>
        <w:rPr>
          <w:rFonts w:ascii="Times New Roman" w:hAnsi="Times New Roman"/>
          <w:sz w:val="20"/>
        </w:rPr>
        <w:t xml:space="preserve">. Licensee shall use its commercially reasonable efforts to maintain the same high-quality standards with respect to the Licensed Services under the Trademarks as Licensor maintains for similar services and products provided by Licensor and its affiliates. Licensor shall, from time to time, provide Licensee with written specifications of such quality standards. Licensee shall display and use the Trademarks in accordance with any guidelines and specifications provided by Licensor to Licensee from time to time. Licensee shall not make any changes to the name, logo or other elements of the Trademarks provided by Licensor, without Licensor’s prior written approval. If Licensor reasonably determines that Licensee is not maintaining such quality standards, Licensor shall provide written notice to Licensee of the specific quality defects with instructions regarding how to correct them, and Licensee shall cure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defects within a reasonable period of time, not to exceed sixty (60) days (unless Licensor consents to an extension of such cure period, which consent may be withheld in Licensor’s sole and absolute discretion). During the Term of this Agreement, Licensee must maintain in full force with a reputable insurance provider, commercial general liability insurance covering its activities under this Agreement, with a limit of at least $1,000,000.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Representations and Warranties;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u w:val="single"/>
        </w:rPr>
        <w:t>By Licensor</w:t>
      </w:r>
      <w:r>
        <w:rPr>
          <w:rFonts w:ascii="Times New Roman" w:hAnsi="Times New Roman"/>
          <w:sz w:val="20"/>
        </w:rPr>
        <w:t xml:space="preserve">. Licensor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5.1.1 That it (or its affiliates) is the exclusive owner of the Trademarks and the Recipes and has the valid and enforceable right to use and license to others, the Trademarks and the Recipes; and </w:t>
      </w:r>
    </w:p>
    <w:p>
      <w:pPr>
        <w:pStyle w:val="TextBody"/>
        <w:bidi w:val="0"/>
        <w:spacing w:before="240" w:after="0"/>
        <w:jc w:val="left"/>
        <w:rPr>
          <w:rFonts w:ascii="Times New Roman" w:hAnsi="Times New Roman"/>
          <w:sz w:val="20"/>
        </w:rPr>
      </w:pPr>
      <w:r>
        <w:rPr>
          <w:rFonts w:ascii="Times New Roman" w:hAnsi="Times New Roman"/>
          <w:sz w:val="20"/>
        </w:rPr>
        <w:t xml:space="preserve">5.1.2 That, to the best of its knowledge, no other party has asserted any claim of any rights, titles or interest in the Trademarks or the Recipes adverse to Licensor’s rights thereof; and </w:t>
      </w:r>
    </w:p>
    <w:p>
      <w:pPr>
        <w:pStyle w:val="TextBody"/>
        <w:bidi w:val="0"/>
        <w:spacing w:before="240" w:after="0"/>
        <w:jc w:val="left"/>
        <w:rPr>
          <w:rFonts w:ascii="Times New Roman" w:hAnsi="Times New Roman"/>
          <w:sz w:val="20"/>
        </w:rPr>
      </w:pPr>
      <w:r>
        <w:rPr>
          <w:rFonts w:ascii="Times New Roman" w:hAnsi="Times New Roman"/>
          <w:sz w:val="20"/>
        </w:rPr>
        <w:t xml:space="preserve">5.1.3 That it is free to enter into this Agreement and perform its obligations under this Agreement; more specifically, that it is not bound by any prior agreements, formal or informal, or understandings or obligations, expressed or implied, which would be violated or breached by its entering into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5.1.4 That, to Licensor’s knowledge, the use of the Trademarks and the Recipes as currently and formerly used by Licensor in connection with its business has not infringed, misappropriated or otherwise violated any third party right, and there are no causes of action as of the Effective Date: (i) alleging any infringement, misappropriation or other violation by the Licensor’s use of the Trademarks or the Recipes of the intellectual property of any entity or individual; (ii) challenging the validity, enforceability, registrability, or ownership of the Trademarks, the Recipes, or Licensor’s right, title, or interest in or to the Trademarks or the Recipes; or (iii) by Licensor alleging any infringement, misappropriation, or other violation by any entity or individual of the Trademarks or the Recipes (except for those certain allegations of which Licensor has informed Licensee in writing as of the Effective Date); and </w:t>
      </w:r>
    </w:p>
    <w:p>
      <w:pPr>
        <w:pStyle w:val="TextBody"/>
        <w:bidi w:val="0"/>
        <w:spacing w:before="240" w:after="0"/>
        <w:jc w:val="left"/>
        <w:rPr>
          <w:rFonts w:ascii="Times New Roman" w:hAnsi="Times New Roman"/>
          <w:sz w:val="20"/>
        </w:rPr>
      </w:pPr>
      <w:r>
        <w:rPr>
          <w:rFonts w:ascii="Times New Roman" w:hAnsi="Times New Roman"/>
          <w:sz w:val="20"/>
        </w:rPr>
        <w:t xml:space="preserve">5.1.5. That, to Licensor’s knowledge, the use of the Trademarks and the Recipes as contemplated under this Agreement, will not infringe, misappropriate or otherwise violate any third party right.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u w:val="single"/>
        </w:rPr>
        <w:t>By Licensee</w:t>
      </w:r>
      <w:r>
        <w:rPr>
          <w:rFonts w:ascii="Times New Roman" w:hAnsi="Times New Roman"/>
          <w:sz w:val="20"/>
        </w:rPr>
        <w:t xml:space="preserve">. Licensee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5.2.1 That it is a duly organized and validly existing entity in good standing under the laws of the jurisdiction of its formation and has the requisite power to own its properties and conduct its business substantially as now being conducted and as contemplated to be conducted in accordance with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5.2.2 That it has the full power, right and authority to enter into this Agreement and perform its obligations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5.2.3 That it is free to enter into this Agreement; more specifically, that it is not bound by any prior agreements, formal or informal, or understandings or obligations, expressed or implied, which would be violated or breached by its entering into this Agreement, or which would otherwise prevent, preclude or interfere with Licensee’s exercise of its rights granted, or the performance of its obligations imposed,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5.2.4 That it will use the Trademarks and the Recipes solely in connection with the Licensed Services unless it first obtains the consent of Licensor; and </w:t>
      </w:r>
    </w:p>
    <w:p>
      <w:pPr>
        <w:pStyle w:val="TextBody"/>
        <w:bidi w:val="0"/>
        <w:spacing w:before="240" w:after="0"/>
        <w:jc w:val="left"/>
        <w:rPr>
          <w:rFonts w:ascii="Times New Roman" w:hAnsi="Times New Roman"/>
          <w:sz w:val="20"/>
        </w:rPr>
      </w:pPr>
      <w:r>
        <w:rPr>
          <w:rFonts w:ascii="Times New Roman" w:hAnsi="Times New Roman"/>
          <w:sz w:val="20"/>
        </w:rPr>
        <w:t xml:space="preserve">5.2.5 That it will use the Trademarks and Recipes in compliance with all applicable laws and regulations and the guidelines and specifications provided by Licensor from time to time and not in any manner that, in the Licensor’s sole discretion, brings the Trademarks into disrepute.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5.3.1. Licensor agrees to indemnify and hold harmless Licensee against any actions, claims, damages, liabilities or expenses of any kind, including attorneys’ fees, which may be asserted against Licensee arising as a result of (i) a breach of any representation or warranty made by Licensor herein, (ii) any breach of or noncompliance with any covenant of Licensor herein, or (iii) any claim or action that Licensee’s use of the Trademarks or the Recipes infringes upon or otherwise violate the intellectual property rights of a third party. </w:t>
      </w:r>
    </w:p>
    <w:p>
      <w:pPr>
        <w:pStyle w:val="TextBody"/>
        <w:bidi w:val="0"/>
        <w:spacing w:before="240" w:after="0"/>
        <w:jc w:val="left"/>
        <w:rPr>
          <w:rFonts w:ascii="Times New Roman" w:hAnsi="Times New Roman"/>
          <w:sz w:val="20"/>
        </w:rPr>
      </w:pPr>
      <w:r>
        <w:rPr>
          <w:rFonts w:ascii="Times New Roman" w:hAnsi="Times New Roman"/>
          <w:sz w:val="20"/>
        </w:rPr>
        <w:t xml:space="preserve">5.3.2 Licensee agrees to indemnify and hold harmless Licensor against any actions, claims, damages, liabilities or expenses of any kind, including attorneys’ fees, which may be asserted against Licensor arising as a result of (i) a breach of any warranty made by Licensee herein; (ii) any of the representations made herein by Licensee being intentional misstatements of fact, or (iii) any breach of or noncompliance with the terms of this Agreement or any covenant of Licensee herein.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Regulatory Approval</w:t>
      </w:r>
      <w:r>
        <w:rPr>
          <w:rFonts w:ascii="Times New Roman" w:hAnsi="Times New Roman"/>
          <w:sz w:val="20"/>
        </w:rPr>
        <w:t>. Notwithstanding anything to the contrary in this Agreement, this Agreement, and any agreement formed pursuant to the terms hereof, are subject to all applicable state cannabis laws. Without limiting the foregoing, each Party acknowledges that, if required by applicable law, notification of this Agreement may be filed by Licensee with the applicable state licensing and regulatory agency in the relevant Location (as applicable, the “</w:t>
      </w:r>
      <w:r>
        <w:rPr>
          <w:rFonts w:ascii="Times New Roman" w:hAnsi="Times New Roman"/>
          <w:b/>
          <w:sz w:val="20"/>
        </w:rPr>
        <w:t>Regulator</w:t>
      </w:r>
      <w:r>
        <w:rPr>
          <w:rFonts w:ascii="Times New Roman" w:hAnsi="Times New Roman"/>
          <w:sz w:val="20"/>
        </w:rPr>
        <w:t xml:space="preserve">”), which may require Regulator approval.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will use its commercially reasonable efforts to take all actions and to do all things necessary in order to consummate and make effective this Agreement in compliance with law and any licensure requirements. Each of the Parties will give any notices to, make any filings with, and use its commercially reasonable efforts to obtain any authorizations, consents, and approvals from any local, state or other governmental agency or political subdivision (including the Regulator, lenders and any other necessary third parties) in order to consummate and make effective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 “Governmental Authority” shall mean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“Law” shall mean any statute, law, ordinance, regulation, rule, code, order, constitution, treaty, common law, judgment, decree, other requirement or rule of law.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Third Party Infringement</w:t>
      </w:r>
      <w:r>
        <w:rPr>
          <w:rFonts w:ascii="Times New Roman" w:hAnsi="Times New Roman"/>
          <w:sz w:val="20"/>
        </w:rPr>
        <w:t>. Each Party shall notify the other in writing if such Party becomes aware of any use by third parties of any marks which infringe upon the Trademarks (“</w:t>
      </w:r>
      <w:r>
        <w:rPr>
          <w:rFonts w:ascii="Times New Roman" w:hAnsi="Times New Roman"/>
          <w:b/>
          <w:sz w:val="20"/>
        </w:rPr>
        <w:t>Infringing Marks</w:t>
      </w:r>
      <w:r>
        <w:rPr>
          <w:rFonts w:ascii="Times New Roman" w:hAnsi="Times New Roman"/>
          <w:sz w:val="20"/>
        </w:rPr>
        <w:t xml:space="preserve">”). Licensee and Licensor shall each have the right (but not the obligation) to bring actions of any type, including but not limited to infringement or unfair competition proceedings, involving such use of Infringing Marks by third parties, and the Parties agree to cooperate fully (at Licensor’s expense, unless otherwise agreed in writing by the Parties) in stopping such use of Infringing Marks by third parties, including, without limitation, bringing suit, seeking injunctive relief, making appearances at depositions or in court proceedings upon reasonable advance notice, execution of documents requested pursuant to this Section, and any and all other action necessary to stop such use of Infringing Marks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u w:val="single"/>
        </w:rPr>
        <w:t>Counterpart Execution</w:t>
      </w:r>
      <w:r>
        <w:rPr>
          <w:rFonts w:ascii="Times New Roman" w:hAnsi="Times New Roman"/>
          <w:sz w:val="20"/>
        </w:rPr>
        <w:t xml:space="preserve">. This Agreement may be executed in two or more counterparts, each of which shall be deemed an original, but all of which together shall constitute one and the same instrument. In addition, facsimile, electronically executed, or .pdf signatures to this document shall have the same force and effect as “ink” signatures and no “ink” copy of any facsimile or .pdf signature is required to bind the Party signing by facsimile or .pdf to this document.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u w:val="single"/>
        </w:rPr>
        <w:t>Notices</w:t>
      </w:r>
      <w:r>
        <w:rPr>
          <w:rFonts w:ascii="Times New Roman" w:hAnsi="Times New Roman"/>
          <w:sz w:val="20"/>
        </w:rPr>
        <w:t xml:space="preserve">. All notices, requests and other communications to any Party hereunder shall be in writing and shall be given to such Party at its address set forth below, with delivery being effective (i) upon actual receipt if delivered personally, (ii) on the second business day after deposit if sent by a recognized overnight delivery service or by registered or certified mail (postage prepaid, return receipt requested), or (iii) upon email confirmation of receipt if sent by electronic mail.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
        <w:gridCol w:w="123"/>
        <w:gridCol w:w="1255"/>
        <w:gridCol w:w="123"/>
        <w:gridCol w:w="8409"/>
      </w:tblGrid>
      <w:tr>
        <w:trPr/>
        <w:tc>
          <w:tcPr>
            <w:tcW w:w="29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409" w:type="dxa"/>
            <w:tcBorders/>
            <w:vAlign w:val="center"/>
          </w:tcPr>
          <w:p>
            <w:pPr>
              <w:pStyle w:val="TableContents"/>
              <w:bidi w:val="0"/>
              <w:spacing w:before="0" w:after="283"/>
              <w:jc w:val="left"/>
              <w:rPr>
                <w:sz w:val="4"/>
                <w:szCs w:val="4"/>
              </w:rPr>
            </w:pPr>
            <w:r>
              <w:rPr>
                <w:sz w:val="4"/>
                <w:szCs w:val="4"/>
              </w:rPr>
            </w:r>
          </w:p>
        </w:tc>
      </w:tr>
      <w:tr>
        <w:trPr/>
        <w:tc>
          <w:tcPr>
            <w:tcW w:w="29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55" w:type="dxa"/>
            <w:tcBorders/>
          </w:tcPr>
          <w:p>
            <w:pPr>
              <w:pStyle w:val="TableContents"/>
              <w:bidi w:val="0"/>
              <w:spacing w:before="0" w:after="283"/>
              <w:jc w:val="left"/>
              <w:rPr/>
            </w:pPr>
            <w:r>
              <w:rPr/>
              <w:t>If to Licensor:</w:t>
            </w:r>
          </w:p>
        </w:tc>
        <w:tc>
          <w:tcPr>
            <w:tcW w:w="123" w:type="dxa"/>
            <w:tcBorders/>
            <w:vAlign w:val="bottom"/>
          </w:tcPr>
          <w:p>
            <w:pPr>
              <w:pStyle w:val="TableContents"/>
              <w:bidi w:val="0"/>
              <w:spacing w:before="0" w:after="283"/>
              <w:jc w:val="left"/>
              <w:rPr/>
            </w:pPr>
            <w:r>
              <w:rPr/>
              <w:t>  </w:t>
            </w:r>
          </w:p>
        </w:tc>
        <w:tc>
          <w:tcPr>
            <w:tcW w:w="8409" w:type="dxa"/>
            <w:tcBorders/>
          </w:tcPr>
          <w:p>
            <w:pPr>
              <w:pStyle w:val="TableContents"/>
              <w:bidi w:val="0"/>
              <w:spacing w:before="0" w:after="0"/>
              <w:jc w:val="left"/>
              <w:rPr>
                <w:rFonts w:ascii="Times New Roman" w:hAnsi="Times New Roman"/>
                <w:sz w:val="20"/>
              </w:rPr>
            </w:pPr>
            <w:r>
              <w:rPr>
                <w:rFonts w:ascii="Times New Roman" w:hAnsi="Times New Roman"/>
                <w:sz w:val="20"/>
              </w:rPr>
              <w:t>VCP IP Holdings, LLC</w:t>
            </w:r>
          </w:p>
          <w:p>
            <w:pPr>
              <w:pStyle w:val="TableContents"/>
              <w:bidi w:val="0"/>
              <w:spacing w:before="0" w:after="0"/>
              <w:jc w:val="left"/>
              <w:rPr>
                <w:rFonts w:ascii="Times New Roman" w:hAnsi="Times New Roman"/>
                <w:sz w:val="20"/>
              </w:rPr>
            </w:pPr>
            <w:r>
              <w:rPr>
                <w:rFonts w:ascii="Times New Roman" w:hAnsi="Times New Roman"/>
                <w:sz w:val="20"/>
              </w:rPr>
              <w:t>c/o Agrify Corporation</w:t>
            </w:r>
          </w:p>
          <w:p>
            <w:pPr>
              <w:pStyle w:val="TableContents"/>
              <w:bidi w:val="0"/>
              <w:spacing w:before="0" w:after="0"/>
              <w:jc w:val="left"/>
              <w:rPr>
                <w:rFonts w:ascii="Times New Roman" w:hAnsi="Times New Roman"/>
                <w:sz w:val="20"/>
              </w:rPr>
            </w:pPr>
            <w:r>
              <w:rPr>
                <w:rFonts w:ascii="Times New Roman" w:hAnsi="Times New Roman"/>
                <w:sz w:val="20"/>
              </w:rPr>
              <w:t>2220 Hicks Road, Suite 210</w:t>
            </w:r>
          </w:p>
          <w:p>
            <w:pPr>
              <w:pStyle w:val="TableContents"/>
              <w:bidi w:val="0"/>
              <w:spacing w:before="0" w:after="0"/>
              <w:jc w:val="left"/>
              <w:rPr>
                <w:rFonts w:ascii="Times New Roman" w:hAnsi="Times New Roman"/>
                <w:sz w:val="20"/>
              </w:rPr>
            </w:pPr>
            <w:r>
              <w:rPr>
                <w:rFonts w:ascii="Times New Roman" w:hAnsi="Times New Roman"/>
                <w:sz w:val="20"/>
              </w:rPr>
              <w:t>Rolling Meadows, IL 60008</w:t>
            </w:r>
          </w:p>
          <w:p>
            <w:pPr>
              <w:pStyle w:val="TableContents"/>
              <w:bidi w:val="0"/>
              <w:spacing w:before="0" w:after="0"/>
              <w:jc w:val="left"/>
              <w:rPr>
                <w:rFonts w:ascii="Times New Roman" w:hAnsi="Times New Roman"/>
                <w:sz w:val="20"/>
              </w:rPr>
            </w:pPr>
            <w:r>
              <w:rPr>
                <w:rFonts w:ascii="Times New Roman" w:hAnsi="Times New Roman"/>
                <w:sz w:val="20"/>
              </w:rPr>
              <w:t>CC:</w:t>
            </w:r>
          </w:p>
          <w:p>
            <w:pPr>
              <w:pStyle w:val="TableContents"/>
              <w:bidi w:val="0"/>
              <w:spacing w:before="0" w:after="20"/>
              <w:jc w:val="left"/>
              <w:rPr>
                <w:rFonts w:ascii="Times New Roman" w:hAnsi="Times New Roman"/>
                <w:sz w:val="20"/>
              </w:rPr>
            </w:pPr>
            <w:r>
              <w:rPr>
                <w:rFonts w:ascii="Times New Roman" w:hAnsi="Times New Roman"/>
                <w:sz w:val="20"/>
              </w:rPr>
              <w:t>Email: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8"/>
        <w:gridCol w:w="120"/>
        <w:gridCol w:w="1243"/>
        <w:gridCol w:w="120"/>
        <w:gridCol w:w="8424"/>
      </w:tblGrid>
      <w:tr>
        <w:trPr/>
        <w:tc>
          <w:tcPr>
            <w:tcW w:w="2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24" w:type="dxa"/>
            <w:tcBorders/>
            <w:vAlign w:val="center"/>
          </w:tcPr>
          <w:p>
            <w:pPr>
              <w:pStyle w:val="TableContents"/>
              <w:bidi w:val="0"/>
              <w:spacing w:before="0" w:after="283"/>
              <w:jc w:val="left"/>
              <w:rPr>
                <w:sz w:val="4"/>
                <w:szCs w:val="4"/>
              </w:rPr>
            </w:pPr>
            <w:r>
              <w:rPr>
                <w:sz w:val="4"/>
                <w:szCs w:val="4"/>
              </w:rPr>
            </w:r>
          </w:p>
        </w:tc>
      </w:tr>
      <w:tr>
        <w:trPr/>
        <w:tc>
          <w:tcPr>
            <w:tcW w:w="2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43" w:type="dxa"/>
            <w:tcBorders/>
          </w:tcPr>
          <w:p>
            <w:pPr>
              <w:pStyle w:val="TableContents"/>
              <w:bidi w:val="0"/>
              <w:spacing w:before="0" w:after="283"/>
              <w:jc w:val="left"/>
              <w:rPr/>
            </w:pPr>
            <w:r>
              <w:rPr/>
              <w:t>If to Licensee:</w:t>
            </w:r>
          </w:p>
        </w:tc>
        <w:tc>
          <w:tcPr>
            <w:tcW w:w="120" w:type="dxa"/>
            <w:tcBorders/>
            <w:vAlign w:val="bottom"/>
          </w:tcPr>
          <w:p>
            <w:pPr>
              <w:pStyle w:val="TableContents"/>
              <w:bidi w:val="0"/>
              <w:spacing w:before="0" w:after="283"/>
              <w:jc w:val="left"/>
              <w:rPr/>
            </w:pPr>
            <w:r>
              <w:rPr/>
              <w:t>  </w:t>
            </w:r>
          </w:p>
        </w:tc>
        <w:tc>
          <w:tcPr>
            <w:tcW w:w="8424" w:type="dxa"/>
            <w:tcBorders/>
          </w:tcPr>
          <w:p>
            <w:pPr>
              <w:pStyle w:val="TableContents"/>
              <w:bidi w:val="0"/>
              <w:spacing w:before="0" w:after="0"/>
              <w:jc w:val="left"/>
              <w:rPr>
                <w:rFonts w:ascii="Times New Roman" w:hAnsi="Times New Roman"/>
                <w:sz w:val="20"/>
              </w:rPr>
            </w:pPr>
            <w:r>
              <w:rPr>
                <w:rFonts w:ascii="Times New Roman" w:hAnsi="Times New Roman"/>
                <w:sz w:val="20"/>
              </w:rPr>
              <w:t>GTI Core, LLC</w:t>
            </w:r>
          </w:p>
          <w:p>
            <w:pPr>
              <w:pStyle w:val="TableContents"/>
              <w:bidi w:val="0"/>
              <w:spacing w:before="0" w:after="0"/>
              <w:jc w:val="left"/>
              <w:rPr>
                <w:rFonts w:ascii="Times New Roman" w:hAnsi="Times New Roman"/>
                <w:sz w:val="20"/>
              </w:rPr>
            </w:pPr>
            <w:r>
              <w:rPr>
                <w:rFonts w:ascii="Times New Roman" w:hAnsi="Times New Roman"/>
                <w:sz w:val="20"/>
              </w:rPr>
              <w:t>c/o Green Thumb Industries Inc.</w:t>
            </w:r>
          </w:p>
          <w:p>
            <w:pPr>
              <w:pStyle w:val="TableContents"/>
              <w:bidi w:val="0"/>
              <w:spacing w:before="0" w:after="0"/>
              <w:jc w:val="left"/>
              <w:rPr>
                <w:rFonts w:ascii="Times New Roman" w:hAnsi="Times New Roman"/>
                <w:sz w:val="20"/>
              </w:rPr>
            </w:pPr>
            <w:r>
              <w:rPr>
                <w:rFonts w:ascii="Times New Roman" w:hAnsi="Times New Roman"/>
                <w:sz w:val="20"/>
              </w:rPr>
              <w:t>325 W. Huron Street, Suite 700</w:t>
            </w:r>
          </w:p>
          <w:p>
            <w:pPr>
              <w:pStyle w:val="TableContents"/>
              <w:bidi w:val="0"/>
              <w:spacing w:before="0" w:after="0"/>
              <w:jc w:val="left"/>
              <w:rPr>
                <w:rFonts w:ascii="Times New Roman" w:hAnsi="Times New Roman"/>
                <w:sz w:val="20"/>
              </w:rPr>
            </w:pPr>
            <w:r>
              <w:rPr>
                <w:rFonts w:ascii="Times New Roman" w:hAnsi="Times New Roman"/>
                <w:sz w:val="20"/>
              </w:rPr>
              <w:t>Chicago, IL 60654</w:t>
            </w:r>
          </w:p>
          <w:p>
            <w:pPr>
              <w:pStyle w:val="TableContents"/>
              <w:bidi w:val="0"/>
              <w:spacing w:before="0" w:after="0"/>
              <w:jc w:val="left"/>
              <w:rPr>
                <w:rFonts w:ascii="Times New Roman" w:hAnsi="Times New Roman"/>
                <w:sz w:val="20"/>
              </w:rPr>
            </w:pPr>
            <w:r>
              <w:rPr>
                <w:rFonts w:ascii="Times New Roman" w:hAnsi="Times New Roman"/>
                <w:sz w:val="20"/>
              </w:rPr>
              <w:t>CC:</w:t>
            </w:r>
          </w:p>
          <w:p>
            <w:pPr>
              <w:pStyle w:val="TableContents"/>
              <w:bidi w:val="0"/>
              <w:spacing w:before="0" w:after="20"/>
              <w:jc w:val="left"/>
              <w:rPr>
                <w:rFonts w:ascii="Times New Roman" w:hAnsi="Times New Roman"/>
                <w:sz w:val="20"/>
              </w:rPr>
            </w:pPr>
            <w:r>
              <w:rPr>
                <w:rFonts w:ascii="Times New Roman" w:hAnsi="Times New Roman"/>
                <w:sz w:val="20"/>
              </w:rPr>
              <w:t>Email:</w:t>
            </w:r>
          </w:p>
        </w:tc>
      </w:tr>
    </w:tbl>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u w:val="single"/>
        </w:rPr>
        <w:t>Governing Law; Venue</w:t>
      </w:r>
      <w:r>
        <w:rPr>
          <w:rFonts w:ascii="Times New Roman" w:hAnsi="Times New Roman"/>
          <w:sz w:val="20"/>
        </w:rPr>
        <w:t xml:space="preserve">. This Agreement and any claim, controversy or dispute arising out of or related to this Agreement, any of the transactions contemplated hereby, the relationship of the Parties, and/or the interpretation and enforcement of the rights and duties of the Parties, whether arising in contract, tort, equity or otherwise, shall be governed by, and construed in accordance with, the state laws of the State of Delaware (including in respect of the statute of limitations or other limitations period applicable to any such claim, controversy or dispute), without regard to any applicable principles of conflicts of law that might require the application of the laws of any other jurisdiction. Each of the Parties hereto irrevocably agrees that any legal action or proceeding arising out of or relating to this Agreement or for recognition and enforcement of any judgment in respect hereof brought by any other party or its successors or assigns may be brought and determined by the state or federal courts having jurisdiction over Cook County, Illinois, and each of the Parties hereto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The Parties hereto also hereby agree to waive the doctrine of illegality as a claim or defense in any such legal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u w:val="single"/>
        </w:rPr>
        <w:t>Construction; Headings</w:t>
      </w:r>
      <w:r>
        <w:rPr>
          <w:rFonts w:ascii="Times New Roman" w:hAnsi="Times New Roman"/>
          <w:sz w:val="20"/>
        </w:rPr>
        <w:t xml:space="preserve">. This Agreement shall, in all cases, be construed simply, according to its plain meaning, and not strictly for or against either Party. All Section and Paragraph headings contained in this Agreement are for convenience of reference only and shall not affect the construction or interpretation of this Agreement. This Agreement shall not be construed against either Party because it was drafted by the attorney representing such Party.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u w:val="single"/>
        </w:rPr>
        <w:t>Entire Agreement; Modification</w:t>
      </w:r>
      <w:r>
        <w:rPr>
          <w:rFonts w:ascii="Times New Roman" w:hAnsi="Times New Roman"/>
          <w:sz w:val="20"/>
        </w:rPr>
        <w:t xml:space="preserve">. This Agreement contains the entire agreement of the Parties with respect to the subject matter hereof. Any and all prior written or oral understandings, negotiations, representations, warranties, inducements, promises, covenants, agreements or undertakings concerning the subject matter of this Agreement not expressly set forth herein are and shall be of no force or effect. No amendments to this Agreement shall be binding unless such amendments are in writing and duly executed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u w:val="single"/>
        </w:rPr>
        <w:t>No Waiver</w:t>
      </w:r>
      <w:r>
        <w:rPr>
          <w:rFonts w:ascii="Times New Roman" w:hAnsi="Times New Roman"/>
          <w:sz w:val="20"/>
        </w:rPr>
        <w:t xml:space="preserve">. No waiver by any Party hereto of any provision of this Agreement shall operate or be construed as a waiver of any other provision, whether or not similar, nor shall any waiver constitute a continuing waiver. No waiver shall be binding unless executed in writing by the Party making the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u w:val="single"/>
        </w:rPr>
        <w:t>Severability</w:t>
      </w:r>
      <w:r>
        <w:rPr>
          <w:rFonts w:ascii="Times New Roman" w:hAnsi="Times New Roman"/>
          <w:sz w:val="20"/>
        </w:rPr>
        <w:t xml:space="preserve">. If any portion of this Agreement is declared by a court of competent jurisdiction to be invalid or unenforceable, the remainder of the terms, provisions, covenants and restrictions of this Agreement shall remain in full force and effect and shall in no way be affected, impaired or invalidated. If and to the extent that the intent of the Parties with respect to any invalid or unenforceable provision hereof can be carried out by a valid and enforceable modified version of such provision, the Parties agree that such modified version thereof shall be substituted herein for the invalid and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b/>
          <w:sz w:val="20"/>
          <w:u w:val="single"/>
        </w:rPr>
        <w:t>Confidentiality</w:t>
      </w:r>
      <w:r>
        <w:rPr>
          <w:rFonts w:ascii="Times New Roman" w:hAnsi="Times New Roman"/>
          <w:sz w:val="20"/>
        </w:rPr>
        <w:t>. To the extent that the Parties disclose any confidential or proprietary information to each other that is not generally available or known to the public, that information shall be deemed to be confidential and proprietary information (collectively the “</w:t>
      </w:r>
      <w:r>
        <w:rPr>
          <w:rFonts w:ascii="Times New Roman" w:hAnsi="Times New Roman"/>
          <w:b/>
          <w:sz w:val="20"/>
        </w:rPr>
        <w:t>Confidential Information</w:t>
      </w:r>
      <w:r>
        <w:rPr>
          <w:rFonts w:ascii="Times New Roman" w:hAnsi="Times New Roman"/>
          <w:sz w:val="20"/>
        </w:rPr>
        <w:t xml:space="preserve">”). Confidential Information shall exclude information that (i) becomes generally available or known to the public by any means except disclosure by the Party who received such Confidential Information pursuant to this Agreement, (ii) becomes available to the receiving Party from a third party and such disclosure does not violate an obligation of confidentiality owed to the disclosing Party, and (iii) is independently developed by the receiving Party without reference to Confidential Information disclosed by the disclosing Party. Each Party agrees to maintain all Confidential Information received by such Party pursuant to this Agreement in strict confidence and to refrain from making any disclosure of any such Confidential Information to any other party for so long as the Confidential Information is not generally available or known to the public. The Parties also agree to take all reasonable measures necessary to keep the Confidential Information from being (i) inadvertently disclosed to anyone, or (ii) misappropriated by another party to the detriment of disclosing Party. Notwithstanding the foregoing, the receiving Party may disclose Confidential Information to the extent that, upon advise of counsel, it is legally obligated to do so, provided that (to the extent legally permissible) the receiving Party gives prior written notice of such obligation to the disclosing Party and reasonably cooperates with any effort by the disclosing Party to limit the scope of such disclosure (at the disclosing Party’s cost).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b/>
          <w:sz w:val="20"/>
          <w:u w:val="single"/>
        </w:rPr>
        <w:t>Binding Effect</w:t>
      </w:r>
      <w:r>
        <w:rPr>
          <w:rFonts w:ascii="Times New Roman" w:hAnsi="Times New Roman"/>
          <w:sz w:val="20"/>
        </w:rPr>
        <w:t xml:space="preserve">. This Agreement shall be binding upon and shall inure to the benefit of the Parties and their respective successors, assigns, heirs, legal representatives and trustees.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b/>
          <w:sz w:val="20"/>
          <w:u w:val="single"/>
        </w:rPr>
        <w:t>Independent Parties</w:t>
      </w:r>
      <w:r>
        <w:rPr>
          <w:rFonts w:ascii="Times New Roman" w:hAnsi="Times New Roman"/>
          <w:sz w:val="20"/>
        </w:rPr>
        <w:t xml:space="preserve">. It is understood that the Parties hereto are independent contractors. This Agreement does not constitute the Parties as agents or legal representative of each other for any purpose whatsoever. The Parties do not grant any right or authority to assume or to create any obligation or responsibility, expressed or implied, on behalf of or in the name of each other or to bind each other in any matter or thing whatsoever, and shall not hold themselves out as possessing any such right or authority.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[Signatures appear on the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8"/>
        <w:gridCol w:w="106"/>
        <w:gridCol w:w="4098"/>
        <w:gridCol w:w="106"/>
        <w:gridCol w:w="381"/>
        <w:gridCol w:w="106"/>
        <w:gridCol w:w="599"/>
        <w:gridCol w:w="106"/>
        <w:gridCol w:w="4105"/>
      </w:tblGrid>
      <w:tr>
        <w:trPr/>
        <w:tc>
          <w:tcPr>
            <w:tcW w:w="59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9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4802" w:type="dxa"/>
            <w:gridSpan w:val="3"/>
            <w:tcBorders/>
          </w:tcPr>
          <w:p>
            <w:pPr>
              <w:pStyle w:val="TableContents"/>
              <w:bidi w:val="0"/>
              <w:spacing w:before="0" w:after="283"/>
              <w:jc w:val="left"/>
              <w:rPr>
                <w:b/>
              </w:rPr>
            </w:pPr>
            <w:r>
              <w:rPr>
                <w:b/>
              </w:rPr>
              <w:t>LICENSOR:</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10" w:type="dxa"/>
            <w:gridSpan w:val="3"/>
            <w:tcBorders/>
          </w:tcPr>
          <w:p>
            <w:pPr>
              <w:pStyle w:val="TableContents"/>
              <w:bidi w:val="0"/>
              <w:spacing w:before="0" w:after="283"/>
              <w:jc w:val="left"/>
              <w:rPr>
                <w:b/>
              </w:rPr>
            </w:pPr>
            <w:r>
              <w:rPr>
                <w:b/>
              </w:rPr>
              <w:t>LICENSEE:</w:t>
            </w:r>
          </w:p>
        </w:tc>
      </w:tr>
      <w:tr>
        <w:trPr>
          <w:trHeight w:val="240" w:hRule="atLeast"/>
        </w:trPr>
        <w:tc>
          <w:tcPr>
            <w:tcW w:w="4802" w:type="dxa"/>
            <w:gridSpan w:val="3"/>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4916" w:type="dxa"/>
            <w:gridSpan w:val="4"/>
            <w:tcBorders/>
            <w:vAlign w:val="center"/>
          </w:tcPr>
          <w:p>
            <w:pPr>
              <w:pStyle w:val="TableContents"/>
              <w:bidi w:val="0"/>
              <w:spacing w:before="0" w:after="283"/>
              <w:jc w:val="left"/>
              <w:rPr>
                <w:sz w:val="4"/>
                <w:szCs w:val="4"/>
              </w:rPr>
            </w:pPr>
            <w:r>
              <w:rPr>
                <w:sz w:val="4"/>
                <w:szCs w:val="4"/>
              </w:rPr>
            </w:r>
          </w:p>
        </w:tc>
      </w:tr>
      <w:tr>
        <w:trPr/>
        <w:tc>
          <w:tcPr>
            <w:tcW w:w="4802" w:type="dxa"/>
            <w:gridSpan w:val="3"/>
            <w:tcBorders/>
          </w:tcPr>
          <w:p>
            <w:pPr>
              <w:pStyle w:val="TableContents"/>
              <w:bidi w:val="0"/>
              <w:spacing w:before="0" w:after="283"/>
              <w:jc w:val="left"/>
              <w:rPr>
                <w:b/>
              </w:rPr>
            </w:pPr>
            <w:r>
              <w:rPr>
                <w:b/>
              </w:rPr>
              <w:t>VCP IP HOLDINGS, LLC</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10" w:type="dxa"/>
            <w:gridSpan w:val="3"/>
            <w:tcBorders/>
          </w:tcPr>
          <w:p>
            <w:pPr>
              <w:pStyle w:val="TableContents"/>
              <w:bidi w:val="0"/>
              <w:spacing w:before="0" w:after="283"/>
              <w:jc w:val="left"/>
              <w:rPr>
                <w:b/>
              </w:rPr>
            </w:pPr>
            <w:r>
              <w:rPr>
                <w:b/>
              </w:rPr>
              <w:t>GTI CORE, LLC</w:t>
            </w:r>
          </w:p>
        </w:tc>
      </w:tr>
      <w:tr>
        <w:trPr>
          <w:trHeight w:val="240" w:hRule="atLeast"/>
        </w:trPr>
        <w:tc>
          <w:tcPr>
            <w:tcW w:w="598" w:type="dxa"/>
            <w:tcBorders/>
            <w:vAlign w:val="center"/>
          </w:tcPr>
          <w:p>
            <w:pPr>
              <w:pStyle w:val="TableContents"/>
              <w:bidi w:val="0"/>
              <w:spacing w:before="0" w:after="283"/>
              <w:jc w:val="left"/>
              <w:rPr>
                <w:sz w:val="4"/>
                <w:szCs w:val="4"/>
              </w:rPr>
            </w:pPr>
            <w:r>
              <w:rPr>
                <w:sz w:val="4"/>
                <w:szCs w:val="4"/>
              </w:rPr>
            </w:r>
          </w:p>
        </w:tc>
        <w:tc>
          <w:tcPr>
            <w:tcW w:w="4204" w:type="dxa"/>
            <w:gridSpan w:val="2"/>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705" w:type="dxa"/>
            <w:gridSpan w:val="2"/>
            <w:tcBorders/>
            <w:vAlign w:val="center"/>
          </w:tcPr>
          <w:p>
            <w:pPr>
              <w:pStyle w:val="TableContents"/>
              <w:bidi w:val="0"/>
              <w:spacing w:before="0" w:after="283"/>
              <w:jc w:val="left"/>
              <w:rPr>
                <w:sz w:val="4"/>
                <w:szCs w:val="4"/>
              </w:rPr>
            </w:pPr>
            <w:r>
              <w:rPr>
                <w:sz w:val="4"/>
                <w:szCs w:val="4"/>
              </w:rPr>
            </w:r>
          </w:p>
        </w:tc>
        <w:tc>
          <w:tcPr>
            <w:tcW w:w="4211"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98" w:type="dxa"/>
            <w:tcBorders>
              <w:bottom w:val="single" w:sz="2" w:space="0" w:color="000000"/>
            </w:tcBorders>
            <w:tcMar>
              <w:bottom w:w="28" w:type="dxa"/>
            </w:tcMar>
          </w:tcPr>
          <w:p>
            <w:pPr>
              <w:pStyle w:val="TableContents"/>
              <w:bidi w:val="0"/>
              <w:spacing w:before="0" w:after="283"/>
              <w:jc w:val="left"/>
              <w:rPr/>
            </w:pPr>
            <w:r>
              <w:rPr/>
              <w:t>/s/ Anthony Georgiadis</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105" w:type="dxa"/>
            <w:tcBorders>
              <w:bottom w:val="single" w:sz="2" w:space="0" w:color="000000"/>
            </w:tcBorders>
            <w:tcMar>
              <w:bottom w:w="28" w:type="dxa"/>
            </w:tcMar>
          </w:tcPr>
          <w:p>
            <w:pPr>
              <w:pStyle w:val="TableContents"/>
              <w:bidi w:val="0"/>
              <w:spacing w:before="0" w:after="283"/>
              <w:jc w:val="left"/>
              <w:rPr/>
            </w:pPr>
            <w:r>
              <w:rPr/>
              <w:t>/s/ Anthony Georgiadis</w:t>
            </w:r>
          </w:p>
        </w:tc>
      </w:tr>
      <w:tr>
        <w:trPr/>
        <w:tc>
          <w:tcPr>
            <w:tcW w:w="598"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098" w:type="dxa"/>
            <w:tcBorders/>
          </w:tcPr>
          <w:p>
            <w:pPr>
              <w:pStyle w:val="TableContents"/>
              <w:bidi w:val="0"/>
              <w:spacing w:before="0" w:after="283"/>
              <w:jc w:val="left"/>
              <w:rPr/>
            </w:pPr>
            <w:r>
              <w:rPr/>
              <w:t>Anthony Georgiadis</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105" w:type="dxa"/>
            <w:tcBorders/>
            <w:vAlign w:val="bottom"/>
          </w:tcPr>
          <w:p>
            <w:pPr>
              <w:pStyle w:val="TableContents"/>
              <w:bidi w:val="0"/>
              <w:spacing w:before="0" w:after="283"/>
              <w:jc w:val="left"/>
              <w:rPr/>
            </w:pPr>
            <w:r>
              <w:rPr/>
              <w:t>Anthony Georgiadis</w:t>
            </w:r>
          </w:p>
        </w:tc>
      </w:tr>
      <w:tr>
        <w:trPr/>
        <w:tc>
          <w:tcPr>
            <w:tcW w:w="598"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098" w:type="dxa"/>
            <w:tcBorders/>
          </w:tcPr>
          <w:p>
            <w:pPr>
              <w:pStyle w:val="TableContents"/>
              <w:bidi w:val="0"/>
              <w:spacing w:before="0" w:after="283"/>
              <w:jc w:val="left"/>
              <w:rPr/>
            </w:pPr>
            <w:r>
              <w:rPr/>
              <w:t>Authorized Signatory</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105"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CONSIDERATION </w:t>
      </w:r>
    </w:p>
    <w:p>
      <w:pPr>
        <w:pStyle w:val="TextBody"/>
        <w:bidi w:val="0"/>
        <w:spacing w:before="240" w:after="0"/>
        <w:jc w:val="left"/>
        <w:rPr>
          <w:rFonts w:ascii="Times New Roman" w:hAnsi="Times New Roman"/>
          <w:sz w:val="20"/>
        </w:rPr>
      </w:pPr>
      <w:r>
        <w:rPr>
          <w:rFonts w:ascii="Times New Roman" w:hAnsi="Times New Roman"/>
          <w:sz w:val="20"/>
        </w:rPr>
        <w:t>Consideration for the transactions contemplated under this Agreement shall be in the form of monthly fees, calculated as a percentage of Net Revenue (as defined below) generated from Licensee’s use of the Trademarks and the Recipes in connection with the Licensed Services, payable in cash. Within 30 days following the end of each calendar month, Licensee will include a statement that sets forth in reasonable detail a calculation of any fees due to Licensor with respect to such calendar month (the “</w:t>
      </w:r>
      <w:r>
        <w:rPr>
          <w:rFonts w:ascii="Times New Roman" w:hAnsi="Times New Roman"/>
          <w:b/>
          <w:sz w:val="20"/>
        </w:rPr>
        <w:t>Calculation Statement</w:t>
      </w:r>
      <w:r>
        <w:rPr>
          <w:rFonts w:ascii="Times New Roman" w:hAnsi="Times New Roman"/>
          <w:sz w:val="20"/>
        </w:rPr>
        <w:t>”). “</w:t>
      </w:r>
      <w:r>
        <w:rPr>
          <w:rFonts w:ascii="Times New Roman" w:hAnsi="Times New Roman"/>
          <w:b/>
          <w:sz w:val="20"/>
        </w:rPr>
        <w:t>Net Revenue</w:t>
      </w:r>
      <w:r>
        <w:rPr>
          <w:rFonts w:ascii="Times New Roman" w:hAnsi="Times New Roman"/>
          <w:sz w:val="20"/>
        </w:rPr>
        <w:t>” shall mean (i) total sales made to Customers (defined below), reduced for discounts, returns, and allowances related to those sales, commencing November 1, 2025, and (ii) any revenue received from sublicensing rights granted under Section 1 of this Agreement, commencing November 1, 2025. “</w:t>
      </w:r>
      <w:r>
        <w:rPr>
          <w:rFonts w:ascii="Times New Roman" w:hAnsi="Times New Roman"/>
          <w:b/>
          <w:sz w:val="20"/>
        </w:rPr>
        <w:t>Customers</w:t>
      </w:r>
      <w:r>
        <w:rPr>
          <w:rFonts w:ascii="Times New Roman" w:hAnsi="Times New Roman"/>
          <w:sz w:val="20"/>
        </w:rPr>
        <w:t>” shall mean all customers of the Licensee, including (a) third party wholesale customers and (b) in the case of products which would constitute Licensed Services and are sold or transferred by Licensee’s production facilities to Licensee’s retail locations (“</w:t>
      </w:r>
      <w:r>
        <w:rPr>
          <w:rFonts w:ascii="Times New Roman" w:hAnsi="Times New Roman"/>
          <w:b/>
          <w:sz w:val="20"/>
        </w:rPr>
        <w:t>Retail Products</w:t>
      </w:r>
      <w:r>
        <w:rPr>
          <w:rFonts w:ascii="Times New Roman" w:hAnsi="Times New Roman"/>
          <w:sz w:val="20"/>
        </w:rPr>
        <w:t xml:space="preserve">”), third party retail customers. For the avoidance of doubt, the consideration for Retail Products shall be calculated based on the internal transfer price applicable to such transaction, provided that such internal transfer price reflects true arm’s length pricing and is substantially equivalent to the price at which Licensee sells the same or comparable products to unaffiliated third parties in similar quantities and under similar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percentage of Net Revenue used to calculate the monthly fees with respect to products bearing the &amp;SHINE, AGL, Dharma, Dharma Pharmaceuticals and Leafline Trademark shall be as set forth in the schedule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1988"/>
        <w:gridCol w:w="308"/>
        <w:gridCol w:w="4643"/>
      </w:tblGrid>
      <w:tr>
        <w:trPr/>
        <w:tc>
          <w:tcPr>
            <w:tcW w:w="1988"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4643" w:type="dxa"/>
            <w:tcBorders/>
            <w:vAlign w:val="center"/>
          </w:tcPr>
          <w:p>
            <w:pPr>
              <w:pStyle w:val="TableContents"/>
              <w:bidi w:val="0"/>
              <w:spacing w:before="0" w:after="283"/>
              <w:jc w:val="left"/>
              <w:rPr>
                <w:sz w:val="4"/>
                <w:szCs w:val="4"/>
              </w:rPr>
            </w:pPr>
            <w:r>
              <w:rPr>
                <w:sz w:val="4"/>
                <w:szCs w:val="4"/>
              </w:rPr>
            </w:r>
          </w:p>
        </w:tc>
      </w:tr>
      <w:tr>
        <w:trPr/>
        <w:tc>
          <w:tcPr>
            <w:tcW w:w="198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Period</w:t>
            </w:r>
          </w:p>
        </w:tc>
        <w:tc>
          <w:tcPr>
            <w:tcW w:w="308" w:type="dxa"/>
            <w:tcBorders/>
            <w:vAlign w:val="bottom"/>
          </w:tcPr>
          <w:p>
            <w:pPr>
              <w:pStyle w:val="TableContents"/>
              <w:bidi w:val="0"/>
              <w:spacing w:before="0" w:after="283"/>
              <w:jc w:val="left"/>
              <w:rPr/>
            </w:pPr>
            <w:r>
              <w:rPr/>
              <w:t>  </w:t>
            </w:r>
          </w:p>
        </w:tc>
        <w:tc>
          <w:tcPr>
            <w:tcW w:w="4643" w:type="dxa"/>
            <w:tcBorders>
              <w:bottom w:val="single" w:sz="8" w:space="0" w:color="000000"/>
            </w:tcBorders>
            <w:tcMar>
              <w:bottom w:w="28" w:type="dxa"/>
            </w:tcMar>
            <w:vAlign w:val="bottom"/>
          </w:tcPr>
          <w:p>
            <w:pPr>
              <w:pStyle w:val="TableContents"/>
              <w:bidi w:val="0"/>
              <w:spacing w:before="0" w:after="283"/>
              <w:jc w:val="left"/>
              <w:rPr>
                <w:b/>
              </w:rPr>
            </w:pPr>
            <w:r>
              <w:rPr>
                <w:b/>
              </w:rPr>
              <w:t>Consideration (Percentage % of Net Revenue)</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 2025 – December 31, 2026</w:t>
            </w:r>
          </w:p>
        </w:tc>
        <w:tc>
          <w:tcPr>
            <w:tcW w:w="308" w:type="dxa"/>
            <w:tcBorders/>
            <w:shd w:fill="CCEEFF" w:val="clear"/>
            <w:vAlign w:val="bottom"/>
          </w:tcPr>
          <w:p>
            <w:pPr>
              <w:pStyle w:val="TableContents"/>
              <w:bidi w:val="0"/>
              <w:spacing w:before="0" w:after="283"/>
              <w:jc w:val="left"/>
              <w:rPr/>
            </w:pPr>
            <w:r>
              <w:rPr/>
              <w:t>  </w:t>
            </w:r>
          </w:p>
        </w:tc>
        <w:tc>
          <w:tcPr>
            <w:tcW w:w="4643" w:type="dxa"/>
            <w:tcBorders/>
            <w:shd w:fill="CCEEFF" w:val="clear"/>
            <w:vAlign w:val="bottom"/>
          </w:tcPr>
          <w:p>
            <w:pPr>
              <w:pStyle w:val="TableContents"/>
              <w:bidi w:val="0"/>
              <w:spacing w:before="0" w:after="283"/>
              <w:jc w:val="center"/>
              <w:rPr/>
            </w:pPr>
            <w:r>
              <w:rPr/>
              <w:t>6%</w:t>
            </w:r>
          </w:p>
        </w:tc>
      </w:tr>
      <w:tr>
        <w:trPr/>
        <w:tc>
          <w:tcPr>
            <w:tcW w:w="1988" w:type="dxa"/>
            <w:tcBorders/>
          </w:tcPr>
          <w:p>
            <w:pPr>
              <w:pStyle w:val="TableContents"/>
              <w:bidi w:val="0"/>
              <w:spacing w:before="0" w:after="0"/>
              <w:jc w:val="left"/>
              <w:rPr>
                <w:rFonts w:ascii="Times New Roman" w:hAnsi="Times New Roman"/>
                <w:sz w:val="20"/>
              </w:rPr>
            </w:pPr>
            <w:r>
              <w:rPr>
                <w:rFonts w:ascii="Times New Roman" w:hAnsi="Times New Roman"/>
                <w:sz w:val="20"/>
              </w:rPr>
              <w:t>January 1, 2027 – December 31, 2027</w:t>
            </w:r>
          </w:p>
        </w:tc>
        <w:tc>
          <w:tcPr>
            <w:tcW w:w="308" w:type="dxa"/>
            <w:tcBorders/>
            <w:vAlign w:val="bottom"/>
          </w:tcPr>
          <w:p>
            <w:pPr>
              <w:pStyle w:val="TableContents"/>
              <w:bidi w:val="0"/>
              <w:spacing w:before="0" w:after="283"/>
              <w:jc w:val="left"/>
              <w:rPr/>
            </w:pPr>
            <w:r>
              <w:rPr/>
              <w:t>  </w:t>
            </w:r>
          </w:p>
        </w:tc>
        <w:tc>
          <w:tcPr>
            <w:tcW w:w="4643" w:type="dxa"/>
            <w:tcBorders/>
            <w:vAlign w:val="bottom"/>
          </w:tcPr>
          <w:p>
            <w:pPr>
              <w:pStyle w:val="TableContents"/>
              <w:bidi w:val="0"/>
              <w:spacing w:before="0" w:after="283"/>
              <w:jc w:val="center"/>
              <w:rPr/>
            </w:pPr>
            <w:r>
              <w:rPr/>
              <w:t>6%</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 2028 – December 31, 2028</w:t>
            </w:r>
          </w:p>
        </w:tc>
        <w:tc>
          <w:tcPr>
            <w:tcW w:w="308" w:type="dxa"/>
            <w:tcBorders/>
            <w:shd w:fill="CCEEFF" w:val="clear"/>
            <w:vAlign w:val="bottom"/>
          </w:tcPr>
          <w:p>
            <w:pPr>
              <w:pStyle w:val="TableContents"/>
              <w:bidi w:val="0"/>
              <w:spacing w:before="0" w:after="283"/>
              <w:jc w:val="left"/>
              <w:rPr/>
            </w:pPr>
            <w:r>
              <w:rPr/>
              <w:t>  </w:t>
            </w:r>
          </w:p>
        </w:tc>
        <w:tc>
          <w:tcPr>
            <w:tcW w:w="4643" w:type="dxa"/>
            <w:tcBorders/>
            <w:shd w:fill="CCEEFF" w:val="clear"/>
            <w:vAlign w:val="bottom"/>
          </w:tcPr>
          <w:p>
            <w:pPr>
              <w:pStyle w:val="TableContents"/>
              <w:bidi w:val="0"/>
              <w:spacing w:before="0" w:after="283"/>
              <w:jc w:val="center"/>
              <w:rPr/>
            </w:pPr>
            <w:r>
              <w:rPr/>
              <w:t>8%</w:t>
            </w:r>
          </w:p>
        </w:tc>
      </w:tr>
      <w:tr>
        <w:trPr/>
        <w:tc>
          <w:tcPr>
            <w:tcW w:w="1988" w:type="dxa"/>
            <w:tcBorders/>
          </w:tcPr>
          <w:p>
            <w:pPr>
              <w:pStyle w:val="TableContents"/>
              <w:bidi w:val="0"/>
              <w:spacing w:before="0" w:after="0"/>
              <w:jc w:val="left"/>
              <w:rPr>
                <w:rFonts w:ascii="Times New Roman" w:hAnsi="Times New Roman"/>
                <w:sz w:val="20"/>
              </w:rPr>
            </w:pPr>
            <w:r>
              <w:rPr>
                <w:rFonts w:ascii="Times New Roman" w:hAnsi="Times New Roman"/>
                <w:sz w:val="20"/>
              </w:rPr>
              <w:t>January 1, 2029 – December 31, 2029</w:t>
            </w:r>
          </w:p>
        </w:tc>
        <w:tc>
          <w:tcPr>
            <w:tcW w:w="308" w:type="dxa"/>
            <w:tcBorders/>
            <w:vAlign w:val="bottom"/>
          </w:tcPr>
          <w:p>
            <w:pPr>
              <w:pStyle w:val="TableContents"/>
              <w:bidi w:val="0"/>
              <w:spacing w:before="0" w:after="283"/>
              <w:jc w:val="left"/>
              <w:rPr/>
            </w:pPr>
            <w:r>
              <w:rPr/>
              <w:t>  </w:t>
            </w:r>
          </w:p>
        </w:tc>
        <w:tc>
          <w:tcPr>
            <w:tcW w:w="4643" w:type="dxa"/>
            <w:tcBorders/>
            <w:vAlign w:val="bottom"/>
          </w:tcPr>
          <w:p>
            <w:pPr>
              <w:pStyle w:val="TableContents"/>
              <w:bidi w:val="0"/>
              <w:spacing w:before="0" w:after="283"/>
              <w:jc w:val="center"/>
              <w:rPr/>
            </w:pPr>
            <w:r>
              <w:rPr/>
              <w:t>10%</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 2030 and on</w:t>
            </w:r>
          </w:p>
        </w:tc>
        <w:tc>
          <w:tcPr>
            <w:tcW w:w="308" w:type="dxa"/>
            <w:tcBorders/>
            <w:shd w:fill="CCEEFF" w:val="clear"/>
            <w:vAlign w:val="bottom"/>
          </w:tcPr>
          <w:p>
            <w:pPr>
              <w:pStyle w:val="TableContents"/>
              <w:bidi w:val="0"/>
              <w:spacing w:before="0" w:after="283"/>
              <w:jc w:val="left"/>
              <w:rPr/>
            </w:pPr>
            <w:r>
              <w:rPr/>
              <w:t>  </w:t>
            </w:r>
          </w:p>
        </w:tc>
        <w:tc>
          <w:tcPr>
            <w:tcW w:w="4643" w:type="dxa"/>
            <w:tcBorders/>
            <w:shd w:fill="CCEEFF" w:val="clear"/>
            <w:vAlign w:val="bottom"/>
          </w:tcPr>
          <w:p>
            <w:pPr>
              <w:pStyle w:val="TableContents"/>
              <w:bidi w:val="0"/>
              <w:spacing w:before="0" w:after="283"/>
              <w:jc w:val="center"/>
              <w:rPr/>
            </w:pPr>
            <w:r>
              <w:rPr/>
              <w:t>12%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percentage of Net Revenue used to calculate the monthly fees with respect to all other products shall be as set forth in the schedule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1988"/>
        <w:gridCol w:w="308"/>
        <w:gridCol w:w="4643"/>
      </w:tblGrid>
      <w:tr>
        <w:trPr/>
        <w:tc>
          <w:tcPr>
            <w:tcW w:w="1988"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4643" w:type="dxa"/>
            <w:tcBorders/>
            <w:vAlign w:val="center"/>
          </w:tcPr>
          <w:p>
            <w:pPr>
              <w:pStyle w:val="TableContents"/>
              <w:bidi w:val="0"/>
              <w:spacing w:before="0" w:after="283"/>
              <w:jc w:val="left"/>
              <w:rPr>
                <w:sz w:val="4"/>
                <w:szCs w:val="4"/>
              </w:rPr>
            </w:pPr>
            <w:r>
              <w:rPr>
                <w:sz w:val="4"/>
                <w:szCs w:val="4"/>
              </w:rPr>
            </w:r>
          </w:p>
        </w:tc>
      </w:tr>
      <w:tr>
        <w:trPr/>
        <w:tc>
          <w:tcPr>
            <w:tcW w:w="198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Period</w:t>
            </w:r>
          </w:p>
        </w:tc>
        <w:tc>
          <w:tcPr>
            <w:tcW w:w="308" w:type="dxa"/>
            <w:tcBorders/>
            <w:vAlign w:val="bottom"/>
          </w:tcPr>
          <w:p>
            <w:pPr>
              <w:pStyle w:val="TableContents"/>
              <w:bidi w:val="0"/>
              <w:spacing w:before="0" w:after="283"/>
              <w:jc w:val="left"/>
              <w:rPr/>
            </w:pPr>
            <w:r>
              <w:rPr/>
              <w:t>  </w:t>
            </w:r>
          </w:p>
        </w:tc>
        <w:tc>
          <w:tcPr>
            <w:tcW w:w="4643" w:type="dxa"/>
            <w:tcBorders>
              <w:bottom w:val="single" w:sz="8" w:space="0" w:color="000000"/>
            </w:tcBorders>
            <w:tcMar>
              <w:bottom w:w="28" w:type="dxa"/>
            </w:tcMar>
            <w:vAlign w:val="bottom"/>
          </w:tcPr>
          <w:p>
            <w:pPr>
              <w:pStyle w:val="TableContents"/>
              <w:bidi w:val="0"/>
              <w:spacing w:before="0" w:after="283"/>
              <w:jc w:val="left"/>
              <w:rPr>
                <w:b/>
              </w:rPr>
            </w:pPr>
            <w:r>
              <w:rPr>
                <w:b/>
              </w:rPr>
              <w:t>Consideration (Percentage % of Net Revenue)</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 2025 – December 31, 2026</w:t>
            </w:r>
          </w:p>
        </w:tc>
        <w:tc>
          <w:tcPr>
            <w:tcW w:w="308" w:type="dxa"/>
            <w:tcBorders/>
            <w:shd w:fill="CCEEFF" w:val="clear"/>
            <w:vAlign w:val="bottom"/>
          </w:tcPr>
          <w:p>
            <w:pPr>
              <w:pStyle w:val="TableContents"/>
              <w:bidi w:val="0"/>
              <w:spacing w:before="0" w:after="283"/>
              <w:jc w:val="left"/>
              <w:rPr/>
            </w:pPr>
            <w:r>
              <w:rPr/>
              <w:t>  </w:t>
            </w:r>
          </w:p>
        </w:tc>
        <w:tc>
          <w:tcPr>
            <w:tcW w:w="4643" w:type="dxa"/>
            <w:tcBorders/>
            <w:shd w:fill="CCEEFF" w:val="clear"/>
            <w:vAlign w:val="bottom"/>
          </w:tcPr>
          <w:p>
            <w:pPr>
              <w:pStyle w:val="TableContents"/>
              <w:bidi w:val="0"/>
              <w:spacing w:before="0" w:after="283"/>
              <w:jc w:val="center"/>
              <w:rPr/>
            </w:pPr>
            <w:r>
              <w:rPr/>
              <w:t>6%</w:t>
            </w:r>
          </w:p>
        </w:tc>
      </w:tr>
      <w:tr>
        <w:trPr/>
        <w:tc>
          <w:tcPr>
            <w:tcW w:w="1988" w:type="dxa"/>
            <w:tcBorders/>
          </w:tcPr>
          <w:p>
            <w:pPr>
              <w:pStyle w:val="TableContents"/>
              <w:bidi w:val="0"/>
              <w:spacing w:before="0" w:after="0"/>
              <w:jc w:val="left"/>
              <w:rPr>
                <w:rFonts w:ascii="Times New Roman" w:hAnsi="Times New Roman"/>
                <w:sz w:val="20"/>
              </w:rPr>
            </w:pPr>
            <w:r>
              <w:rPr>
                <w:rFonts w:ascii="Times New Roman" w:hAnsi="Times New Roman"/>
                <w:sz w:val="20"/>
              </w:rPr>
              <w:t>January 1, 2027 – December 31, 2027</w:t>
            </w:r>
          </w:p>
        </w:tc>
        <w:tc>
          <w:tcPr>
            <w:tcW w:w="308" w:type="dxa"/>
            <w:tcBorders/>
            <w:vAlign w:val="bottom"/>
          </w:tcPr>
          <w:p>
            <w:pPr>
              <w:pStyle w:val="TableContents"/>
              <w:bidi w:val="0"/>
              <w:spacing w:before="0" w:after="283"/>
              <w:jc w:val="left"/>
              <w:rPr/>
            </w:pPr>
            <w:r>
              <w:rPr/>
              <w:t>  </w:t>
            </w:r>
          </w:p>
        </w:tc>
        <w:tc>
          <w:tcPr>
            <w:tcW w:w="4643" w:type="dxa"/>
            <w:tcBorders/>
            <w:vAlign w:val="bottom"/>
          </w:tcPr>
          <w:p>
            <w:pPr>
              <w:pStyle w:val="TableContents"/>
              <w:bidi w:val="0"/>
              <w:spacing w:before="0" w:after="283"/>
              <w:jc w:val="center"/>
              <w:rPr/>
            </w:pPr>
            <w:r>
              <w:rPr/>
              <w:t>9%</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 2028 – December 31, 2028</w:t>
            </w:r>
          </w:p>
        </w:tc>
        <w:tc>
          <w:tcPr>
            <w:tcW w:w="308" w:type="dxa"/>
            <w:tcBorders/>
            <w:shd w:fill="CCEEFF" w:val="clear"/>
            <w:vAlign w:val="bottom"/>
          </w:tcPr>
          <w:p>
            <w:pPr>
              <w:pStyle w:val="TableContents"/>
              <w:bidi w:val="0"/>
              <w:spacing w:before="0" w:after="283"/>
              <w:jc w:val="left"/>
              <w:rPr/>
            </w:pPr>
            <w:r>
              <w:rPr/>
              <w:t>  </w:t>
            </w:r>
          </w:p>
        </w:tc>
        <w:tc>
          <w:tcPr>
            <w:tcW w:w="4643" w:type="dxa"/>
            <w:tcBorders/>
            <w:shd w:fill="CCEEFF" w:val="clear"/>
            <w:vAlign w:val="bottom"/>
          </w:tcPr>
          <w:p>
            <w:pPr>
              <w:pStyle w:val="TableContents"/>
              <w:bidi w:val="0"/>
              <w:spacing w:before="0" w:after="283"/>
              <w:jc w:val="center"/>
              <w:rPr/>
            </w:pPr>
            <w:r>
              <w:rPr/>
              <w:t>12%</w:t>
            </w:r>
          </w:p>
        </w:tc>
      </w:tr>
      <w:tr>
        <w:trPr/>
        <w:tc>
          <w:tcPr>
            <w:tcW w:w="1988" w:type="dxa"/>
            <w:tcBorders/>
          </w:tcPr>
          <w:p>
            <w:pPr>
              <w:pStyle w:val="TableContents"/>
              <w:bidi w:val="0"/>
              <w:spacing w:before="0" w:after="0"/>
              <w:jc w:val="left"/>
              <w:rPr>
                <w:rFonts w:ascii="Times New Roman" w:hAnsi="Times New Roman"/>
                <w:sz w:val="20"/>
              </w:rPr>
            </w:pPr>
            <w:r>
              <w:rPr>
                <w:rFonts w:ascii="Times New Roman" w:hAnsi="Times New Roman"/>
                <w:sz w:val="20"/>
              </w:rPr>
              <w:t>January 1, 2029 – December 31, 2029</w:t>
            </w:r>
          </w:p>
        </w:tc>
        <w:tc>
          <w:tcPr>
            <w:tcW w:w="308" w:type="dxa"/>
            <w:tcBorders/>
            <w:vAlign w:val="bottom"/>
          </w:tcPr>
          <w:p>
            <w:pPr>
              <w:pStyle w:val="TableContents"/>
              <w:bidi w:val="0"/>
              <w:spacing w:before="0" w:after="283"/>
              <w:jc w:val="left"/>
              <w:rPr/>
            </w:pPr>
            <w:r>
              <w:rPr/>
              <w:t>  </w:t>
            </w:r>
          </w:p>
        </w:tc>
        <w:tc>
          <w:tcPr>
            <w:tcW w:w="4643" w:type="dxa"/>
            <w:tcBorders/>
            <w:vAlign w:val="bottom"/>
          </w:tcPr>
          <w:p>
            <w:pPr>
              <w:pStyle w:val="TableContents"/>
              <w:bidi w:val="0"/>
              <w:spacing w:before="0" w:after="283"/>
              <w:jc w:val="center"/>
              <w:rPr/>
            </w:pPr>
            <w:r>
              <w:rPr/>
              <w:t>15%</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 2030 and on</w:t>
            </w:r>
          </w:p>
        </w:tc>
        <w:tc>
          <w:tcPr>
            <w:tcW w:w="308" w:type="dxa"/>
            <w:tcBorders/>
            <w:shd w:fill="CCEEFF" w:val="clear"/>
            <w:vAlign w:val="bottom"/>
          </w:tcPr>
          <w:p>
            <w:pPr>
              <w:pStyle w:val="TableContents"/>
              <w:bidi w:val="0"/>
              <w:spacing w:before="0" w:after="283"/>
              <w:jc w:val="left"/>
              <w:rPr/>
            </w:pPr>
            <w:r>
              <w:rPr/>
              <w:t>  </w:t>
            </w:r>
          </w:p>
        </w:tc>
        <w:tc>
          <w:tcPr>
            <w:tcW w:w="4643" w:type="dxa"/>
            <w:tcBorders/>
            <w:shd w:fill="CCEEFF" w:val="clear"/>
            <w:vAlign w:val="bottom"/>
          </w:tcPr>
          <w:p>
            <w:pPr>
              <w:pStyle w:val="TableContents"/>
              <w:bidi w:val="0"/>
              <w:spacing w:before="0" w:after="283"/>
              <w:jc w:val="center"/>
              <w:rPr/>
            </w:pPr>
            <w:r>
              <w:rPr/>
              <w:t>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right"/>
        <w:rPr>
          <w:rFonts w:ascii="Times New Roman" w:hAnsi="Times New Roman"/>
          <w:b/>
          <w:sz w:val="20"/>
        </w:rPr>
      </w:pPr>
      <w:bookmarkStart w:id="6" w:name="d65517dex103.htm"/>
      <w:bookmarkStart w:id="7" w:name="ksd65517dex103"/>
      <w:bookmarkEnd w:id="6"/>
      <w:bookmarkEnd w:id="7"/>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AGRIFY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Secured Convertible Note due 2027 </w:t>
      </w:r>
    </w:p>
    <w:p>
      <w:pPr>
        <w:pStyle w:val="TextBody"/>
        <w:bidi w:val="0"/>
        <w:spacing w:before="240" w:after="0"/>
        <w:jc w:val="left"/>
        <w:rPr>
          <w:rFonts w:ascii="Times New Roman" w:hAnsi="Times New Roman"/>
          <w:sz w:val="20"/>
        </w:rPr>
      </w:pPr>
      <w:r>
        <w:rPr>
          <w:rFonts w:ascii="Times New Roman" w:hAnsi="Times New Roman"/>
          <w:sz w:val="20"/>
        </w:rPr>
        <w:t xml:space="preserve">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SIX (6) MONTHS AFTER AUGUST 25, 2025,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AGRIFY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Secured Convertible Note due 2027 </w:t>
      </w:r>
    </w:p>
    <w:p>
      <w:pPr>
        <w:pStyle w:val="TextBody"/>
        <w:bidi w:val="0"/>
        <w:spacing w:before="240" w:after="0"/>
        <w:jc w:val="left"/>
        <w:rPr>
          <w:rFonts w:ascii="Times New Roman" w:hAnsi="Times New Roman"/>
          <w:sz w:val="20"/>
        </w:rPr>
      </w:pPr>
      <w:r>
        <w:rPr>
          <w:rFonts w:ascii="Times New Roman" w:hAnsi="Times New Roman"/>
          <w:sz w:val="20"/>
        </w:rPr>
        <w:t xml:space="preserve">Certificate No. F-__ </w:t>
      </w:r>
    </w:p>
    <w:p>
      <w:pPr>
        <w:pStyle w:val="TextBody"/>
        <w:bidi w:val="0"/>
        <w:spacing w:before="240" w:after="0"/>
        <w:jc w:val="left"/>
        <w:rPr>
          <w:rFonts w:ascii="Times New Roman" w:hAnsi="Times New Roman"/>
          <w:sz w:val="20"/>
        </w:rPr>
      </w:pPr>
      <w:r>
        <w:rPr>
          <w:rFonts w:ascii="Times New Roman" w:hAnsi="Times New Roman"/>
          <w:sz w:val="20"/>
        </w:rPr>
        <w:t>Agrify Corporation, a Nevada corporation (the “</w:t>
      </w:r>
      <w:r>
        <w:rPr>
          <w:rFonts w:ascii="Times New Roman" w:hAnsi="Times New Roman"/>
          <w:b/>
          <w:sz w:val="20"/>
        </w:rPr>
        <w:t>Company</w:t>
      </w:r>
      <w:r>
        <w:rPr>
          <w:rFonts w:ascii="Times New Roman" w:hAnsi="Times New Roman"/>
          <w:sz w:val="20"/>
        </w:rPr>
        <w:t>”), for value received, promises to pay to __________, a ________________ (“</w:t>
      </w:r>
      <w:r>
        <w:rPr>
          <w:rFonts w:ascii="Times New Roman" w:hAnsi="Times New Roman"/>
          <w:b/>
          <w:sz w:val="20"/>
        </w:rPr>
        <w:t>Lender</w:t>
      </w:r>
      <w:r>
        <w:rPr>
          <w:rFonts w:ascii="Times New Roman" w:hAnsi="Times New Roman"/>
          <w:sz w:val="20"/>
        </w:rPr>
        <w:t>”), or its registered assigns, the principal sum of up to ______________ Dollars ($_________________) (such principal sum, the “</w:t>
      </w:r>
      <w:r>
        <w:rPr>
          <w:rFonts w:ascii="Times New Roman" w:hAnsi="Times New Roman"/>
          <w:b/>
          <w:sz w:val="20"/>
        </w:rPr>
        <w:t>Principal Amount</w:t>
      </w:r>
      <w:r>
        <w:rPr>
          <w:rFonts w:ascii="Times New Roman" w:hAnsi="Times New Roman"/>
          <w:sz w:val="20"/>
        </w:rPr>
        <w:t xml:space="preserve">”) on February 25, 2027, and to pay any outstanding interest thereon, as provided in this Note, in each case as provided in and subject to the other provisions of this Note, including the earlier redemption, repurchase or conversion of this Note. </w:t>
      </w:r>
    </w:p>
    <w:p>
      <w:pPr>
        <w:pStyle w:val="TextBody"/>
        <w:bidi w:val="0"/>
        <w:spacing w:before="240" w:after="0"/>
        <w:jc w:val="left"/>
        <w:rPr>
          <w:rFonts w:ascii="Times New Roman" w:hAnsi="Times New Roman"/>
          <w:sz w:val="20"/>
        </w:rPr>
      </w:pPr>
      <w:r>
        <w:rPr>
          <w:rFonts w:ascii="Times New Roman" w:hAnsi="Times New Roman"/>
          <w:sz w:val="20"/>
        </w:rPr>
        <w:t xml:space="preserve">Additional provisions of this Note are set forth on the other side of this Note.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b/>
          <w:i/>
          <w:sz w:val="20"/>
        </w:rPr>
        <w:t>The Remainder of This Page Intentionally Left Blank; Signature Page Follows</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Agrify Corporation has caused this instrument to be duly executed as of the date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0"/>
        <w:gridCol w:w="108"/>
        <w:gridCol w:w="394"/>
        <w:gridCol w:w="108"/>
        <w:gridCol w:w="599"/>
        <w:gridCol w:w="108"/>
        <w:gridCol w:w="4488"/>
      </w:tblGrid>
      <w:tr>
        <w:trPr/>
        <w:tc>
          <w:tcPr>
            <w:tcW w:w="44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88" w:type="dxa"/>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95" w:type="dxa"/>
            <w:gridSpan w:val="3"/>
            <w:tcBorders/>
          </w:tcPr>
          <w:p>
            <w:pPr>
              <w:pStyle w:val="TableContents"/>
              <w:bidi w:val="0"/>
              <w:spacing w:before="0" w:after="283"/>
              <w:jc w:val="left"/>
              <w:rPr/>
            </w:pPr>
            <w:r>
              <w:rPr/>
              <w:t>A</w:t>
            </w:r>
            <w:r>
              <w:rPr>
                <w:sz w:val="20"/>
              </w:rPr>
              <w:t>GRIFY</w:t>
            </w:r>
            <w:r>
              <w:rPr/>
              <w:t xml:space="preserve"> C</w:t>
            </w:r>
            <w:r>
              <w:rPr>
                <w:sz w:val="20"/>
              </w:rPr>
              <w:t>ORPORATION</w:t>
            </w:r>
          </w:p>
        </w:tc>
      </w:tr>
      <w:tr>
        <w:trPr>
          <w:trHeight w:val="240" w:hRule="atLeast"/>
        </w:trPr>
        <w:tc>
          <w:tcPr>
            <w:tcW w:w="4400"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t>Date: August 25, 2025</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88" w:type="dxa"/>
            <w:tcBorders>
              <w:bottom w:val="single" w:sz="2" w:space="0" w:color="000000"/>
            </w:tcBorders>
            <w:tcMar>
              <w:bottom w:w="28" w:type="dxa"/>
            </w:tcMar>
          </w:tcPr>
          <w:p>
            <w:pPr>
              <w:pStyle w:val="TableContents"/>
              <w:bidi w:val="0"/>
              <w:spacing w:before="0" w:after="283"/>
              <w:jc w:val="left"/>
              <w:rPr/>
            </w:pPr>
            <w:r>
              <w:rPr/>
              <w:t> </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Benjamin Kovler</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88" w:type="dxa"/>
            <w:tcBorders/>
            <w:vAlign w:val="bottom"/>
          </w:tcPr>
          <w:p>
            <w:pPr>
              <w:pStyle w:val="TableContents"/>
              <w:bidi w:val="0"/>
              <w:spacing w:before="0" w:after="283"/>
              <w:jc w:val="left"/>
              <w:rPr/>
            </w:pPr>
            <w:r>
              <w:rPr/>
              <w:t>Interim 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65"/>
        <w:gridCol w:w="118"/>
        <w:gridCol w:w="2699"/>
      </w:tblGrid>
      <w:tr>
        <w:trPr/>
        <w:tc>
          <w:tcPr>
            <w:tcW w:w="126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 AND AGREED:</w:t>
            </w:r>
          </w:p>
        </w:tc>
      </w:tr>
      <w:tr>
        <w:trPr/>
        <w:tc>
          <w:tcPr>
            <w:tcW w:w="4082" w:type="dxa"/>
            <w:gridSpan w:val="3"/>
            <w:tcBorders/>
          </w:tcPr>
          <w:p>
            <w:pPr>
              <w:pStyle w:val="TableContents"/>
              <w:bidi w:val="0"/>
              <w:spacing w:before="0" w:after="283"/>
              <w:jc w:val="left"/>
              <w:rPr/>
            </w:pPr>
            <w:r>
              <w:rPr/>
              <w:t>______________________</w:t>
            </w:r>
          </w:p>
        </w:tc>
      </w:tr>
      <w:tr>
        <w:trPr>
          <w:trHeight w:val="240" w:hRule="atLeast"/>
        </w:trPr>
        <w:tc>
          <w:tcPr>
            <w:tcW w:w="1265" w:type="dxa"/>
            <w:tcBorders/>
            <w:vAlign w:val="center"/>
          </w:tcPr>
          <w:p>
            <w:pPr>
              <w:pStyle w:val="TableContents"/>
              <w:bidi w:val="0"/>
              <w:spacing w:before="0" w:after="283"/>
              <w:jc w:val="left"/>
              <w:rPr>
                <w:sz w:val="4"/>
                <w:szCs w:val="4"/>
              </w:rPr>
            </w:pPr>
            <w:r>
              <w:rPr>
                <w:sz w:val="4"/>
                <w:szCs w:val="4"/>
              </w:rPr>
            </w:r>
          </w:p>
        </w:tc>
        <w:tc>
          <w:tcPr>
            <w:tcW w:w="2817"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2699" w:type="dxa"/>
            <w:tcBorders>
              <w:bottom w:val="single" w:sz="2" w:space="0" w:color="000000"/>
            </w:tcBorders>
            <w:tcMar>
              <w:bottom w:w="28" w:type="dxa"/>
            </w:tcMar>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2699" w:type="dxa"/>
            <w:tcBorders/>
            <w:vAlign w:val="bottom"/>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bidi w:val="0"/>
              <w:spacing w:before="0" w:after="283"/>
              <w:jc w:val="left"/>
              <w:rPr/>
            </w:pPr>
            <w:r>
              <w:rPr/>
              <w:t>Title:</w:t>
            </w:r>
          </w:p>
        </w:tc>
        <w:tc>
          <w:tcPr>
            <w:tcW w:w="118" w:type="dxa"/>
            <w:tcBorders/>
            <w:vAlign w:val="bottom"/>
          </w:tcPr>
          <w:p>
            <w:pPr>
              <w:pStyle w:val="TableContents"/>
              <w:bidi w:val="0"/>
              <w:spacing w:before="0" w:after="283"/>
              <w:jc w:val="left"/>
              <w:rPr/>
            </w:pPr>
            <w:r>
              <w:rPr/>
              <w:t> </w:t>
            </w:r>
          </w:p>
        </w:tc>
        <w:tc>
          <w:tcPr>
            <w:tcW w:w="269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Secured </w:t>
      </w:r>
    </w:p>
    <w:p>
      <w:pPr>
        <w:pStyle w:val="TextBody"/>
        <w:bidi w:val="0"/>
        <w:spacing w:before="0" w:after="0"/>
        <w:jc w:val="center"/>
        <w:rPr>
          <w:rFonts w:ascii="Times New Roman" w:hAnsi="Times New Roman"/>
          <w:sz w:val="20"/>
        </w:rPr>
      </w:pPr>
      <w:r>
        <w:rPr>
          <w:rFonts w:ascii="Times New Roman" w:hAnsi="Times New Roman"/>
          <w:sz w:val="20"/>
        </w:rPr>
        <w:t xml:space="preserve">Convertible Note due 2027, Certificate No. F-__)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AGRIFY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Secured Convertible Note due 2027 </w:t>
      </w:r>
    </w:p>
    <w:p>
      <w:pPr>
        <w:pStyle w:val="TextBody"/>
        <w:bidi w:val="0"/>
        <w:spacing w:before="240" w:after="0"/>
        <w:jc w:val="left"/>
        <w:rPr>
          <w:rFonts w:ascii="Times New Roman" w:hAnsi="Times New Roman"/>
          <w:sz w:val="20"/>
        </w:rPr>
      </w:pPr>
      <w:r>
        <w:rPr>
          <w:rFonts w:ascii="Times New Roman" w:hAnsi="Times New Roman"/>
          <w:sz w:val="20"/>
        </w:rPr>
        <w:t>This Note (this “</w:t>
      </w:r>
      <w:r>
        <w:rPr>
          <w:rFonts w:ascii="Times New Roman" w:hAnsi="Times New Roman"/>
          <w:b/>
          <w:sz w:val="20"/>
        </w:rPr>
        <w:t>Note</w:t>
      </w:r>
      <w:r>
        <w:rPr>
          <w:rFonts w:ascii="Times New Roman" w:hAnsi="Times New Roman"/>
          <w:sz w:val="20"/>
        </w:rPr>
        <w:t>”) is issued by Agrify Corporation, a Nevada corporation (the “</w:t>
      </w:r>
      <w:r>
        <w:rPr>
          <w:rFonts w:ascii="Times New Roman" w:hAnsi="Times New Roman"/>
          <w:b/>
          <w:sz w:val="20"/>
        </w:rPr>
        <w:t>Company</w:t>
      </w:r>
      <w:r>
        <w:rPr>
          <w:rFonts w:ascii="Times New Roman" w:hAnsi="Times New Roman"/>
          <w:sz w:val="20"/>
        </w:rPr>
        <w:t xml:space="preserve">”), and designated as its “Secured Convertible Notes due 2027.” </w:t>
      </w:r>
    </w:p>
    <w:p>
      <w:pPr>
        <w:pStyle w:val="TextBody"/>
        <w:bidi w:val="0"/>
        <w:spacing w:before="240" w:after="0"/>
        <w:jc w:val="left"/>
        <w:rPr>
          <w:rFonts w:ascii="Times New Roman" w:hAnsi="Times New Roman"/>
          <w:sz w:val="20"/>
        </w:rPr>
      </w:pPr>
      <w:r>
        <w:rPr>
          <w:rFonts w:ascii="Times New Roman" w:hAnsi="Times New Roman"/>
          <w:sz w:val="20"/>
        </w:rPr>
        <w:t>This Note is one of a series of secured convertible notes issued on the date hereof with an aggregate original principal amount of $50,000,000.00 (collectively, 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 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has the meaning set forth in Rule 144 under the Securities Act. </w:t>
      </w:r>
    </w:p>
    <w:p>
      <w:pPr>
        <w:pStyle w:val="TextBody"/>
        <w:bidi w:val="0"/>
        <w:spacing w:before="240" w:after="0"/>
        <w:jc w:val="left"/>
        <w:rPr/>
      </w:pPr>
      <w:r>
        <w:rPr/>
        <w:t>“</w:t>
      </w:r>
      <w:r>
        <w:rPr>
          <w:rFonts w:ascii="Times New Roman" w:hAnsi="Times New Roman"/>
          <w:b/>
          <w:sz w:val="20"/>
        </w:rPr>
        <w:t>Attribution Parties</w:t>
      </w:r>
      <w:r>
        <w:rPr>
          <w:rFonts w:ascii="Times New Roman" w:hAnsi="Times New Roman"/>
          <w:sz w:val="20"/>
        </w:rPr>
        <w:t xml:space="preserve">”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(within the meaning of Section 13(d)(3) of the Exchange Act) together with the Holder or any of the foregoing and (iv) any other Persons whose beneficial ownership of the Common Stock would or could be aggregated with the Holder’s and the other Attribution Parties for purposes of Section 13(d) of the Exchange Act. </w:t>
      </w:r>
    </w:p>
    <w:p>
      <w:pPr>
        <w:pStyle w:val="TextBody"/>
        <w:bidi w:val="0"/>
        <w:spacing w:before="240" w:after="0"/>
        <w:jc w:val="left"/>
        <w:rPr/>
      </w:pPr>
      <w:r>
        <w:rPr/>
        <w:t>“</w:t>
      </w:r>
      <w:r>
        <w:rPr>
          <w:rFonts w:ascii="Times New Roman" w:hAnsi="Times New Roman"/>
          <w:b/>
          <w:sz w:val="20"/>
        </w:rPr>
        <w:t>Authorized Denomination</w:t>
      </w:r>
      <w:r>
        <w:rPr>
          <w:rFonts w:ascii="Times New Roman" w:hAnsi="Times New Roman"/>
          <w:sz w:val="20"/>
        </w:rPr>
        <w:t xml:space="preserve">” means, with respect to the Notes, a Principal Amount thereof equal to $1,000 or any integral multiple of $1,000 in excess thereof, or, if such Principal Amount then-outstanding is less than $1,000, then such outstanding Principal Amount.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Title 11, United States Code, or any similar U.S. federal or state or non-U.S. law for the relief of debtors.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 committee of such board duly authorized to act on behalf of such board. </w:t>
      </w:r>
    </w:p>
    <w:p>
      <w:pPr>
        <w:pStyle w:val="TextBody"/>
        <w:bidi w:val="0"/>
        <w:spacing w:before="240" w:after="0"/>
        <w:jc w:val="left"/>
        <w:rPr/>
      </w:pPr>
      <w:r>
        <w:rPr/>
        <w:t>“</w:t>
      </w:r>
      <w:r>
        <w:rPr>
          <w:rFonts w:ascii="Times New Roman" w:hAnsi="Times New Roman"/>
          <w:b/>
          <w:sz w:val="20"/>
        </w:rPr>
        <w:t>Business Combination Event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day on which commercial banks in The City of New York are authorized or required by law or executive order to close or be closed;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Capital Lease</w:t>
      </w:r>
      <w:r>
        <w:rPr>
          <w:rFonts w:ascii="Times New Roman" w:hAnsi="Times New Roman"/>
          <w:sz w:val="20"/>
        </w:rPr>
        <w:t xml:space="preserve">”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 </w:t>
      </w:r>
    </w:p>
    <w:p>
      <w:pPr>
        <w:pStyle w:val="TextBody"/>
        <w:bidi w:val="0"/>
        <w:spacing w:before="240" w:after="0"/>
        <w:jc w:val="left"/>
        <w:rPr/>
      </w:pPr>
      <w:r>
        <w:rPr/>
        <w:t>“</w:t>
      </w:r>
      <w:r>
        <w:rPr>
          <w:rFonts w:ascii="Times New Roman" w:hAnsi="Times New Roman"/>
          <w:b/>
          <w:sz w:val="20"/>
        </w:rPr>
        <w:t>Capital Lease Obligation</w:t>
      </w:r>
      <w:r>
        <w:rPr>
          <w:rFonts w:ascii="Times New Roman" w:hAnsi="Times New Roman"/>
          <w:sz w:val="20"/>
        </w:rPr>
        <w:t xml:space="preserve">”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of any Person means any and all shares of, interests in, rights to purchase, warrants or options for, participations in, or other equivalents of, in each case however designated, the equity of such Person, but excluding any debt securities convertible into such equity.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has the meaning set forth in the Security Agreement.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par value $0.001 per share, of the Company.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w:t>
      </w:r>
      <w:r>
        <w:rPr>
          <w:rFonts w:ascii="Times New Roman" w:hAnsi="Times New Roman"/>
          <w:b/>
          <w:sz w:val="20"/>
        </w:rPr>
        <w:t>Change Event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7(H)(i)(4)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Contingent Obligation</w:t>
      </w:r>
      <w:r>
        <w:rPr>
          <w:rFonts w:ascii="Times New Roman" w:hAnsi="Times New Roman"/>
          <w:sz w:val="20"/>
        </w:rPr>
        <w:t xml:space="preserve">” means, as applied to any Person, any direct or indirect liability, contingent or otherwise, of that Person with respect to (A) 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w:t>
      </w:r>
    </w:p>
    <w:p>
      <w:pPr>
        <w:pStyle w:val="TextBody"/>
        <w:bidi w:val="0"/>
        <w:spacing w:before="240" w:after="0"/>
        <w:jc w:val="left"/>
        <w:rPr/>
      </w:pPr>
      <w:r>
        <w:rPr/>
        <w:t>“</w:t>
      </w:r>
      <w:r>
        <w:rPr>
          <w:rFonts w:ascii="Times New Roman" w:hAnsi="Times New Roman"/>
          <w:b/>
          <w:sz w:val="20"/>
        </w:rPr>
        <w:t>Conversion Amount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Conversion Consideration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Conversion Date</w:t>
      </w:r>
      <w:r>
        <w:rPr>
          <w:rFonts w:ascii="Times New Roman" w:hAnsi="Times New Roman"/>
          <w:sz w:val="20"/>
        </w:rPr>
        <w:t xml:space="preserve">” means the first Business Day on which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7(C)(i) </w:t>
      </w:r>
      <w:r>
        <w:rPr>
          <w:rFonts w:ascii="Times New Roman" w:hAnsi="Times New Roman"/>
          <w:sz w:val="20"/>
        </w:rPr>
        <w:t xml:space="preserve">to convert this Note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Conversion Price</w:t>
      </w:r>
      <w:r>
        <w:rPr>
          <w:rFonts w:ascii="Times New Roman" w:hAnsi="Times New Roman"/>
          <w:sz w:val="20"/>
        </w:rPr>
        <w:t xml:space="preserve">” means an amount equal to $29.475 per share of Common Stock; provided, however, that if after the date of the amendment and restatement of this Note the Company effects any stock split, reverse stock split, share combination or similar transaction, the Conversion Price shall be equitably adjusted to reflect the ratio of such split or similar transaction. </w:t>
      </w:r>
    </w:p>
    <w:p>
      <w:pPr>
        <w:pStyle w:val="TextBody"/>
        <w:bidi w:val="0"/>
        <w:spacing w:before="240" w:after="0"/>
        <w:jc w:val="left"/>
        <w:rPr/>
      </w:pPr>
      <w:r>
        <w:rPr/>
        <w:t>“</w:t>
      </w:r>
      <w:r>
        <w:rPr>
          <w:rFonts w:ascii="Times New Roman" w:hAnsi="Times New Roman"/>
          <w:b/>
          <w:sz w:val="20"/>
        </w:rPr>
        <w:t>Conversion Settlement Date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Daily VWAP</w:t>
      </w:r>
      <w:r>
        <w:rPr>
          <w:rFonts w:ascii="Times New Roman" w:hAnsi="Times New Roman"/>
          <w:sz w:val="20"/>
        </w:rPr>
        <w:t xml:space="preserve">”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after notice, passage of time or both, would be) an Event of Default. </w:t>
      </w:r>
    </w:p>
    <w:p>
      <w:pPr>
        <w:pStyle w:val="TextBody"/>
        <w:bidi w:val="0"/>
        <w:spacing w:before="240" w:after="0"/>
        <w:jc w:val="left"/>
        <w:rPr/>
      </w:pPr>
      <w:r>
        <w:rPr/>
        <w:t>“</w:t>
      </w:r>
      <w:r>
        <w:rPr>
          <w:rFonts w:ascii="Times New Roman" w:hAnsi="Times New Roman"/>
          <w:b/>
          <w:sz w:val="20"/>
        </w:rPr>
        <w:t>Default Interest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Disqualified Stock</w:t>
      </w:r>
      <w:r>
        <w:rPr>
          <w:rFonts w:ascii="Times New Roman" w:hAnsi="Times New Roman"/>
          <w:sz w:val="20"/>
        </w:rPr>
        <w:t xml:space="preserve">” means, with respect to any Person, any Capital Stock that by its terms (or by the terms of any security into which it is convertible or for which it is exchangeable at the option of the holder) or upon the happening of any event: </w:t>
      </w:r>
    </w:p>
    <w:p>
      <w:pPr>
        <w:pStyle w:val="TextBody"/>
        <w:bidi w:val="0"/>
        <w:spacing w:before="120" w:after="0"/>
        <w:jc w:val="left"/>
        <w:rPr>
          <w:rFonts w:ascii="Times New Roman" w:hAnsi="Times New Roman"/>
          <w:sz w:val="20"/>
        </w:rPr>
      </w:pPr>
      <w:r>
        <w:rPr>
          <w:rFonts w:ascii="Times New Roman" w:hAnsi="Times New Roman"/>
          <w:sz w:val="20"/>
        </w:rPr>
        <w:t xml:space="preserve">(A) matures or is mandatorily redeemable pursuant to a sinking fund obligation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 </w:t>
      </w:r>
    </w:p>
    <w:p>
      <w:pPr>
        <w:pStyle w:val="TextBody"/>
        <w:bidi w:val="0"/>
        <w:spacing w:before="240" w:after="0"/>
        <w:jc w:val="left"/>
        <w:rPr>
          <w:rFonts w:ascii="Times New Roman" w:hAnsi="Times New Roman"/>
          <w:sz w:val="20"/>
        </w:rPr>
      </w:pPr>
      <w:r>
        <w:rPr>
          <w:rFonts w:ascii="Times New Roman" w:hAnsi="Times New Roman"/>
          <w:sz w:val="20"/>
        </w:rPr>
        <w:t xml:space="preserve">(C) is redeemable at the option of the holder thereof,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each of clauses (A), (B) and (C), at any point prior to the one hundred eighty-first (181st) day after the Maturity Date. </w:t>
      </w:r>
    </w:p>
    <w:p>
      <w:pPr>
        <w:pStyle w:val="TextBody"/>
        <w:bidi w:val="0"/>
        <w:spacing w:before="240" w:after="0"/>
        <w:jc w:val="left"/>
        <w:rPr/>
      </w:pPr>
      <w:r>
        <w:rPr/>
        <w:t>“</w:t>
      </w:r>
      <w:r>
        <w:rPr>
          <w:rFonts w:ascii="Times New Roman" w:hAnsi="Times New Roman"/>
          <w:b/>
          <w:sz w:val="20"/>
        </w:rPr>
        <w:t>Eligible Exchange</w:t>
      </w:r>
      <w:r>
        <w:rPr>
          <w:rFonts w:ascii="Times New Roman" w:hAnsi="Times New Roman"/>
          <w:sz w:val="20"/>
        </w:rPr>
        <w:t xml:space="preserve">” means any of The New York Stock Exchange, The NYSE American LLC, The Nasdaq Capital Market, The Nasdaq Global Market or The Nasdaq Global Select Market (or any of their respective successors).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Event of Default Acceleration Amount</w:t>
      </w:r>
      <w:r>
        <w:rPr>
          <w:rFonts w:ascii="Times New Roman" w:hAnsi="Times New Roman"/>
          <w:sz w:val="20"/>
        </w:rPr>
        <w:t xml:space="preserve">” means, with respect to the delivery of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11(B)(ii)</w:t>
      </w:r>
      <w:r>
        <w:rPr>
          <w:rFonts w:ascii="Times New Roman" w:hAnsi="Times New Roman"/>
          <w:sz w:val="20"/>
        </w:rPr>
        <w:t xml:space="preserve"> declaring this Note to be due and payable immediately on account of an Event of Default, a cash amount equal to one hundred percent (100%) of the then outstanding Principal Amount of this Note (or such lesser principal amount accelerated pursuant to such notice) plus accrued and unpaid interest on this Note. </w:t>
      </w:r>
    </w:p>
    <w:p>
      <w:pPr>
        <w:pStyle w:val="TextBody"/>
        <w:bidi w:val="0"/>
        <w:spacing w:before="240" w:after="0"/>
        <w:jc w:val="left"/>
        <w:rPr/>
      </w:pPr>
      <w:r>
        <w:rPr/>
        <w:t>“</w:t>
      </w:r>
      <w:r>
        <w:rPr>
          <w:rFonts w:ascii="Times New Roman" w:hAnsi="Times New Roman"/>
          <w:b/>
          <w:sz w:val="20"/>
        </w:rPr>
        <w:t>Event of Default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b/>
          <w:sz w:val="20"/>
        </w:rPr>
        <w:t>Existing Notes</w:t>
      </w:r>
      <w:r>
        <w:rPr>
          <w:rFonts w:ascii="Times New Roman" w:hAnsi="Times New Roman"/>
          <w:sz w:val="20"/>
        </w:rPr>
        <w:t xml:space="preserve">” means (i) the Company’s Senior Secured Convertible Note due 2025, as amended, originally issued on November 5, 2024, and (ii) the Company’s Senior Secured Convertible Notes due 2026, originally issued on May 22, 2025. </w:t>
      </w:r>
    </w:p>
    <w:p>
      <w:pPr>
        <w:pStyle w:val="TextBody"/>
        <w:bidi w:val="0"/>
        <w:spacing w:before="240" w:after="0"/>
        <w:jc w:val="left"/>
        <w:rPr/>
      </w:pPr>
      <w:r>
        <w:rPr/>
        <w:t>“</w:t>
      </w:r>
      <w:r>
        <w:rPr>
          <w:rFonts w:ascii="Times New Roman" w:hAnsi="Times New Roman"/>
          <w:b/>
          <w:sz w:val="20"/>
        </w:rPr>
        <w:t>Fiscal Quarter</w:t>
      </w:r>
      <w:r>
        <w:rPr>
          <w:rFonts w:ascii="Times New Roman" w:hAnsi="Times New Roman"/>
          <w:sz w:val="20"/>
        </w:rPr>
        <w:t xml:space="preserve">” means each three month period ending March 31, June 30, September 30, and December 31.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as in effect from time to time.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the person in whose name this Note is registered on the books of the Company, which initially is the Initial Holder. </w:t>
      </w:r>
    </w:p>
    <w:p>
      <w:pPr>
        <w:pStyle w:val="TextBody"/>
        <w:bidi w:val="0"/>
        <w:spacing w:before="240" w:after="0"/>
        <w:jc w:val="left"/>
        <w:rPr/>
      </w:pPr>
      <w:r>
        <w:rPr/>
        <w:t>“</w:t>
      </w:r>
      <w:r>
        <w:rPr>
          <w:rFonts w:ascii="Times New Roman" w:hAnsi="Times New Roman"/>
          <w:b/>
          <w:sz w:val="20"/>
        </w:rPr>
        <w:t>Holder Conversion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rPr>
        <w:t>including</w:t>
      </w:r>
      <w:r>
        <w:rPr>
          <w:rFonts w:ascii="Times New Roman" w:hAnsi="Times New Roman"/>
          <w:sz w:val="20"/>
        </w:rPr>
        <w:t xml:space="preserve">” means “including without limitation,” unless the context provides otherwise.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 </w:t>
      </w:r>
    </w:p>
    <w:p>
      <w:pPr>
        <w:pStyle w:val="TextBody"/>
        <w:bidi w:val="0"/>
        <w:spacing w:before="240" w:after="0"/>
        <w:jc w:val="left"/>
        <w:rPr/>
      </w:pPr>
      <w:r>
        <w:rPr/>
        <w:t>“</w:t>
      </w:r>
      <w:r>
        <w:rPr>
          <w:rFonts w:ascii="Times New Roman" w:hAnsi="Times New Roman"/>
          <w:b/>
          <w:sz w:val="20"/>
        </w:rPr>
        <w:t>Initial Holder</w:t>
      </w:r>
      <w:r>
        <w:rPr>
          <w:rFonts w:ascii="Times New Roman" w:hAnsi="Times New Roman"/>
          <w:sz w:val="20"/>
        </w:rPr>
        <w:t xml:space="preserve">” has the meaning set forth in the cover page of this Note.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(A) the first calendar day of each September and March during the term of this Note, beginning on March 1, 2026; and (B) if not otherwise included in clause (A), the Maturity Date.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August 25, 2025. </w:t>
      </w:r>
    </w:p>
    <w:p>
      <w:pPr>
        <w:pStyle w:val="TextBody"/>
        <w:bidi w:val="0"/>
        <w:spacing w:before="240" w:after="0"/>
        <w:jc w:val="left"/>
        <w:rPr/>
      </w:pPr>
      <w:r>
        <w:rPr/>
        <w:t>“</w:t>
      </w:r>
      <w:r>
        <w:rPr>
          <w:rFonts w:ascii="Times New Roman" w:hAnsi="Times New Roman"/>
          <w:b/>
          <w:sz w:val="20"/>
        </w:rPr>
        <w:t>Last Reported Sale Price</w:t>
      </w:r>
      <w:r>
        <w:rPr>
          <w:rFonts w:ascii="Times New Roman" w:hAnsi="Times New Roman"/>
          <w:sz w:val="20"/>
        </w:rPr>
        <w:t xml:space="preserve">” of the shares of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shares of Common Stock are then listed. If the Common Stock is not listed on a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February 25, 2027.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rPr>
        <w:t>or</w:t>
      </w:r>
      <w:r>
        <w:rPr>
          <w:rFonts w:ascii="Times New Roman" w:hAnsi="Times New Roman"/>
          <w:sz w:val="20"/>
        </w:rPr>
        <w:t xml:space="preserve">” is not exclusive, unless the context expressly provides otherwise.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sole proprietorship, partnership, limited liability company, joint venture, company, trust, unincorporated organization, association, corporation, institution, public benefit corporation, firm, joint stock company, estate, entity or government agency. </w:t>
      </w:r>
    </w:p>
    <w:p>
      <w:pPr>
        <w:pStyle w:val="TextBody"/>
        <w:bidi w:val="0"/>
        <w:spacing w:before="240" w:after="0"/>
        <w:jc w:val="left"/>
        <w:rPr/>
      </w:pPr>
      <w:r>
        <w:rPr/>
        <w:t>“</w:t>
      </w:r>
      <w:r>
        <w:rPr>
          <w:rFonts w:ascii="Times New Roman" w:hAnsi="Times New Roman"/>
          <w:b/>
          <w:sz w:val="20"/>
        </w:rPr>
        <w:t>Pre-Funded Warrant</w:t>
      </w:r>
      <w:r>
        <w:rPr>
          <w:rFonts w:ascii="Times New Roman" w:hAnsi="Times New Roman"/>
          <w:sz w:val="20"/>
        </w:rPr>
        <w:t xml:space="preserve">” shall mean a warrant for the purchase of Common Stock, substantially in the form set forth on </w:t>
      </w:r>
      <w:r>
        <w:rPr>
          <w:rFonts w:ascii="Times New Roman" w:hAnsi="Times New Roman"/>
          <w:b/>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Principal Amount</w:t>
      </w:r>
      <w:r>
        <w:rPr>
          <w:rFonts w:ascii="Times New Roman" w:hAnsi="Times New Roman"/>
          <w:sz w:val="20"/>
        </w:rPr>
        <w:t xml:space="preserve">” has the meaning set forth in the cover page of this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Principal Amount of this Note will be subject to reduction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Reference Property</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7(H)(i)(4)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Reference Property Unit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7(H)(i)(4)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Reported Outstanding Share Number</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Required Holders</w:t>
      </w:r>
      <w:r>
        <w:rPr>
          <w:rFonts w:ascii="Times New Roman" w:hAnsi="Times New Roman"/>
          <w:sz w:val="20"/>
        </w:rPr>
        <w:t xml:space="preserve">” means, as of a certain date, holders of a majority of the aggregate principal amount under all outstanding Notes as of such date. </w:t>
      </w:r>
    </w:p>
    <w:p>
      <w:pPr>
        <w:pStyle w:val="TextBody"/>
        <w:bidi w:val="0"/>
        <w:spacing w:before="240" w:after="0"/>
        <w:jc w:val="left"/>
        <w:rPr/>
      </w:pPr>
      <w:r>
        <w:rPr/>
        <w:t>“</w:t>
      </w:r>
      <w:r>
        <w:rPr>
          <w:rFonts w:ascii="Times New Roman" w:hAnsi="Times New Roman"/>
          <w:b/>
          <w:sz w:val="20"/>
        </w:rPr>
        <w:t>Required Reserve Amount</w:t>
      </w:r>
      <w:r>
        <w:rPr>
          <w:rFonts w:ascii="Times New Roman" w:hAnsi="Times New Roman"/>
          <w:sz w:val="20"/>
        </w:rPr>
        <w:t xml:space="preserve">” has the meaning in </w:t>
      </w:r>
      <w:r>
        <w:rPr>
          <w:rFonts w:ascii="Times New Roman" w:hAnsi="Times New Roman"/>
          <w:b/>
          <w:sz w:val="20"/>
        </w:rPr>
        <w:t>Section</w:t>
      </w:r>
      <w:r>
        <w:rPr>
          <w:rFonts w:ascii="Times New Roman" w:hAnsi="Times New Roman"/>
          <w:sz w:val="20"/>
        </w:rPr>
        <w:t> </w:t>
      </w:r>
      <w:r>
        <w:rPr>
          <w:rFonts w:ascii="Times New Roman" w:hAnsi="Times New Roman"/>
          <w:b/>
          <w:sz w:val="20"/>
        </w:rPr>
        <w:t>9(F)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under the Securities Act.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xml:space="preserve">”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b/>
          <w:sz w:val="20"/>
        </w:rPr>
        <w:t>Security Agreement</w:t>
      </w:r>
      <w:r>
        <w:rPr>
          <w:rFonts w:ascii="Times New Roman" w:hAnsi="Times New Roman"/>
          <w:sz w:val="20"/>
        </w:rPr>
        <w:t xml:space="preserve">” means that certain Second Amended and Restated Security Agreement, dated August 25, 2025, between the Company, the Holder, the holders of the other Notes, and the holders of the Existing Notes, as amended, supplemented or otherwise modified from time to time.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with respect to any Person, any Subsidiary of such Person that constitutes a “significant subsidiary” (as defined in Rule 1-02(w) of Regulation S-X under the Exchange Act) of such Person. </w:t>
      </w:r>
    </w:p>
    <w:p>
      <w:pPr>
        <w:pStyle w:val="TextBody"/>
        <w:bidi w:val="0"/>
        <w:spacing w:before="240" w:after="0"/>
        <w:jc w:val="left"/>
        <w:rPr/>
      </w:pPr>
      <w:r>
        <w:rPr/>
        <w:t>“</w:t>
      </w:r>
      <w:r>
        <w:rPr>
          <w:rFonts w:ascii="Times New Roman" w:hAnsi="Times New Roman"/>
          <w:b/>
          <w:sz w:val="20"/>
        </w:rPr>
        <w:t>Stated Interest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Stated Interest Rate</w:t>
      </w:r>
      <w:r>
        <w:rPr>
          <w:rFonts w:ascii="Times New Roman" w:hAnsi="Times New Roman"/>
          <w:sz w:val="20"/>
        </w:rPr>
        <w:t xml:space="preserve">” means, as of any date, a rate per annum equal to ten percent (10.0%). </w:t>
      </w:r>
    </w:p>
    <w:p>
      <w:pPr>
        <w:pStyle w:val="TextBody"/>
        <w:bidi w:val="0"/>
        <w:spacing w:before="240" w:after="0"/>
        <w:jc w:val="left"/>
        <w:rPr/>
      </w:pPr>
      <w:r>
        <w:rPr/>
        <w:t>“</w:t>
      </w:r>
      <w:r>
        <w:rPr>
          <w:rFonts w:ascii="Times New Roman" w:hAnsi="Times New Roman"/>
          <w:b/>
          <w:sz w:val="20"/>
        </w:rPr>
        <w:t>Subordinated Indebtedness</w:t>
      </w:r>
      <w:r>
        <w:rPr>
          <w:rFonts w:ascii="Times New Roman" w:hAnsi="Times New Roman"/>
          <w:sz w:val="20"/>
        </w:rPr>
        <w:t xml:space="preserve">” means Indebtedness subordinated to the Notes that is in amounts and on terms and conditions satisfactory to the Holder in its sole discretion.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Successor Corporation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Successor Person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7(H)(i)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 </w:t>
      </w:r>
    </w:p>
    <w:p>
      <w:pPr>
        <w:pStyle w:val="TextBody"/>
        <w:bidi w:val="0"/>
        <w:spacing w:before="240" w:after="0"/>
        <w:jc w:val="left"/>
        <w:rPr/>
      </w:pPr>
      <w:r>
        <w:rPr/>
        <w:t>“</w:t>
      </w:r>
      <w:r>
        <w:rPr>
          <w:rFonts w:ascii="Times New Roman" w:hAnsi="Times New Roman"/>
          <w:b/>
          <w:sz w:val="20"/>
        </w:rPr>
        <w:t>VWAP Market Disruption Event</w:t>
      </w:r>
      <w:r>
        <w:rPr>
          <w:rFonts w:ascii="Times New Roman" w:hAnsi="Times New Roman"/>
          <w:sz w:val="20"/>
        </w:rPr>
        <w:t xml:space="preserve">”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 </w:t>
      </w:r>
    </w:p>
    <w:p>
      <w:pPr>
        <w:pStyle w:val="TextBody"/>
        <w:bidi w:val="0"/>
        <w:spacing w:before="240" w:after="0"/>
        <w:jc w:val="left"/>
        <w:rPr/>
      </w:pPr>
      <w:r>
        <w:rPr/>
        <w:t>“</w:t>
      </w:r>
      <w:r>
        <w:rPr>
          <w:rFonts w:ascii="Times New Roman" w:hAnsi="Times New Roman"/>
          <w:b/>
          <w:sz w:val="20"/>
        </w:rPr>
        <w:t>VWAP Trading Day</w:t>
      </w:r>
      <w:r>
        <w:rPr>
          <w:rFonts w:ascii="Times New Roman" w:hAnsi="Times New Roman"/>
          <w:sz w:val="20"/>
        </w:rPr>
        <w:t xml:space="preserve">”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 </w:t>
      </w:r>
    </w:p>
    <w:p>
      <w:pPr>
        <w:pStyle w:val="TextBody"/>
        <w:bidi w:val="0"/>
        <w:spacing w:before="240" w:after="0"/>
        <w:jc w:val="left"/>
        <w:rPr/>
      </w:pPr>
      <w:r>
        <w:rPr/>
        <w:t>“</w:t>
      </w:r>
      <w:r>
        <w:rPr>
          <w:rFonts w:ascii="Times New Roman" w:hAnsi="Times New Roman"/>
          <w:b/>
          <w:sz w:val="20"/>
        </w:rPr>
        <w:t>Warrant Conversion Price</w:t>
      </w:r>
      <w:r>
        <w:rPr>
          <w:rFonts w:ascii="Times New Roman" w:hAnsi="Times New Roman"/>
          <w:sz w:val="20"/>
        </w:rPr>
        <w:t xml:space="preserve">” means the Conversion Price less $0.001. </w:t>
      </w:r>
    </w:p>
    <w:p>
      <w:pPr>
        <w:pStyle w:val="TextBody"/>
        <w:bidi w:val="0"/>
        <w:spacing w:before="240" w:after="0"/>
        <w:jc w:val="left"/>
        <w:rPr>
          <w:rFonts w:ascii="Times New Roman" w:hAnsi="Times New Roman"/>
          <w:sz w:val="20"/>
        </w:rPr>
      </w:pPr>
      <w:r>
        <w:rPr>
          <w:rFonts w:ascii="Times New Roman" w:hAnsi="Times New Roman"/>
          <w:b/>
          <w:sz w:val="20"/>
        </w:rPr>
        <w:t>Section 2. PERSONS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Note will be treated as the owner of this Note for all purposes. </w:t>
      </w:r>
    </w:p>
    <w:p>
      <w:pPr>
        <w:pStyle w:val="TextBody"/>
        <w:bidi w:val="0"/>
        <w:spacing w:before="240" w:after="0"/>
        <w:jc w:val="left"/>
        <w:rPr>
          <w:rFonts w:ascii="Times New Roman" w:hAnsi="Times New Roman"/>
          <w:sz w:val="20"/>
        </w:rPr>
      </w:pPr>
      <w:r>
        <w:rPr>
          <w:rFonts w:ascii="Times New Roman" w:hAnsi="Times New Roman"/>
          <w:b/>
          <w:sz w:val="20"/>
        </w:rPr>
        <w:t>Section 3. REGISTERED 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any Note issued in exchange therefor or in substitution thereof, will be in registered form, without coupons. </w:t>
      </w:r>
    </w:p>
    <w:p>
      <w:pPr>
        <w:pStyle w:val="TextBody"/>
        <w:bidi w:val="0"/>
        <w:spacing w:before="240" w:after="0"/>
        <w:jc w:val="left"/>
        <w:rPr>
          <w:rFonts w:ascii="Times New Roman" w:hAnsi="Times New Roman"/>
          <w:sz w:val="20"/>
        </w:rPr>
      </w:pPr>
      <w:r>
        <w:rPr>
          <w:rFonts w:ascii="Times New Roman" w:hAnsi="Times New Roman"/>
          <w:b/>
          <w:sz w:val="20"/>
        </w:rPr>
        <w:t>Section 4. INTEREST; MATURITY DATE PAYMENT; PREPAYMENT.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Interest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This Note will accrue interest (the “</w:t>
      </w:r>
      <w:r>
        <w:rPr>
          <w:rFonts w:ascii="Times New Roman" w:hAnsi="Times New Roman"/>
          <w:b/>
          <w:sz w:val="20"/>
        </w:rPr>
        <w:t>Stated Interest</w:t>
      </w:r>
      <w:r>
        <w:rPr>
          <w:rFonts w:ascii="Times New Roman" w:hAnsi="Times New Roman"/>
          <w:sz w:val="20"/>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on each Interest Payment Date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5(A)</w:t>
      </w:r>
      <w:r>
        <w:rPr>
          <w:rFonts w:ascii="Times New Roman" w:hAnsi="Times New Roman"/>
          <w:sz w:val="20"/>
        </w:rPr>
        <w:t xml:space="preserve">; and (iv)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(ii) If a Default or an Event of Default occurs, then in each case, to the extent lawful, interest (“</w:t>
      </w:r>
      <w:r>
        <w:rPr>
          <w:rFonts w:ascii="Times New Roman" w:hAnsi="Times New Roman"/>
          <w:b/>
          <w:sz w:val="20"/>
        </w:rPr>
        <w:t>Default Interest</w:t>
      </w:r>
      <w:r>
        <w:rPr>
          <w:rFonts w:ascii="Times New Roman" w:hAnsi="Times New Roman"/>
          <w:sz w:val="20"/>
        </w:rPr>
        <w:t xml:space="preserve">”) will accrue (rather than at the Stated Interest Rate, if applicable) on the Principal Amount outstanding as of the date of such Default or Event of Default at a rate per annum equal to the Stated Interest Rate plus four percent (4.0%),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Maturity Date Payment</w:t>
      </w:r>
      <w:r>
        <w:rPr>
          <w:rFonts w:ascii="Times New Roman" w:hAnsi="Times New Roman"/>
          <w:sz w:val="20"/>
        </w:rPr>
        <w:t xml:space="preserve">. On the Maturity Date, the Company will pay the Holder an amount in cash equal to the then-outstanding Principal Amount of this Note plus any accrued and unpaid interest on this Note.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Prepayment</w:t>
      </w:r>
      <w:r>
        <w:rPr>
          <w:rFonts w:ascii="Times New Roman" w:hAnsi="Times New Roman"/>
          <w:sz w:val="20"/>
        </w:rPr>
        <w:t xml:space="preserve">. The Company may not prepay the Note. </w:t>
      </w:r>
    </w:p>
    <w:p>
      <w:pPr>
        <w:pStyle w:val="TextBody"/>
        <w:bidi w:val="0"/>
        <w:spacing w:before="240" w:after="0"/>
        <w:jc w:val="left"/>
        <w:rPr>
          <w:rFonts w:ascii="Times New Roman" w:hAnsi="Times New Roman"/>
          <w:sz w:val="20"/>
        </w:rPr>
      </w:pPr>
      <w:r>
        <w:rPr>
          <w:rFonts w:ascii="Times New Roman" w:hAnsi="Times New Roman"/>
          <w:b/>
          <w:sz w:val="20"/>
        </w:rPr>
        <w:t>Section 5. METHOD OF PAYMENT; WHEN PAYMENT DATE IS NOT A BUSINESS DAY.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Method of Payment</w:t>
      </w:r>
      <w:r>
        <w:rPr>
          <w:rFonts w:ascii="Times New Roman" w:hAnsi="Times New Roman"/>
          <w:sz w:val="20"/>
        </w:rPr>
        <w:t xml:space="preserve">. The Company will pay all cash amounts due under this Note by wire transfer of immediately available funds to an account of the Holder that is provided to the Company on the date hereof, which account may be changed for any cash amount due under this Note by written notice provided by the Holder to the Company at least three (3) Business Days before the date such amount is due. Payments of Stated Interest at each Interest Payment Date (which, for the avoidance of doubt, for the purposes of this sentence shall include the Maturity Date) shall be made pursuant to the terms and in the form as set forth in Section 5(C).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Delay of Payment when Payment Date is Not a Business Day</w:t>
      </w:r>
      <w:r>
        <w:rPr>
          <w:rFonts w:ascii="Times New Roman" w:hAnsi="Times New Roman"/>
          <w:sz w:val="20"/>
        </w:rPr>
        <w:t xml:space="preserve">. If the due date for a payment on this Note as provided in this Note is not a Business Day, then, notwithstanding anything to the contrary in this Note, such payment may be made on the immediately following Business Day and no interest will accrue on such payment as a result of the related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Payments of Stated Interest</w:t>
      </w:r>
      <w:r>
        <w:rPr>
          <w:rFonts w:ascii="Times New Roman" w:hAnsi="Times New Roman"/>
          <w:sz w:val="20"/>
        </w:rPr>
        <w:t>. Payments of Stated Interest at each Interest Payment Date, including payment of any Stated Interest on the Maturity Date, shall be made, at the election of the Required Holders in their sole discretion, in the form of (i) cash by wire transfer of immediately available funds to an account of the Holder that is provided to the Company on the date hereof, (ii) issuance of shares of Common Stock pursuant to the terms set forth in Section 5(C), subject to the Beneficial Ownership Limitation and subject to the Company obtaining the approval of the shareholders of the Company for such issuance in accordance with Listing Rule 5635 of The Nasdaq Stock Market LLC, as applicable, solely to the extent that, at such time, the Company determines that such approval is required under such Listing Rules for such issuance, or (iii) a Pre-Funded Warrant. The number of shares of Common Stock for any payment of Stated Interest shall be equal to (i) the amount of Stated Interest accrued and outstanding as of such Interest Payment Date </w:t>
      </w:r>
      <w:r>
        <w:rPr>
          <w:rFonts w:ascii="Times New Roman" w:hAnsi="Times New Roman"/>
          <w:i/>
          <w:sz w:val="20"/>
        </w:rPr>
        <w:t>divided by</w:t>
      </w:r>
      <w:r>
        <w:rPr>
          <w:rFonts w:ascii="Times New Roman" w:hAnsi="Times New Roman"/>
          <w:sz w:val="20"/>
        </w:rPr>
        <w:t> (ii) the Conversion Price. The number of warrant shares for each such Pre-Funded Warrant shall be equal to (i) the amount of Stated Interest accrued and outstanding as of such Interest Payment Date </w:t>
      </w:r>
      <w:r>
        <w:rPr>
          <w:rFonts w:ascii="Times New Roman" w:hAnsi="Times New Roman"/>
          <w:i/>
          <w:sz w:val="20"/>
        </w:rPr>
        <w:t>divided by</w:t>
      </w:r>
      <w:r>
        <w:rPr>
          <w:rFonts w:ascii="Times New Roman" w:hAnsi="Times New Roman"/>
          <w:sz w:val="20"/>
        </w:rPr>
        <w:t xml:space="preserve"> (ii) the Warrant Conversion Price. Following an Interest Payment Date, Holder shall notify the Company, with sufficient detail, the Stated Interest accrued and outstanding as of such Interest Payment Date, and the Required Holders shall specify the form of payment of such Stated Interest. No later than ten Business Days following receipt of such notification, the Company shall issue to the Holder the applicable cash payment, shares of Common Stock or Pre-Funded Warrant, as applicable. </w:t>
      </w:r>
    </w:p>
    <w:p>
      <w:pPr>
        <w:pStyle w:val="TextBody"/>
        <w:bidi w:val="0"/>
        <w:spacing w:before="240" w:after="0"/>
        <w:jc w:val="left"/>
        <w:rPr>
          <w:rFonts w:ascii="Times New Roman" w:hAnsi="Times New Roman"/>
          <w:sz w:val="20"/>
        </w:rPr>
      </w:pPr>
      <w:r>
        <w:rPr>
          <w:rFonts w:ascii="Times New Roman" w:hAnsi="Times New Roman"/>
          <w:b/>
          <w:sz w:val="20"/>
        </w:rPr>
        <w:t>Section 6.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7.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Conversions in Part</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this Note may be converted in part into shares of Common Stock or, at the Holder’s election, Pre-Funded Warrants, but only in an Authorized Denomination.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applying to the conversion of this Note in whole will equally apply to conversions of any permitted portion of this Note.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When this Note May Be Converted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The Holder may convert this Note at any time until the Close of Business on the second (2nd) Scheduled Trading Day immediately before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Conversion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To convert this Note, the Holder must complete, sign and deliver to the Company the conversion notice attached to this Note on </w:t>
      </w:r>
      <w:r>
        <w:rPr>
          <w:rFonts w:ascii="Times New Roman" w:hAnsi="Times New Roman"/>
          <w:b/>
          <w:sz w:val="20"/>
          <w:u w:val="single"/>
        </w:rPr>
        <w:t>Exhibit A</w:t>
      </w:r>
      <w:r>
        <w:rPr>
          <w:rFonts w:ascii="Times New Roman" w:hAnsi="Times New Roman"/>
          <w:sz w:val="20"/>
        </w:rPr>
        <w:t xml:space="preserve"> or portable document format (.pdf) version of such conversion notice (at which time such conversion will become irrevocable) (a “</w:t>
      </w:r>
      <w:r>
        <w:rPr>
          <w:rFonts w:ascii="Times New Roman" w:hAnsi="Times New Roman"/>
          <w:b/>
          <w:sz w:val="20"/>
        </w:rPr>
        <w:t>Holder Conversion Notice</w:t>
      </w:r>
      <w:r>
        <w:rPr>
          <w:rFonts w:ascii="Times New Roman" w:hAnsi="Times New Roman"/>
          <w:sz w:val="20"/>
        </w:rPr>
        <w:t xml:space="preserve">”). For the avoidance of doubt, the Holder Conversion Notice may be delivered by e-mail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If the Company fails to deliver, by the related Conversion Settlement Date, any shares of Common Stock or Pre-Funded Warrants forming part of the Conversion Consideration of the conversion of this Note, the Holder, by notice to the Company, may rescind all or any portion of the corresponding Holder Conversion Notice at any time until such securities are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Holder of Record of Conversion Shares</w:t>
      </w:r>
      <w:r>
        <w:rPr>
          <w:rFonts w:ascii="Times New Roman" w:hAnsi="Times New Roman"/>
          <w:sz w:val="20"/>
        </w:rPr>
        <w:t xml:space="preserve">. The person in whose name any shares of Common Stock is issuable upon conversion of this Note will be deemed to become the holder of record of such shares of Common Stock or Pre-Funded Warrants as of the Close of Business on the Conversion Date for such conversion, conferring, as of such time, upon such person, without limitation, all voting and other rights appurtenant to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Taxes and Duties.</w:t>
      </w:r>
      <w:r>
        <w:rPr>
          <w:rFonts w:ascii="Times New Roman" w:hAnsi="Times New Roman"/>
          <w:sz w:val="20"/>
        </w:rPr>
        <w:t xml:space="preserve"> If the Holder converts a Note, the Company will pay any documentary, stamp or similar issue or transfer tax or duty due on the issue of any shares of Common Stock or Pre-Funded Warrants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upon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7(D)(ii)</w:t>
      </w:r>
      <w:r>
        <w:rPr>
          <w:rFonts w:ascii="Times New Roman" w:hAnsi="Times New Roman"/>
          <w:sz w:val="20"/>
        </w:rPr>
        <w:t>, the consideration (the “</w:t>
      </w:r>
      <w:r>
        <w:rPr>
          <w:rFonts w:ascii="Times New Roman" w:hAnsi="Times New Roman"/>
          <w:b/>
          <w:sz w:val="20"/>
        </w:rPr>
        <w:t>Conversion Consideration</w:t>
      </w:r>
      <w:r>
        <w:rPr>
          <w:rFonts w:ascii="Times New Roman" w:hAnsi="Times New Roman"/>
          <w:sz w:val="20"/>
        </w:rPr>
        <w:t>”) due in respect of any portion of the outstanding Principal Amount of this Note, to be converted (the “</w:t>
      </w:r>
      <w:r>
        <w:rPr>
          <w:rFonts w:ascii="Times New Roman" w:hAnsi="Times New Roman"/>
          <w:b/>
          <w:sz w:val="20"/>
        </w:rPr>
        <w:t>Conversion Amount</w:t>
      </w:r>
      <w:r>
        <w:rPr>
          <w:rFonts w:ascii="Times New Roman" w:hAnsi="Times New Roman"/>
          <w:sz w:val="20"/>
        </w:rPr>
        <w:t xml:space="preserve">”) will consist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subject to </w:t>
      </w:r>
      <w:r>
        <w:rPr>
          <w:rFonts w:ascii="Times New Roman" w:hAnsi="Times New Roman"/>
          <w:b/>
          <w:sz w:val="20"/>
        </w:rPr>
        <w:t>Section</w:t>
      </w:r>
      <w:r>
        <w:rPr>
          <w:rFonts w:ascii="Times New Roman" w:hAnsi="Times New Roman"/>
          <w:sz w:val="20"/>
        </w:rPr>
        <w:t> </w:t>
      </w:r>
      <w:r>
        <w:rPr>
          <w:rFonts w:ascii="Times New Roman" w:hAnsi="Times New Roman"/>
          <w:b/>
          <w:sz w:val="20"/>
        </w:rPr>
        <w:t>7(D)(ii)</w:t>
      </w:r>
      <w:r>
        <w:rPr>
          <w:rFonts w:ascii="Times New Roman" w:hAnsi="Times New Roman"/>
          <w:sz w:val="20"/>
        </w:rPr>
        <w:t xml:space="preserve">, to the extent the Holder elects to receive shares of Common Stock, a number of shares of Common Stock determined by dividing the Conversion Amount by the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(2) subject to </w:t>
      </w:r>
      <w:r>
        <w:rPr>
          <w:rFonts w:ascii="Times New Roman" w:hAnsi="Times New Roman"/>
          <w:b/>
          <w:sz w:val="20"/>
        </w:rPr>
        <w:t>Section</w:t>
      </w:r>
      <w:r>
        <w:rPr>
          <w:rFonts w:ascii="Times New Roman" w:hAnsi="Times New Roman"/>
          <w:sz w:val="20"/>
        </w:rPr>
        <w:t> </w:t>
      </w:r>
      <w:r>
        <w:rPr>
          <w:rFonts w:ascii="Times New Roman" w:hAnsi="Times New Roman"/>
          <w:b/>
          <w:sz w:val="20"/>
        </w:rPr>
        <w:t>7(D)(ii)</w:t>
      </w:r>
      <w:r>
        <w:rPr>
          <w:rFonts w:ascii="Times New Roman" w:hAnsi="Times New Roman"/>
          <w:sz w:val="20"/>
        </w:rPr>
        <w:t xml:space="preserve">, to the extent the Holder elects to receive Pre-Funded Warrants, a number of Pre-Funded Warrants determined by dividing the Conversion Amount by the Warrant Conversion Price; and </w:t>
      </w:r>
    </w:p>
    <w:p>
      <w:pPr>
        <w:pStyle w:val="TextBody"/>
        <w:bidi w:val="0"/>
        <w:spacing w:before="120" w:after="0"/>
        <w:jc w:val="left"/>
        <w:rPr>
          <w:rFonts w:ascii="Times New Roman" w:hAnsi="Times New Roman"/>
          <w:sz w:val="20"/>
        </w:rPr>
      </w:pPr>
      <w:r>
        <w:rPr>
          <w:rFonts w:ascii="Times New Roman" w:hAnsi="Times New Roman"/>
          <w:sz w:val="20"/>
        </w:rPr>
        <w:t xml:space="preserve">(3) cash in an amount equal to the aggregate accrued and unpaid interest on this Note to, but excluding, the Conversion Settlement Date for such conversion or, at the election of the Company, a number of Pre-Funded Warrants equal to the quotient (rounded up to the closest whole number) obtained by dividing the aggregate accrued and unpaid interest on this Note to, but excluding, the Conversion Settlement Date by the Warrant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Fractional Shares</w:t>
      </w:r>
      <w:r>
        <w:rPr>
          <w:rFonts w:ascii="Times New Roman" w:hAnsi="Times New Roman"/>
          <w:sz w:val="20"/>
        </w:rPr>
        <w:t xml:space="preserve">. The total number of shares of Common Stock or Pre-Funded Warrants due in respect of any conversion of this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will be determined on the basis of the total Principal Amount of this Note to be converted with the same Conversion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number of shares of Common Stock or Pre-Funded Warrants is not a whole number, then such number will be rounded up to the nearest whole number.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Delivery of the Conversion Consideration</w:t>
      </w:r>
      <w:r>
        <w:rPr>
          <w:rFonts w:ascii="Times New Roman" w:hAnsi="Times New Roman"/>
          <w:sz w:val="20"/>
        </w:rPr>
        <w:t>. The Company will deliver the Conversion Consideration due upon the conversion of this Note, to the Holder on or before the second (2nd) Business Day (or, if earlier, the standard settlement period for the primary Eligible Exchange (measured in terms of trading volume for its Common Stock) on which the Common Stock are traded) immediately after the Conversion Date for such conversion (the “</w:t>
      </w:r>
      <w:r>
        <w:rPr>
          <w:rFonts w:ascii="Times New Roman" w:hAnsi="Times New Roman"/>
          <w:b/>
          <w:sz w:val="20"/>
        </w:rPr>
        <w:t>Conversion Settlement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Effect of Conversion</w:t>
      </w:r>
      <w:r>
        <w:rPr>
          <w:rFonts w:ascii="Times New Roman" w:hAnsi="Times New Roman"/>
          <w:sz w:val="20"/>
        </w:rPr>
        <w:t xml:space="preserve">. If this Note is converted in full, then, from and after the date the Conversion Consideration therefor is issued or delivered in settlement of such conversion, this Note will cease to be outstanding and all interest will cease to accrue on this Note.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Common Stock</w:t>
      </w:r>
      <w:r>
        <w:rPr>
          <w:rFonts w:ascii="Times New Roman" w:hAnsi="Times New Roman"/>
          <w:sz w:val="20"/>
        </w:rPr>
        <w:t xml:space="preserve"> </w:t>
      </w:r>
      <w:r>
        <w:rPr>
          <w:rFonts w:ascii="Times New Roman" w:hAnsi="Times New Roman"/>
          <w:i/>
          <w:sz w:val="20"/>
        </w:rPr>
        <w:t>Issued upon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Status of Conversion Shares; Listing</w:t>
      </w:r>
      <w:r>
        <w:rPr>
          <w:rFonts w:ascii="Times New Roman" w:hAnsi="Times New Roman"/>
          <w:sz w:val="20"/>
        </w:rPr>
        <w:t xml:space="preserve">. Each share of Common Stock delivered pursuant to this Note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pursuant to this Note, when delivered, to be admitted for listing on such exchange or quotation on such system.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Effect of Certain Recapitalizations, Reclassifications, Consolidations, Mergers and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If there occurs: </w:t>
      </w:r>
    </w:p>
    <w:p>
      <w:pPr>
        <w:pStyle w:val="TextBody"/>
        <w:bidi w:val="0"/>
        <w:spacing w:before="120" w:after="0"/>
        <w:jc w:val="left"/>
        <w:rPr>
          <w:rFonts w:ascii="Times New Roman" w:hAnsi="Times New Roman"/>
          <w:sz w:val="20"/>
        </w:rPr>
      </w:pPr>
      <w:r>
        <w:rPr>
          <w:rFonts w:ascii="Times New Roman" w:hAnsi="Times New Roman"/>
          <w:sz w:val="20"/>
        </w:rPr>
        <w:t xml:space="preserve">(1) 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(2) consolidation, merger, combination or binding or statutory share exchange involving the Company; </w:t>
      </w:r>
    </w:p>
    <w:p>
      <w:pPr>
        <w:pStyle w:val="TextBody"/>
        <w:bidi w:val="0"/>
        <w:spacing w:before="120" w:after="0"/>
        <w:jc w:val="left"/>
        <w:rPr>
          <w:rFonts w:ascii="Times New Roman" w:hAnsi="Times New Roman"/>
          <w:sz w:val="20"/>
        </w:rPr>
      </w:pPr>
      <w:r>
        <w:rPr>
          <w:rFonts w:ascii="Times New Roman" w:hAnsi="Times New Roman"/>
          <w:sz w:val="20"/>
        </w:rPr>
        <w:t xml:space="preserve">(3) sale, lease or other transfer of all or substantially all of the assets of the Company and its Subsidiaries, taken as a whole, to any Person; or </w:t>
      </w:r>
    </w:p>
    <w:p>
      <w:pPr>
        <w:pStyle w:val="TextBody"/>
        <w:bidi w:val="0"/>
        <w:spacing w:before="120" w:after="0"/>
        <w:jc w:val="left"/>
        <w:rPr>
          <w:rFonts w:ascii="Times New Roman" w:hAnsi="Times New Roman"/>
          <w:sz w:val="20"/>
        </w:rPr>
      </w:pPr>
      <w:r>
        <w:rPr>
          <w:rFonts w:ascii="Times New Roman" w:hAnsi="Times New Roman"/>
          <w:sz w:val="20"/>
        </w:rPr>
        <w:t xml:space="preserve">(4) other similar event, </w:t>
      </w:r>
    </w:p>
    <w:p>
      <w:pPr>
        <w:pStyle w:val="TextBody"/>
        <w:bidi w:val="0"/>
        <w:spacing w:before="120" w:after="0"/>
        <w:jc w:val="left"/>
        <w:rPr>
          <w:rFonts w:ascii="Times New Roman" w:hAnsi="Times New Roman"/>
          <w:sz w:val="20"/>
        </w:rPr>
      </w:pPr>
      <w:r>
        <w:rPr>
          <w:rFonts w:ascii="Times New Roman" w:hAnsi="Times New Roman"/>
          <w:sz w:val="20"/>
        </w:rPr>
        <w:t>and, in each case, as a result of such occurrence, the Common Stock is converted into, or is exchanged for, or represents solely the right to receive, other securities or other property (including cash or any combination of the foregoing) (such an event, a “</w:t>
      </w:r>
      <w:r>
        <w:rPr>
          <w:rFonts w:ascii="Times New Roman" w:hAnsi="Times New Roman"/>
          <w:b/>
          <w:sz w:val="20"/>
        </w:rPr>
        <w:t>Common Stock</w:t>
      </w:r>
      <w:r>
        <w:rPr>
          <w:rFonts w:ascii="Times New Roman" w:hAnsi="Times New Roman"/>
          <w:sz w:val="20"/>
        </w:rPr>
        <w:t xml:space="preserve"> </w:t>
      </w:r>
      <w:r>
        <w:rPr>
          <w:rFonts w:ascii="Times New Roman" w:hAnsi="Times New Roman"/>
          <w:b/>
          <w:sz w:val="20"/>
        </w:rPr>
        <w:t>Change Event</w:t>
      </w:r>
      <w:r>
        <w:rPr>
          <w:rFonts w:ascii="Times New Roman" w:hAnsi="Times New Roman"/>
          <w:sz w:val="20"/>
        </w:rPr>
        <w:t>,” and such other securities or other property, the “</w:t>
      </w:r>
      <w:r>
        <w:rPr>
          <w:rFonts w:ascii="Times New Roman" w:hAnsi="Times New Roman"/>
          <w:b/>
          <w:sz w:val="20"/>
        </w:rPr>
        <w:t>Reference Property</w:t>
      </w:r>
      <w:r>
        <w:rPr>
          <w:rFonts w:ascii="Times New Roman" w:hAnsi="Times New Roman"/>
          <w:sz w:val="20"/>
        </w:rPr>
        <w:t xml:space="preserve">,” and the amount and kind of Reference Property that a holder of one (1) share of Common Stock would be entitled to receive on account of such Common Stock Change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(without giving effect to any arrangement not to issue fractional shares of securities or other property), a “</w:t>
      </w:r>
      <w:r>
        <w:rPr>
          <w:rFonts w:ascii="Times New Roman" w:hAnsi="Times New Roman"/>
          <w:b/>
          <w:sz w:val="20"/>
        </w:rPr>
        <w:t>Reference Property Unit</w:t>
      </w:r>
      <w:r>
        <w:rPr>
          <w:rFonts w:ascii="Times New Roman" w:hAnsi="Times New Roman"/>
          <w:sz w:val="20"/>
        </w:rPr>
        <w:t xml:space="preserve">”), then, notwithstanding anything to the contrary in this Note, at the effective time of such Common Stock Change Event, (x) the Conversion Consideration due upon conversion of any Note will be determined in the same manner as if each reference to any number of shares of Common Stock in this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(or in any related definitions) were instead a reference to the same number of Reference Property Units; and (y)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7(A)</w:t>
      </w:r>
      <w:r>
        <w:rPr>
          <w:rFonts w:ascii="Times New Roman" w:hAnsi="Times New Roman"/>
          <w:sz w:val="20"/>
        </w:rPr>
        <w:t xml:space="preserve">, each reference to any number of shares of Common Stock in such Section (or in any related definitions) will instead be deemed to be a reference to the same number of Reference Property Units. For these purposes, (I) the Daily VWAP of any Reference Property Unit or portion thereof that consists of a class of common equity securities will be determined by reference to the definition of “Daily VWAP,” substituting, if applicable, the reported Bloomberg page data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 </w:t>
      </w:r>
    </w:p>
    <w:p>
      <w:pPr>
        <w:pStyle w:val="TextBody"/>
        <w:bidi w:val="0"/>
        <w:spacing w:before="120" w:after="0"/>
        <w:jc w:val="left"/>
        <w:rPr>
          <w:rFonts w:ascii="Times New Roman" w:hAnsi="Times New Roman"/>
          <w:sz w:val="20"/>
        </w:rPr>
      </w:pPr>
      <w:r>
        <w:rPr>
          <w:rFonts w:ascii="Times New Roman" w:hAnsi="Times New Roman"/>
          <w:sz w:val="20"/>
        </w:rPr>
        <w:t xml:space="preserve">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 of such weighted average as soon as practicable after such determination is made. </w:t>
      </w:r>
    </w:p>
    <w:p>
      <w:pPr>
        <w:pStyle w:val="TextBody"/>
        <w:bidi w:val="0"/>
        <w:spacing w:before="120" w:after="0"/>
        <w:jc w:val="left"/>
        <w:rPr>
          <w:rFonts w:ascii="Times New Roman" w:hAnsi="Times New Roman"/>
          <w:sz w:val="20"/>
        </w:rPr>
      </w:pPr>
      <w:r>
        <w:rPr>
          <w:rFonts w:ascii="Times New Roman" w:hAnsi="Times New Roman"/>
          <w:sz w:val="20"/>
        </w:rPr>
        <w:t>At or before the effective date of such Common Stock Change Event, the Company and the resulting, surviving or transferee Person (if not the Company) of such Common Stock Change Event (the “</w:t>
      </w:r>
      <w:r>
        <w:rPr>
          <w:rFonts w:ascii="Times New Roman" w:hAnsi="Times New Roman"/>
          <w:b/>
          <w:sz w:val="20"/>
        </w:rPr>
        <w:t>Successor Person</w:t>
      </w:r>
      <w:r>
        <w:rPr>
          <w:rFonts w:ascii="Times New Roman" w:hAnsi="Times New Roman"/>
          <w:sz w:val="20"/>
        </w:rPr>
        <w:t xml:space="preserve">”) will execute and deliver such instruments or agreements that (x) provides for subsequent conversions of this Note in the manner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7(H)</w:t>
      </w:r>
      <w:r>
        <w:rPr>
          <w:rFonts w:ascii="Times New Roman" w:hAnsi="Times New Roman"/>
          <w:sz w:val="20"/>
        </w:rPr>
        <w:t xml:space="preserve">; and (y) contains such other provisions as the Company reasonably determines are appropriate to preserve the economic interests of the Holder and to give effect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7(H)</w:t>
      </w:r>
      <w:r>
        <w:rPr>
          <w:rFonts w:ascii="Times New Roman" w:hAnsi="Times New Roman"/>
          <w:sz w:val="20"/>
        </w:rPr>
        <w:t xml:space="preserve">. If the Reference Property includes shares of stock or other securities or assets of a Person other than the Successor Person, then such other Person will also execute such instruments or agreements and such instruments or agreements will contain such additional provisions the Company reasonably determines are appropriate to preserve the economic interests of the Holder.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Compliance Covenant</w:t>
      </w:r>
      <w:r>
        <w:rPr>
          <w:rFonts w:ascii="Times New Roman" w:hAnsi="Times New Roman"/>
          <w:sz w:val="20"/>
        </w:rPr>
        <w:t xml:space="preserve">. The Company will not become a party to any Common Stock Change Event unless its terms are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7(H)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Limitations on Conversions.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shall not effect any conversion of this Note, and the Holder shall not have the right to convert any portion of this Note, pursuant to Section 7 or otherwise, to the extent that after giving effect to such issuance after conversion as set forth on the applicable Holder Conversion Notice, the Holder (together with the Holder’s Affiliates, and any other Persons acting as a group together with the Holder or any of the Holder’s Affiliates (such Persons, “</w:t>
      </w:r>
      <w:r>
        <w:rPr>
          <w:rFonts w:ascii="Times New Roman" w:hAnsi="Times New Roman"/>
          <w:b/>
          <w:sz w:val="20"/>
          <w:u w:val="single"/>
        </w:rPr>
        <w:t>Attribution Parties</w:t>
      </w:r>
      <w:r>
        <w:rPr>
          <w:rFonts w:ascii="Times New Roman" w:hAnsi="Times New Roman"/>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unconverted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7(I)(i),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7(I)(i) applies, the determination of whether this Note is convertible (in relation to other securities owned by the Holder together with any Affiliates and Attribution Parties) and of which portion of this Note is convertible shall be in the sole discretion of the Holder, and the submission of a Holder Conversion Notice shall be deemed to be the Holder’s determination of whether this Note is convertible (in relation to other securities owned by the Holder together with any Affiliates and Attribution Parties) and of which portion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7(I)(i),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its transfer agent setting forth the number of shares of Common Stock outstanding. Upon the written or oral request of the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[4.99/49.99]% of the number of shares of the Common Stock outstanding immediately after giving effect to the issuance of shares of Common Stock issuable upon conversion of this Note. The Holder, upon notice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may increase or decrease the Beneficial Ownership Limitation provisions of this Section 7(I)(i), provided that the Beneficial Ownership Limitation in no event exceeds [9.99/49.99]% of the number of shares of the Common Stock outstanding immediately after giving effect to the issuance of shares of Common Stock upon conversion of this Note held by the Holder and the provisions of this Section 7(I)(i)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7(I)(i)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Note </w:t>
      </w:r>
    </w:p>
    <w:p>
      <w:pPr>
        <w:pStyle w:val="TextBody"/>
        <w:bidi w:val="0"/>
        <w:spacing w:before="120" w:after="0"/>
        <w:jc w:val="left"/>
        <w:rPr>
          <w:rFonts w:ascii="Times New Roman" w:hAnsi="Times New Roman"/>
          <w:sz w:val="20"/>
        </w:rPr>
      </w:pPr>
      <w:r>
        <w:rPr>
          <w:rFonts w:ascii="Times New Roman" w:hAnsi="Times New Roman"/>
          <w:sz w:val="20"/>
        </w:rPr>
        <w:t xml:space="preserve">(ii) Additionally, notwithstanding anything contained herein to the contrary, the Holder shall not be entitled to convert any portion of this Note until the Company has obtained the approval of the shareholders of the Company for such conversion in accordance with Listing Rule 5635 of The Nasdaq Stock Market LLC, as applicable, solely to the extent that, at such time, the Company determines that such approval is required under such Listing Rules for such conversion. </w:t>
      </w:r>
    </w:p>
    <w:p>
      <w:pPr>
        <w:pStyle w:val="TextBody"/>
        <w:bidi w:val="0"/>
        <w:spacing w:before="240" w:after="0"/>
        <w:jc w:val="left"/>
        <w:rPr>
          <w:rFonts w:ascii="Times New Roman" w:hAnsi="Times New Roman"/>
          <w:sz w:val="20"/>
        </w:rPr>
      </w:pPr>
      <w:r>
        <w:rPr>
          <w:rFonts w:ascii="Times New Roman" w:hAnsi="Times New Roman"/>
          <w:b/>
          <w:sz w:val="20"/>
        </w:rPr>
        <w:t>Section 8.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9. AFFIRMATIVE AND NEGATIVE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Stay, Extension and Usury Laws</w:t>
      </w:r>
      <w:r>
        <w:rPr>
          <w:rFonts w:ascii="Times New Roman" w:hAnsi="Times New Roman"/>
          <w:sz w:val="20"/>
        </w:rPr>
        <w:t xml:space="preserve">.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Ranking</w:t>
      </w:r>
      <w:r>
        <w:rPr>
          <w:rFonts w:ascii="Times New Roman" w:hAnsi="Times New Roman"/>
          <w:sz w:val="20"/>
        </w:rPr>
        <w:t xml:space="preserve">. All payments due under this Note (i) shall rank </w:t>
      </w:r>
      <w:r>
        <w:rPr>
          <w:rFonts w:ascii="Times New Roman" w:hAnsi="Times New Roman"/>
          <w:i/>
          <w:sz w:val="20"/>
        </w:rPr>
        <w:t>pari passu</w:t>
      </w:r>
      <w:r>
        <w:rPr>
          <w:rFonts w:ascii="Times New Roman" w:hAnsi="Times New Roman"/>
          <w:sz w:val="20"/>
        </w:rPr>
        <w:t xml:space="preserve"> with the Existing Notes and the other Notes, and (ii) shall rank senior to all other Indebtedness of the Company (other than the indebtedness described in clause (i)) and any Subordinated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acknowledges and agrees that the Holder is not a fiduciary or agent of the Company, the Holder will not have any obligations hereunder except those obligations expressly set forth herein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cause this Note and any shares of Common Stock issuable pursuant to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 </w:t>
      </w:r>
    </w:p>
    <w:p>
      <w:pPr>
        <w:pStyle w:val="TextBody"/>
        <w:bidi w:val="0"/>
        <w:spacing w:before="240" w:after="0"/>
        <w:jc w:val="left"/>
        <w:rPr>
          <w:rFonts w:ascii="Times New Roman" w:hAnsi="Times New Roman"/>
          <w:sz w:val="20"/>
        </w:rPr>
      </w:pPr>
      <w:r>
        <w:rPr>
          <w:rFonts w:ascii="Times New Roman" w:hAnsi="Times New Roman"/>
          <w:sz w:val="20"/>
        </w:rPr>
        <w:t>(F) The Company shall at all times have a number of authorized and unissued shares of Common Stock no less than a number of shares of Common Stock equal to the sum of (i) 100% of the maximum number of shares of Common Stock as shall be necessary to satisfy the Company’s obligation to issue shares of Common Stock under the warrants then outstanding held by Holder or its affiliates and any other warrants outstanding, plus (ii) an amount equal to the number of shares of Common Stock that the Principal Amount and all accrued interest would convert into (assuming conversion of all amounts outstanding) under this Note, the other Notes, the Existing Notes, and any other convertible instrument of the Company (the “</w:t>
      </w:r>
      <w:r>
        <w:rPr>
          <w:rFonts w:ascii="Times New Roman" w:hAnsi="Times New Roman"/>
          <w:b/>
          <w:sz w:val="20"/>
        </w:rPr>
        <w:t>Required Reserve Amount</w:t>
      </w:r>
      <w:r>
        <w:rPr>
          <w:rFonts w:ascii="Times New Roman" w:hAnsi="Times New Roman"/>
          <w:sz w:val="20"/>
        </w:rPr>
        <w:t xml:space="preserve">”), provided that at no time shall the number of shares of Common Stock reserved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9(F)</w:t>
      </w:r>
      <w:r>
        <w:rPr>
          <w:rFonts w:ascii="Times New Roman" w:hAnsi="Times New Roman"/>
          <w:sz w:val="20"/>
        </w:rPr>
        <w:t xml:space="preserve"> be reduced other than in connection with any stock combination, reverse stock split or other similar transaction.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authorize additional shares to meet the Company’s obligations hereunder,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 </w:t>
      </w:r>
    </w:p>
    <w:p>
      <w:pPr>
        <w:pStyle w:val="TextBody"/>
        <w:bidi w:val="0"/>
        <w:spacing w:before="240" w:after="0"/>
        <w:jc w:val="left"/>
        <w:rPr>
          <w:rFonts w:ascii="Times New Roman" w:hAnsi="Times New Roman"/>
          <w:sz w:val="20"/>
        </w:rPr>
      </w:pPr>
      <w:r>
        <w:rPr>
          <w:rFonts w:ascii="Times New Roman" w:hAnsi="Times New Roman"/>
          <w:b/>
          <w:sz w:val="20"/>
        </w:rPr>
        <w:t>Section 10. 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hAnsi="Times New Roman"/>
          <w:b/>
          <w:sz w:val="20"/>
        </w:rPr>
        <w:t>Business Combination Event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(A) the resulting, surviving or transferee Person either (x) is the Company or (y) if not the Company, is a corporation (the “</w:t>
      </w:r>
      <w:r>
        <w:rPr>
          <w:rFonts w:ascii="Times New Roman" w:hAnsi="Times New Roman"/>
          <w:b/>
          <w:sz w:val="20"/>
        </w:rPr>
        <w:t>Successor Corporation</w:t>
      </w:r>
      <w:r>
        <w:rPr>
          <w:rFonts w:ascii="Times New Roman" w:hAnsi="Times New Roman"/>
          <w:sz w:val="20"/>
        </w:rPr>
        <w:t xml:space="preserve">”) duly organized and existing under the laws of the United States of America, any State thereof or the District of Columbia that expressly assumes (by executing and delivering to the Holder, at or before the effective time of such Business Combination Event, a supplement to this instrument) all of the Company’s obligations under this Note; and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Business Combination Event, no Default or Event of Default will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 </w:t>
      </w:r>
    </w:p>
    <w:p>
      <w:pPr>
        <w:pStyle w:val="TextBody"/>
        <w:bidi w:val="0"/>
        <w:spacing w:before="240" w:after="0"/>
        <w:jc w:val="left"/>
        <w:rPr>
          <w:rFonts w:ascii="Times New Roman" w:hAnsi="Times New Roman"/>
          <w:sz w:val="20"/>
        </w:rPr>
      </w:pPr>
      <w:r>
        <w:rPr>
          <w:rFonts w:ascii="Times New Roman" w:hAnsi="Times New Roman"/>
          <w:b/>
          <w:sz w:val="20"/>
        </w:rPr>
        <w:t>Section 11. DEFAULTS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Events of Default</w:t>
      </w:r>
      <w:r>
        <w:rPr>
          <w:rFonts w:ascii="Times New Roman" w:hAnsi="Times New Roman"/>
          <w:sz w:val="20"/>
        </w:rPr>
        <w:t>. “</w:t>
      </w:r>
      <w:r>
        <w:rPr>
          <w:rFonts w:ascii="Times New Roman" w:hAnsi="Times New Roman"/>
          <w:b/>
          <w:sz w:val="20"/>
        </w:rPr>
        <w:t>Event of Default</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default in the payment when due of the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(ii) a default for three (3) Business Days in the payment when due of the interest on this Note; </w:t>
      </w:r>
    </w:p>
    <w:p>
      <w:pPr>
        <w:pStyle w:val="TextBody"/>
        <w:bidi w:val="0"/>
        <w:spacing w:before="240" w:after="0"/>
        <w:jc w:val="left"/>
        <w:rPr>
          <w:rFonts w:ascii="Times New Roman" w:hAnsi="Times New Roman"/>
          <w:sz w:val="20"/>
        </w:rPr>
      </w:pPr>
      <w:r>
        <w:rPr>
          <w:rFonts w:ascii="Times New Roman" w:hAnsi="Times New Roman"/>
          <w:sz w:val="20"/>
        </w:rPr>
        <w:t xml:space="preserve">(iii) a default in the Company’s obligation to issue shares pursuant to this Note (or any portion of this Note)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7(C)</w:t>
      </w:r>
      <w:r>
        <w:rPr>
          <w:rFonts w:ascii="Times New Roman" w:hAnsi="Times New Roman"/>
          <w:sz w:val="20"/>
        </w:rPr>
        <w:t xml:space="preserve"> upon the exercise of the Holder’s right with respect thereto that remains uncured for ten (10) Business Days following written notice of such Default from the Holder;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i/>
          <w:sz w:val="20"/>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 default in the Company’s obligation to deliver when due any Event of Default Acceleration Amount; </w:t>
      </w:r>
    </w:p>
    <w:p>
      <w:pPr>
        <w:pStyle w:val="TextBody"/>
        <w:bidi w:val="0"/>
        <w:spacing w:before="240" w:after="0"/>
        <w:jc w:val="left"/>
        <w:rPr>
          <w:rFonts w:ascii="Times New Roman" w:hAnsi="Times New Roman"/>
          <w:sz w:val="20"/>
        </w:rPr>
      </w:pPr>
      <w:r>
        <w:rPr>
          <w:rFonts w:ascii="Times New Roman" w:hAnsi="Times New Roman"/>
          <w:sz w:val="20"/>
        </w:rPr>
        <w:t xml:space="preserve">(vi) any failure to timely deliver an Event of Default Notice or a materially false or inaccurate certification as to whether any Event of Default has occurred; </w:t>
      </w:r>
    </w:p>
    <w:p>
      <w:pPr>
        <w:pStyle w:val="TextBody"/>
        <w:bidi w:val="0"/>
        <w:spacing w:before="240" w:after="0"/>
        <w:jc w:val="left"/>
        <w:rPr>
          <w:rFonts w:ascii="Times New Roman" w:hAnsi="Times New Roman"/>
          <w:sz w:val="20"/>
        </w:rPr>
      </w:pPr>
      <w:r>
        <w:rPr>
          <w:rFonts w:ascii="Times New Roman" w:hAnsi="Times New Roman"/>
          <w:sz w:val="20"/>
        </w:rPr>
        <w:t xml:space="preserve">(vii) a default in any of the Company’s obligations or agreements under this Note, any other Note or any Existing Notes, (in each case, other than a default set forth in clauses </w:t>
      </w:r>
      <w:r>
        <w:rPr>
          <w:rFonts w:ascii="Times New Roman" w:hAnsi="Times New Roman"/>
          <w:b/>
          <w:sz w:val="20"/>
        </w:rPr>
        <w:t>(i)</w:t>
      </w:r>
      <w:r>
        <w:rPr>
          <w:rFonts w:ascii="Times New Roman" w:hAnsi="Times New Roman"/>
          <w:sz w:val="20"/>
        </w:rPr>
        <w:t xml:space="preserve"> - </w:t>
      </w:r>
      <w:r>
        <w:rPr>
          <w:rFonts w:ascii="Times New Roman" w:hAnsi="Times New Roman"/>
          <w:b/>
          <w:sz w:val="20"/>
        </w:rPr>
        <w:t>(vi)</w:t>
      </w:r>
      <w:r>
        <w:rPr>
          <w:rFonts w:ascii="Times New Roman" w:hAnsi="Times New Roman"/>
          <w:sz w:val="20"/>
        </w:rPr>
        <w:t xml:space="preserve"> or </w:t>
      </w:r>
      <w:r>
        <w:rPr>
          <w:rFonts w:ascii="Times New Roman" w:hAnsi="Times New Roman"/>
          <w:b/>
          <w:sz w:val="20"/>
        </w:rPr>
        <w:t>(viii)</w:t>
      </w:r>
      <w:r>
        <w:rPr>
          <w:rFonts w:ascii="Times New Roman" w:hAnsi="Times New Roman"/>
          <w:sz w:val="20"/>
        </w:rPr>
        <w:t xml:space="preserve"> – </w:t>
      </w:r>
      <w:r>
        <w:rPr>
          <w:rFonts w:ascii="Times New Roman" w:hAnsi="Times New Roman"/>
          <w:b/>
          <w:sz w:val="20"/>
        </w:rPr>
        <w:t xml:space="preserve">(xix) </w:t>
      </w:r>
      <w:r>
        <w:rPr>
          <w:rFonts w:ascii="Times New Roman" w:hAnsi="Times New Roman"/>
          <w:sz w:val="20"/>
        </w:rPr>
        <w:t xml:space="preserve">of this </w:t>
      </w:r>
      <w:r>
        <w:rPr>
          <w:rFonts w:ascii="Times New Roman" w:hAnsi="Times New Roman"/>
          <w:b/>
          <w:sz w:val="20"/>
        </w:rPr>
        <w:t>Section</w:t>
      </w:r>
      <w:r>
        <w:rPr>
          <w:rFonts w:ascii="Times New Roman" w:hAnsi="Times New Roman"/>
          <w:sz w:val="20"/>
        </w:rPr>
        <w:t> </w:t>
      </w:r>
      <w:r>
        <w:rPr>
          <w:rFonts w:ascii="Times New Roman" w:hAnsi="Times New Roman"/>
          <w:b/>
          <w:sz w:val="20"/>
        </w:rPr>
        <w:t>11(A)</w:t>
      </w:r>
      <w:r>
        <w:rPr>
          <w:rFonts w:ascii="Times New Roman" w:hAnsi="Times New Roman"/>
          <w:sz w:val="20"/>
        </w:rPr>
        <w:t xml:space="preserve">), or a breach of any representation or warranty in any material respect (other than representations or warranties subject to material adverse effect or materiality qualifications, which may not be breached in any respect) of this Note, any other Note or any Existing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default can be cured, then such default shall not be an Event of Default unless the Company has failed to cure such default within ten (10) Business Days after its occurrence; </w:t>
      </w:r>
    </w:p>
    <w:p>
      <w:pPr>
        <w:pStyle w:val="TextBody"/>
        <w:bidi w:val="0"/>
        <w:spacing w:before="240" w:after="0"/>
        <w:jc w:val="left"/>
        <w:rPr>
          <w:rFonts w:ascii="Times New Roman" w:hAnsi="Times New Roman"/>
          <w:sz w:val="20"/>
        </w:rPr>
      </w:pPr>
      <w:r>
        <w:rPr>
          <w:rFonts w:ascii="Times New Roman" w:hAnsi="Times New Roman"/>
          <w:sz w:val="20"/>
        </w:rPr>
        <w:t xml:space="preserve">(viii) any provision of any Existing Note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 </w:t>
      </w:r>
    </w:p>
    <w:p>
      <w:pPr>
        <w:pStyle w:val="TextBody"/>
        <w:bidi w:val="0"/>
        <w:spacing w:before="240" w:after="0"/>
        <w:jc w:val="left"/>
        <w:rPr>
          <w:rFonts w:ascii="Times New Roman" w:hAnsi="Times New Roman"/>
          <w:sz w:val="20"/>
        </w:rPr>
      </w:pPr>
      <w:r>
        <w:rPr>
          <w:rFonts w:ascii="Times New Roman" w:hAnsi="Times New Roman"/>
          <w:sz w:val="20"/>
        </w:rPr>
        <w:t xml:space="preserve">(ix) the Company fails to comply with any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9(W)</w:t>
      </w:r>
      <w:r>
        <w:rPr>
          <w:rFonts w:ascii="Times New Roman" w:hAnsi="Times New Roman"/>
          <w:sz w:val="20"/>
        </w:rPr>
        <w:t xml:space="preserve">of this Note; </w:t>
      </w:r>
    </w:p>
    <w:p>
      <w:pPr>
        <w:pStyle w:val="TextBody"/>
        <w:bidi w:val="0"/>
        <w:spacing w:before="240" w:after="0"/>
        <w:jc w:val="left"/>
        <w:rPr>
          <w:rFonts w:ascii="Times New Roman" w:hAnsi="Times New Roman"/>
          <w:sz w:val="20"/>
        </w:rPr>
      </w:pPr>
      <w:r>
        <w:rPr>
          <w:rFonts w:ascii="Times New Roman" w:hAnsi="Times New Roman"/>
          <w:sz w:val="20"/>
        </w:rPr>
        <w:t xml:space="preserve">(x) [Reserved]; </w:t>
      </w:r>
    </w:p>
    <w:p>
      <w:pPr>
        <w:pStyle w:val="TextBody"/>
        <w:bidi w:val="0"/>
        <w:spacing w:before="240" w:after="0"/>
        <w:jc w:val="left"/>
        <w:rPr>
          <w:rFonts w:ascii="Times New Roman" w:hAnsi="Times New Roman"/>
          <w:sz w:val="20"/>
        </w:rPr>
      </w:pPr>
      <w:r>
        <w:rPr>
          <w:rFonts w:ascii="Times New Roman" w:hAnsi="Times New Roman"/>
          <w:sz w:val="20"/>
        </w:rPr>
        <w:t xml:space="preserve">(xi) (i) the failure of the Company or any of its Subsidiaries to pay when due or within any applicable grace period any Indebtedness having an individual principal amount in excess of at least three million dollars ($3,000,000)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three million dollars ($3,000,000)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three million dollars ($3,000,000) to become or be declared due prior to its stated maturity; </w:t>
      </w:r>
    </w:p>
    <w:p>
      <w:pPr>
        <w:pStyle w:val="TextBody"/>
        <w:bidi w:val="0"/>
        <w:spacing w:before="240" w:after="0"/>
        <w:jc w:val="left"/>
        <w:rPr>
          <w:rFonts w:ascii="Times New Roman" w:hAnsi="Times New Roman"/>
          <w:sz w:val="20"/>
        </w:rPr>
      </w:pPr>
      <w:r>
        <w:rPr>
          <w:rFonts w:ascii="Times New Roman" w:hAnsi="Times New Roman"/>
          <w:sz w:val="20"/>
        </w:rPr>
        <w:t xml:space="preserve">(xii) one or more final judgments, orders or awards (or any settlement of any litigation or other proceeding that, if breached, could result in a judgment, order or award) for the payment of at least three million dollars ($3,000,000)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[Reserved]; </w:t>
      </w:r>
    </w:p>
    <w:p>
      <w:pPr>
        <w:pStyle w:val="TextBody"/>
        <w:bidi w:val="0"/>
        <w:spacing w:before="240" w:after="0"/>
        <w:jc w:val="left"/>
        <w:rPr>
          <w:rFonts w:ascii="Times New Roman" w:hAnsi="Times New Roman"/>
          <w:sz w:val="20"/>
        </w:rPr>
      </w:pPr>
      <w:r>
        <w:rPr>
          <w:rFonts w:ascii="Times New Roman" w:hAnsi="Times New Roman"/>
          <w:sz w:val="20"/>
        </w:rPr>
        <w:t xml:space="preserve">(xiv) The Security Agreement shall for any reason fail or cease to create a separate valid and perfected first priority (other than for Existing Notes and the other Notes) Lien on the Collateral, in each case, in favor of the Holder in accordance with the terms thereof, or any material provision of the Security Agreement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 </w:t>
      </w:r>
    </w:p>
    <w:p>
      <w:pPr>
        <w:pStyle w:val="TextBody"/>
        <w:bidi w:val="0"/>
        <w:spacing w:before="240" w:after="0"/>
        <w:jc w:val="left"/>
        <w:rPr>
          <w:rFonts w:ascii="Times New Roman" w:hAnsi="Times New Roman"/>
          <w:sz w:val="20"/>
        </w:rPr>
      </w:pPr>
      <w:r>
        <w:rPr>
          <w:rFonts w:ascii="Times New Roman" w:hAnsi="Times New Roman"/>
          <w:sz w:val="20"/>
        </w:rPr>
        <w:t xml:space="preserve">(xv) [Reserved]; </w:t>
      </w:r>
    </w:p>
    <w:p>
      <w:pPr>
        <w:pStyle w:val="TextBody"/>
        <w:bidi w:val="0"/>
        <w:spacing w:before="240" w:after="0"/>
        <w:jc w:val="left"/>
        <w:rPr>
          <w:rFonts w:ascii="Times New Roman" w:hAnsi="Times New Roman"/>
          <w:sz w:val="20"/>
        </w:rPr>
      </w:pPr>
      <w:r>
        <w:rPr>
          <w:rFonts w:ascii="Times New Roman" w:hAnsi="Times New Roman"/>
          <w:sz w:val="20"/>
        </w:rPr>
        <w:t xml:space="preserve">(xvi) [Reserved]; </w:t>
      </w:r>
    </w:p>
    <w:p>
      <w:pPr>
        <w:pStyle w:val="TextBody"/>
        <w:bidi w:val="0"/>
        <w:spacing w:before="240" w:after="0"/>
        <w:jc w:val="left"/>
        <w:rPr>
          <w:rFonts w:ascii="Times New Roman" w:hAnsi="Times New Roman"/>
          <w:sz w:val="20"/>
        </w:rPr>
      </w:pPr>
      <w:r>
        <w:rPr>
          <w:rFonts w:ascii="Times New Roman" w:hAnsi="Times New Roman"/>
          <w:sz w:val="20"/>
        </w:rPr>
        <w:t xml:space="preserve">(xvii) the Company or any of its Significant Subsidiaries, pursuant to or within the meaning of any Bankruptcy Law, either: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proceeding; </w:t>
      </w:r>
    </w:p>
    <w:p>
      <w:pPr>
        <w:pStyle w:val="TextBody"/>
        <w:bidi w:val="0"/>
        <w:spacing w:before="240" w:after="0"/>
        <w:jc w:val="left"/>
        <w:rPr>
          <w:rFonts w:ascii="Times New Roman" w:hAnsi="Times New Roman"/>
          <w:sz w:val="20"/>
        </w:rPr>
      </w:pPr>
      <w:r>
        <w:rPr>
          <w:rFonts w:ascii="Times New Roman" w:hAnsi="Times New Roman"/>
          <w:sz w:val="20"/>
        </w:rPr>
        <w:t xml:space="preserve">(2) consents to the entry of an order for relief against it in an involuntary case or proceeding; </w:t>
      </w:r>
    </w:p>
    <w:p>
      <w:pPr>
        <w:pStyle w:val="TextBody"/>
        <w:bidi w:val="0"/>
        <w:spacing w:before="240" w:after="0"/>
        <w:jc w:val="left"/>
        <w:rPr>
          <w:rFonts w:ascii="Times New Roman" w:hAnsi="Times New Roman"/>
          <w:sz w:val="20"/>
        </w:rPr>
      </w:pPr>
      <w:r>
        <w:rPr>
          <w:rFonts w:ascii="Times New Roman" w:hAnsi="Times New Roman"/>
          <w:sz w:val="20"/>
        </w:rPr>
        <w:t xml:space="preserve">(3) consents to the appointment of a custodian of it or for any substantial part of its property; </w:t>
      </w:r>
    </w:p>
    <w:p>
      <w:pPr>
        <w:pStyle w:val="TextBody"/>
        <w:bidi w:val="0"/>
        <w:spacing w:before="240" w:after="0"/>
        <w:jc w:val="left"/>
        <w:rPr>
          <w:rFonts w:ascii="Times New Roman" w:hAnsi="Times New Roman"/>
          <w:sz w:val="20"/>
        </w:rPr>
      </w:pPr>
      <w:r>
        <w:rPr>
          <w:rFonts w:ascii="Times New Roman" w:hAnsi="Times New Roman"/>
          <w:sz w:val="20"/>
        </w:rPr>
        <w:t xml:space="preserve">(4)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(5) takes any comparable action under any foreign Bankruptcy Law; or </w:t>
      </w:r>
    </w:p>
    <w:p>
      <w:pPr>
        <w:pStyle w:val="TextBody"/>
        <w:bidi w:val="0"/>
        <w:spacing w:before="240" w:after="0"/>
        <w:jc w:val="left"/>
        <w:rPr>
          <w:rFonts w:ascii="Times New Roman" w:hAnsi="Times New Roman"/>
          <w:sz w:val="20"/>
        </w:rPr>
      </w:pPr>
      <w:r>
        <w:rPr>
          <w:rFonts w:ascii="Times New Roman" w:hAnsi="Times New Roman"/>
          <w:sz w:val="20"/>
        </w:rPr>
        <w:t xml:space="preserve">(6) generally is not paying its debts as they become due; or </w:t>
      </w:r>
    </w:p>
    <w:p>
      <w:pPr>
        <w:pStyle w:val="TextBody"/>
        <w:bidi w:val="0"/>
        <w:spacing w:before="240" w:after="0"/>
        <w:jc w:val="left"/>
        <w:rPr>
          <w:rFonts w:ascii="Times New Roman" w:hAnsi="Times New Roman"/>
          <w:sz w:val="20"/>
        </w:rPr>
      </w:pPr>
      <w:r>
        <w:rPr>
          <w:rFonts w:ascii="Times New Roman" w:hAnsi="Times New Roman"/>
          <w:sz w:val="20"/>
        </w:rPr>
        <w:t xml:space="preserve">(xviii) a court of competent jurisdiction enters an order or decree under any Bankruptcy Law that either: </w:t>
      </w:r>
    </w:p>
    <w:p>
      <w:pPr>
        <w:pStyle w:val="TextBody"/>
        <w:bidi w:val="0"/>
        <w:spacing w:before="240" w:after="0"/>
        <w:jc w:val="left"/>
        <w:rPr>
          <w:rFonts w:ascii="Times New Roman" w:hAnsi="Times New Roman"/>
          <w:sz w:val="20"/>
        </w:rPr>
      </w:pPr>
      <w:r>
        <w:rPr>
          <w:rFonts w:ascii="Times New Roman" w:hAnsi="Times New Roman"/>
          <w:sz w:val="20"/>
        </w:rPr>
        <w:t xml:space="preserve">(1) is for relief against Company or any of its Significant Subsidiaries in an involuntary case or proceeding; </w:t>
      </w:r>
    </w:p>
    <w:p>
      <w:pPr>
        <w:pStyle w:val="TextBody"/>
        <w:bidi w:val="0"/>
        <w:spacing w:before="240" w:after="0"/>
        <w:jc w:val="left"/>
        <w:rPr>
          <w:rFonts w:ascii="Times New Roman" w:hAnsi="Times New Roman"/>
          <w:sz w:val="20"/>
        </w:rPr>
      </w:pPr>
      <w:r>
        <w:rPr>
          <w:rFonts w:ascii="Times New Roman" w:hAnsi="Times New Roman"/>
          <w:sz w:val="20"/>
        </w:rPr>
        <w:t xml:space="preserve">(2) appoints a custodian of the Company or any of its Significant Subsidiaries, or for any substantial part of the property of the Company or any of its Significant Subsidiaries; </w:t>
      </w:r>
    </w:p>
    <w:p>
      <w:pPr>
        <w:pStyle w:val="TextBody"/>
        <w:bidi w:val="0"/>
        <w:spacing w:before="240" w:after="0"/>
        <w:jc w:val="left"/>
        <w:rPr>
          <w:rFonts w:ascii="Times New Roman" w:hAnsi="Times New Roman"/>
          <w:sz w:val="20"/>
        </w:rPr>
      </w:pPr>
      <w:r>
        <w:rPr>
          <w:rFonts w:ascii="Times New Roman" w:hAnsi="Times New Roman"/>
          <w:sz w:val="20"/>
        </w:rPr>
        <w:t xml:space="preserve">(3) orders the winding up or liquidation of the Company or any of its Significant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grants any similar relief with respect to the Company or any of its Significant Subsidiaries under any foreign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under this </w:t>
      </w:r>
      <w:r>
        <w:rPr>
          <w:rFonts w:ascii="Times New Roman" w:hAnsi="Times New Roman"/>
          <w:b/>
          <w:sz w:val="20"/>
        </w:rPr>
        <w:t>Section</w:t>
      </w:r>
      <w:r>
        <w:rPr>
          <w:rFonts w:ascii="Times New Roman" w:hAnsi="Times New Roman"/>
          <w:sz w:val="20"/>
        </w:rPr>
        <w:t> </w:t>
      </w:r>
      <w:r>
        <w:rPr>
          <w:rFonts w:ascii="Times New Roman" w:hAnsi="Times New Roman"/>
          <w:b/>
          <w:sz w:val="20"/>
        </w:rPr>
        <w:t>11(A)(xviii)</w:t>
      </w:r>
      <w:r>
        <w:rPr>
          <w:rFonts w:ascii="Times New Roman" w:hAnsi="Times New Roman"/>
          <w:sz w:val="20"/>
        </w:rPr>
        <w:t xml:space="preserve">, such order or decree remains unstayed and in effect for at least thirty (30) days. </w:t>
      </w:r>
    </w:p>
    <w:p>
      <w:pPr>
        <w:pStyle w:val="TextBody"/>
        <w:bidi w:val="0"/>
        <w:spacing w:before="240" w:after="0"/>
        <w:jc w:val="left"/>
        <w:rPr>
          <w:rFonts w:ascii="Times New Roman" w:hAnsi="Times New Roman"/>
          <w:sz w:val="20"/>
        </w:rPr>
      </w:pPr>
      <w:r>
        <w:rPr>
          <w:rFonts w:ascii="Times New Roman" w:hAnsi="Times New Roman"/>
          <w:sz w:val="20"/>
        </w:rPr>
        <w:t xml:space="preserve">(xix) the Company’s stockholders approve any plan for the liquidation or dissolution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Acceleration.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Automatic Acceleration in Certain Circumstances</w:t>
      </w:r>
      <w:r>
        <w:rPr>
          <w:rFonts w:ascii="Times New Roman" w:hAnsi="Times New Roman"/>
          <w:sz w:val="20"/>
        </w:rPr>
        <w:t xml:space="preserve">. If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11(A)(xvii) </w:t>
      </w:r>
      <w:r>
        <w:rPr>
          <w:rFonts w:ascii="Times New Roman" w:hAnsi="Times New Roman"/>
          <w:sz w:val="20"/>
        </w:rPr>
        <w:t xml:space="preserve">or </w:t>
      </w:r>
      <w:r>
        <w:rPr>
          <w:rFonts w:ascii="Times New Roman" w:hAnsi="Times New Roman"/>
          <w:b/>
          <w:sz w:val="20"/>
        </w:rPr>
        <w:t>Section</w:t>
      </w:r>
      <w:r>
        <w:rPr>
          <w:rFonts w:ascii="Times New Roman" w:hAnsi="Times New Roman"/>
          <w:sz w:val="20"/>
        </w:rPr>
        <w:t> </w:t>
      </w:r>
      <w:r>
        <w:rPr>
          <w:rFonts w:ascii="Times New Roman" w:hAnsi="Times New Roman"/>
          <w:b/>
          <w:sz w:val="20"/>
        </w:rPr>
        <w:t>11(A)(xviii)</w:t>
      </w:r>
      <w:r>
        <w:rPr>
          <w:rFonts w:ascii="Times New Roman" w:hAnsi="Times New Roman"/>
          <w:sz w:val="20"/>
        </w:rPr>
        <w:t xml:space="preserve"> occurs with respect 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Optional Acceleration</w:t>
      </w:r>
      <w:r>
        <w:rPr>
          <w:rFonts w:ascii="Times New Roman" w:hAnsi="Times New Roman"/>
          <w:sz w:val="20"/>
        </w:rPr>
        <w:t xml:space="preserve">. If an Event of Default (other than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11(A)(xvii)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11(A)(xviii)</w:t>
      </w:r>
      <w:r>
        <w:rPr>
          <w:rFonts w:ascii="Times New Roman" w:hAnsi="Times New Roman"/>
          <w:sz w:val="20"/>
        </w:rPr>
        <w:t xml:space="preserve"> with respect to the Company and not solely with respect to a Subsidiary of the Company) occurs and has not been waived by the Required Holders, then the Holder, by notice to the Company, may declare this Note (or any portion thereof) to become due and payable immediately for cash in an amount equal to the Event of Default Acceleration Amount.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Events of Default</w:t>
      </w:r>
      <w:r>
        <w:rPr>
          <w:rFonts w:ascii="Times New Roman" w:hAnsi="Times New Roman"/>
          <w:sz w:val="20"/>
        </w:rPr>
        <w:t>. Promptly, but in no event later than two (2) Business Days after an Event of Default, the Company will provide written notice of such Event of Default to the Holder (an “</w:t>
      </w:r>
      <w:r>
        <w:rPr>
          <w:rFonts w:ascii="Times New Roman" w:hAnsi="Times New Roman"/>
          <w:b/>
          <w:sz w:val="20"/>
        </w:rPr>
        <w:t>Event of Default Notice</w:t>
      </w:r>
      <w:r>
        <w:rPr>
          <w:rFonts w:ascii="Times New Roman" w:hAnsi="Times New Roman"/>
          <w:sz w:val="20"/>
        </w:rPr>
        <w:t xml:space="preserve">”),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 </w:t>
      </w:r>
    </w:p>
    <w:p>
      <w:pPr>
        <w:pStyle w:val="TextBody"/>
        <w:bidi w:val="0"/>
        <w:spacing w:before="240" w:after="0"/>
        <w:jc w:val="left"/>
        <w:rPr>
          <w:rFonts w:ascii="Times New Roman" w:hAnsi="Times New Roman"/>
          <w:sz w:val="20"/>
        </w:rPr>
      </w:pPr>
      <w:r>
        <w:rPr>
          <w:rFonts w:ascii="Times New Roman" w:hAnsi="Times New Roman"/>
          <w:b/>
          <w:sz w:val="20"/>
        </w:rPr>
        <w:t>Section 12. RANKING.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payments due under this Note shall rank (i) </w:t>
      </w:r>
      <w:r>
        <w:rPr>
          <w:rFonts w:ascii="Times New Roman" w:hAnsi="Times New Roman"/>
          <w:i/>
          <w:sz w:val="20"/>
        </w:rPr>
        <w:t>pari passu</w:t>
      </w:r>
      <w:r>
        <w:rPr>
          <w:rFonts w:ascii="Times New Roman" w:hAnsi="Times New Roman"/>
          <w:sz w:val="20"/>
        </w:rPr>
        <w:t xml:space="preserve"> with the Existing Notes and the other Notes, (ii) effectively senior to all unsecured indebtedness of the Company to the extent of the value of the Collateral securing the Notes for so long as the Collateral so secures the Notes in accordance with the terms hereof and (iii) senior to any Subordinated Indebtedness. </w:t>
      </w:r>
    </w:p>
    <w:p>
      <w:pPr>
        <w:pStyle w:val="TextBody"/>
        <w:bidi w:val="0"/>
        <w:spacing w:before="240" w:after="0"/>
        <w:jc w:val="left"/>
        <w:rPr>
          <w:rFonts w:ascii="Times New Roman" w:hAnsi="Times New Roman"/>
          <w:sz w:val="20"/>
        </w:rPr>
      </w:pPr>
      <w:r>
        <w:rPr>
          <w:rFonts w:ascii="Times New Roman" w:hAnsi="Times New Roman"/>
          <w:b/>
          <w:sz w:val="20"/>
        </w:rPr>
        <w:t>Section 13. REPLACEMENT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14. 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the Company or Holder will be deemed to have been duly given if in writing and delivered in person or by first class mail (registered or certified, return receipt requested), electronic transmission (including e-mail) (with written confirmation of receipt)) or other similar means of unsecured electronic communication or overnight air courier guaranteeing next day delivery, or to the other’s address, which initially is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Agrify Corporation </w:t>
      </w:r>
    </w:p>
    <w:p>
      <w:pPr>
        <w:pStyle w:val="TextBody"/>
        <w:bidi w:val="0"/>
        <w:spacing w:before="0" w:after="0"/>
        <w:jc w:val="left"/>
        <w:rPr>
          <w:rFonts w:ascii="Times New Roman" w:hAnsi="Times New Roman"/>
          <w:sz w:val="20"/>
        </w:rPr>
      </w:pPr>
      <w:r>
        <w:rPr>
          <w:rFonts w:ascii="Times New Roman" w:hAnsi="Times New Roman"/>
          <w:sz w:val="20"/>
        </w:rPr>
        <w:t xml:space="preserve">2220 Hicks Road Suite 210 </w:t>
      </w:r>
    </w:p>
    <w:p>
      <w:pPr>
        <w:pStyle w:val="TextBody"/>
        <w:bidi w:val="0"/>
        <w:spacing w:before="0" w:after="0"/>
        <w:jc w:val="left"/>
        <w:rPr>
          <w:rFonts w:ascii="Times New Roman" w:hAnsi="Times New Roman"/>
          <w:sz w:val="20"/>
        </w:rPr>
      </w:pPr>
      <w:r>
        <w:rPr>
          <w:rFonts w:ascii="Times New Roman" w:hAnsi="Times New Roman"/>
          <w:sz w:val="20"/>
        </w:rPr>
        <w:t xml:space="preserve">Rolling Meadows, IL 60008 </w:t>
      </w:r>
    </w:p>
    <w:p>
      <w:pPr>
        <w:pStyle w:val="TextBody"/>
        <w:bidi w:val="0"/>
        <w:spacing w:before="120" w:after="0"/>
        <w:jc w:val="left"/>
        <w:rPr>
          <w:rFonts w:ascii="Times New Roman" w:hAnsi="Times New Roman"/>
          <w:sz w:val="20"/>
        </w:rPr>
      </w:pPr>
      <w:r>
        <w:rPr>
          <w:rFonts w:ascii="Times New Roman" w:hAnsi="Times New Roman"/>
          <w:sz w:val="20"/>
        </w:rPr>
        <w:t xml:space="preserve">Attention: _____________ </w:t>
      </w:r>
    </w:p>
    <w:p>
      <w:pPr>
        <w:pStyle w:val="TextBody"/>
        <w:bidi w:val="0"/>
        <w:spacing w:before="0" w:after="0"/>
        <w:jc w:val="left"/>
        <w:rPr>
          <w:rFonts w:ascii="Times New Roman" w:hAnsi="Times New Roman"/>
          <w:sz w:val="20"/>
        </w:rPr>
      </w:pPr>
      <w:r>
        <w:rPr>
          <w:rFonts w:ascii="Times New Roman" w:hAnsi="Times New Roman"/>
          <w:sz w:val="20"/>
        </w:rPr>
        <w:t xml:space="preserve">Email: _____________ </w:t>
      </w:r>
    </w:p>
    <w:p>
      <w:pPr>
        <w:pStyle w:val="TextBody"/>
        <w:bidi w:val="0"/>
        <w:spacing w:before="120" w:after="0"/>
        <w:jc w:val="left"/>
        <w:rPr>
          <w:rFonts w:ascii="Times New Roman" w:hAnsi="Times New Roman"/>
          <w:sz w:val="20"/>
        </w:rPr>
      </w:pPr>
      <w:r>
        <w:rPr>
          <w:rFonts w:ascii="Times New Roman" w:hAnsi="Times New Roman"/>
          <w:sz w:val="20"/>
        </w:rPr>
        <w:t xml:space="preserve">With copy to (which copy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Blank Rome LLP </w:t>
      </w:r>
    </w:p>
    <w:p>
      <w:pPr>
        <w:pStyle w:val="TextBody"/>
        <w:bidi w:val="0"/>
        <w:spacing w:before="0" w:after="0"/>
        <w:jc w:val="left"/>
        <w:rPr>
          <w:rFonts w:ascii="Times New Roman" w:hAnsi="Times New Roman"/>
          <w:sz w:val="20"/>
        </w:rPr>
      </w:pPr>
      <w:r>
        <w:rPr>
          <w:rFonts w:ascii="Times New Roman" w:hAnsi="Times New Roman"/>
          <w:sz w:val="20"/>
        </w:rPr>
        <w:t xml:space="preserve">125 High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Telephone: 617.415.1222 </w:t>
      </w:r>
    </w:p>
    <w:p>
      <w:pPr>
        <w:pStyle w:val="TextBody"/>
        <w:bidi w:val="0"/>
        <w:spacing w:before="0" w:after="0"/>
        <w:jc w:val="left"/>
        <w:rPr>
          <w:rFonts w:ascii="Times New Roman" w:hAnsi="Times New Roman"/>
          <w:sz w:val="20"/>
        </w:rPr>
      </w:pPr>
      <w:r>
        <w:rPr>
          <w:rFonts w:ascii="Times New Roman" w:hAnsi="Times New Roman"/>
          <w:sz w:val="20"/>
        </w:rPr>
        <w:t xml:space="preserve">Attention: Frank A. Segall, Esq. </w:t>
      </w:r>
    </w:p>
    <w:p>
      <w:pPr>
        <w:pStyle w:val="TextBody"/>
        <w:bidi w:val="0"/>
        <w:spacing w:before="0" w:after="0"/>
        <w:jc w:val="left"/>
        <w:rPr>
          <w:rFonts w:ascii="Times New Roman" w:hAnsi="Times New Roman"/>
          <w:sz w:val="20"/>
        </w:rPr>
      </w:pPr>
      <w:r>
        <w:rPr>
          <w:rFonts w:ascii="Times New Roman" w:hAnsi="Times New Roman"/>
          <w:sz w:val="20"/>
        </w:rPr>
        <w:t xml:space="preserve">Email: Frank.Segall@BlankRome.com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w:t>
      </w:r>
    </w:p>
    <w:p>
      <w:pPr>
        <w:pStyle w:val="TextBody"/>
        <w:bidi w:val="0"/>
        <w:spacing w:before="120" w:after="0"/>
        <w:jc w:val="left"/>
        <w:rPr>
          <w:rFonts w:ascii="Times New Roman" w:hAnsi="Times New Roman"/>
          <w:sz w:val="20"/>
        </w:rPr>
      </w:pPr>
      <w:r>
        <w:rPr>
          <w:rFonts w:ascii="Times New Roman" w:hAnsi="Times New Roman"/>
          <w:sz w:val="20"/>
        </w:rPr>
        <w:t xml:space="preserve">c/o Green Thumb Industries Inc. </w:t>
      </w:r>
    </w:p>
    <w:p>
      <w:pPr>
        <w:pStyle w:val="TextBody"/>
        <w:bidi w:val="0"/>
        <w:spacing w:before="0" w:after="0"/>
        <w:jc w:val="left"/>
        <w:rPr>
          <w:rFonts w:ascii="Times New Roman" w:hAnsi="Times New Roman"/>
          <w:sz w:val="20"/>
        </w:rPr>
      </w:pPr>
      <w:r>
        <w:rPr>
          <w:rFonts w:ascii="Times New Roman" w:hAnsi="Times New Roman"/>
          <w:sz w:val="20"/>
        </w:rPr>
        <w:t xml:space="preserve">325 W. Huron Street, Suite 700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60654 </w:t>
      </w:r>
    </w:p>
    <w:p>
      <w:pPr>
        <w:pStyle w:val="TextBody"/>
        <w:bidi w:val="0"/>
        <w:spacing w:before="0" w:after="0"/>
        <w:jc w:val="left"/>
        <w:rPr>
          <w:rFonts w:ascii="Times New Roman" w:hAnsi="Times New Roman"/>
          <w:sz w:val="20"/>
        </w:rPr>
      </w:pPr>
      <w:r>
        <w:rPr>
          <w:rFonts w:ascii="Times New Roman" w:hAnsi="Times New Roman"/>
          <w:sz w:val="20"/>
        </w:rPr>
        <w:t xml:space="preserve">Attention: _____________ </w:t>
      </w:r>
    </w:p>
    <w:p>
      <w:pPr>
        <w:pStyle w:val="TextBody"/>
        <w:bidi w:val="0"/>
        <w:spacing w:before="0" w:after="0"/>
        <w:jc w:val="left"/>
        <w:rPr>
          <w:rFonts w:ascii="Times New Roman" w:hAnsi="Times New Roman"/>
          <w:sz w:val="20"/>
        </w:rPr>
      </w:pPr>
      <w:r>
        <w:rPr>
          <w:rFonts w:ascii="Times New Roman" w:hAnsi="Times New Roman"/>
          <w:sz w:val="20"/>
        </w:rPr>
        <w:t xml:space="preserve">Email: _____________ </w:t>
      </w:r>
    </w:p>
    <w:p>
      <w:pPr>
        <w:pStyle w:val="TextBody"/>
        <w:bidi w:val="0"/>
        <w:spacing w:before="120" w:after="0"/>
        <w:jc w:val="left"/>
        <w:rPr>
          <w:rFonts w:ascii="Times New Roman" w:hAnsi="Times New Roman"/>
          <w:sz w:val="20"/>
        </w:rPr>
      </w:pPr>
      <w:r>
        <w:rPr>
          <w:rFonts w:ascii="Times New Roman" w:hAnsi="Times New Roman"/>
          <w:sz w:val="20"/>
        </w:rPr>
        <w:t xml:space="preserve">With copy to (which copy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Dentons US LLP </w:t>
      </w:r>
    </w:p>
    <w:p>
      <w:pPr>
        <w:pStyle w:val="TextBody"/>
        <w:bidi w:val="0"/>
        <w:spacing w:before="0" w:after="0"/>
        <w:jc w:val="left"/>
        <w:rPr>
          <w:rFonts w:ascii="Times New Roman" w:hAnsi="Times New Roman"/>
          <w:sz w:val="20"/>
        </w:rPr>
      </w:pPr>
      <w:r>
        <w:rPr>
          <w:rFonts w:ascii="Times New Roman" w:hAnsi="Times New Roman"/>
          <w:sz w:val="20"/>
        </w:rPr>
        <w:t xml:space="preserve">233 S. Wacker Drive, Suite 5900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Ross Docksey and Zac Moskowitz </w:t>
      </w:r>
    </w:p>
    <w:p>
      <w:pPr>
        <w:pStyle w:val="TextBody"/>
        <w:bidi w:val="0"/>
        <w:spacing w:before="0" w:after="0"/>
        <w:jc w:val="left"/>
        <w:rPr>
          <w:rFonts w:ascii="Times New Roman" w:hAnsi="Times New Roman"/>
          <w:sz w:val="20"/>
        </w:rPr>
      </w:pPr>
      <w:r>
        <w:rPr>
          <w:rFonts w:ascii="Times New Roman" w:hAnsi="Times New Roman"/>
          <w:sz w:val="20"/>
        </w:rPr>
        <w:t xml:space="preserve">Email: Ross.Docksey@dentons.com; zac.moskowitz@dentons.com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notice to the Holder, may designate additional or different addresses for subsequent notices or communications. The Holder, by notice to the Company, may designate additional or different addresses for subsequent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notice or communication is delivered in the manner provided above within the time prescribed, it will be deemed to have been duly given, whether or not the addressee receives it.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Note will bind its successors and will inure to the benefit of the Holder’s successors and assigns. Holder may assign this Note to the extent permitted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16. SEVERABILITY.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Note is invalid, illegal or unenforceable, then the validity, legality and enforceability of the remaining provisions of this Note will not in any way be affected or impaired thereby.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17. HEADINGS, ETC. </w:t>
      </w:r>
    </w:p>
    <w:p>
      <w:pPr>
        <w:pStyle w:val="TextBody"/>
        <w:bidi w:val="0"/>
        <w:spacing w:before="240" w:after="0"/>
        <w:jc w:val="left"/>
        <w:rPr>
          <w:rFonts w:ascii="Times New Roman" w:hAnsi="Times New Roman"/>
          <w:sz w:val="20"/>
        </w:rPr>
      </w:pPr>
      <w:r>
        <w:rPr>
          <w:rFonts w:ascii="Times New Roman" w:hAnsi="Times New Roman"/>
          <w:sz w:val="20"/>
        </w:rPr>
        <w:t xml:space="preserve">The headings of the Sections of this Note have been inserted for convenience of reference only, are not to be considered a part of this Note and will in no way modify or restrict any of the terms or provisions of this Note.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18. AMENDMENTS </w:t>
      </w:r>
    </w:p>
    <w:p>
      <w:pPr>
        <w:pStyle w:val="TextBody"/>
        <w:bidi w:val="0"/>
        <w:spacing w:before="240" w:after="0"/>
        <w:jc w:val="left"/>
        <w:rPr>
          <w:rFonts w:ascii="Times New Roman" w:hAnsi="Times New Roman"/>
          <w:sz w:val="20"/>
        </w:rPr>
      </w:pPr>
      <w:r>
        <w:rPr>
          <w:rFonts w:ascii="Times New Roman" w:hAnsi="Times New Roman"/>
          <w:sz w:val="20"/>
        </w:rPr>
        <w:t xml:space="preserve">This Note may not be amended, waived or modified unless in writing by the Company and the Required Holders, and no condition herein (express or implied) may be waived unless waived in writing by the Required Holders.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19. GOVERNING LAW; WAIVER OF JURY TRIAL. </w:t>
      </w:r>
    </w:p>
    <w:p>
      <w:pPr>
        <w:pStyle w:val="TextBody"/>
        <w:bidi w:val="0"/>
        <w:spacing w:before="240" w:after="0"/>
        <w:jc w:val="left"/>
        <w:rPr>
          <w:rFonts w:ascii="Times New Roman" w:hAnsi="Times New Roman"/>
          <w:sz w:val="20"/>
        </w:rPr>
      </w:pPr>
      <w:r>
        <w:rPr>
          <w:rFonts w:ascii="Times New Roman" w:hAnsi="Times New Roman"/>
          <w:sz w:val="20"/>
        </w:rPr>
        <w:t xml:space="preserve">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with any transaction contemplated hereby, and hereby irrevocably waives, and agrees not to assert in any suit, action or proceeding, any claim that it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IN CONNECTION WITH OR ARISING OUT OF THIS NOTE OR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 SUBMISSION TO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Holder (A) agree that any suit, action or proceeding against it arising out of or relating to this Note may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exclusive jurisdiction of such court in any such suit, action or proceeding.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 ENFORCEMENT FEES.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22. ELECTRONIC EXECUTION. </w:t>
      </w:r>
    </w:p>
    <w:p>
      <w:pPr>
        <w:pStyle w:val="TextBody"/>
        <w:bidi w:val="0"/>
        <w:spacing w:before="240" w:after="0"/>
        <w:jc w:val="left"/>
        <w:rPr>
          <w:rFonts w:ascii="Times New Roman" w:hAnsi="Times New Roman"/>
          <w:sz w:val="20"/>
        </w:rPr>
      </w:pPr>
      <w:r>
        <w:rPr>
          <w:rFonts w:ascii="Times New Roman" w:hAnsi="Times New Roman"/>
          <w:sz w:val="20"/>
        </w:rPr>
        <w:t xml:space="preserve">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Conversion Notice </w:t>
      </w:r>
    </w:p>
    <w:p>
      <w:pPr>
        <w:pStyle w:val="TextBody"/>
        <w:bidi w:val="0"/>
        <w:spacing w:before="120" w:after="0"/>
        <w:jc w:val="center"/>
        <w:rPr>
          <w:rFonts w:ascii="Times New Roman" w:hAnsi="Times New Roman"/>
          <w:b/>
          <w:sz w:val="20"/>
        </w:rPr>
      </w:pPr>
      <w:r>
        <w:rPr>
          <w:rFonts w:ascii="Times New Roman" w:hAnsi="Times New Roman"/>
          <w:b/>
          <w:sz w:val="20"/>
        </w:rPr>
        <w:t xml:space="preserve">AGRIFY CORPORATION </w:t>
      </w:r>
    </w:p>
    <w:p>
      <w:pPr>
        <w:pStyle w:val="TextBody"/>
        <w:bidi w:val="0"/>
        <w:spacing w:before="120" w:after="0"/>
        <w:jc w:val="center"/>
        <w:rPr>
          <w:rFonts w:ascii="Times New Roman" w:hAnsi="Times New Roman"/>
          <w:sz w:val="20"/>
        </w:rPr>
      </w:pPr>
      <w:r>
        <w:rPr>
          <w:rFonts w:ascii="Times New Roman" w:hAnsi="Times New Roman"/>
          <w:sz w:val="20"/>
        </w:rPr>
        <w:t xml:space="preserve">Secured Convertible Note due 2027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this Note, by executing and delivering this Conversion Notice, the undersigned Holder of this Note directs the Company to convert the following Principal Amount of this Note: $_____________________ ,000 in accordance with the following details. </w:t>
      </w:r>
    </w:p>
    <w:p>
      <w:pPr>
        <w:pStyle w:val="TextBody"/>
        <w:bidi w:val="0"/>
        <w:spacing w:before="240" w:after="0"/>
        <w:jc w:val="left"/>
        <w:rPr>
          <w:rFonts w:ascii="Times New Roman" w:hAnsi="Times New Roman"/>
          <w:sz w:val="20"/>
        </w:rPr>
      </w:pPr>
      <w:r>
        <w:rPr>
          <w:rFonts w:ascii="Times New Roman" w:hAnsi="Times New Roman"/>
          <w:sz w:val="20"/>
        </w:rPr>
        <w:t xml:space="preserve">Shares of Common Stock to be delivered for Principal Amount converted: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Pre-Funded Warrants to be delivered for Principal Amount converted: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Shares of Common Stock to be delivered for accrued interest converted: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Pre-Funded Warrants to be delivered for accrued interest converted: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431"/>
        <w:gridCol w:w="118"/>
        <w:gridCol w:w="332"/>
        <w:gridCol w:w="60"/>
        <w:gridCol w:w="226"/>
        <w:gridCol w:w="226"/>
        <w:gridCol w:w="3812"/>
      </w:tblGrid>
      <w:tr>
        <w:trPr/>
        <w:tc>
          <w:tcPr>
            <w:tcW w:w="543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5431" w:type="dxa"/>
            <w:tcBorders/>
          </w:tcPr>
          <w:p>
            <w:pPr>
              <w:pStyle w:val="TableContents"/>
              <w:bidi w:val="0"/>
              <w:spacing w:before="0" w:after="283"/>
              <w:jc w:val="left"/>
              <w:rPr/>
            </w:pPr>
            <w:r>
              <w:rPr/>
              <w:t>Date:_____________________</w:t>
            </w:r>
          </w:p>
        </w:tc>
        <w:tc>
          <w:tcPr>
            <w:tcW w:w="118" w:type="dxa"/>
            <w:tcBorders/>
            <w:vAlign w:val="bottom"/>
          </w:tcPr>
          <w:p>
            <w:pPr>
              <w:pStyle w:val="TableContents"/>
              <w:bidi w:val="0"/>
              <w:spacing w:before="0" w:after="283"/>
              <w:jc w:val="left"/>
              <w:rPr/>
            </w:pPr>
            <w:r>
              <w:rPr/>
              <w:t> </w:t>
            </w:r>
          </w:p>
        </w:tc>
        <w:tc>
          <w:tcPr>
            <w:tcW w:w="3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64" w:type="dxa"/>
            <w:gridSpan w:val="3"/>
            <w:tcBorders/>
          </w:tcPr>
          <w:p>
            <w:pPr>
              <w:pStyle w:val="TableContents"/>
              <w:pBdr>
                <w:bottom w:val="single" w:sz="2" w:space="1" w:color="000000"/>
              </w:pBdr>
              <w:bidi w:val="0"/>
              <w:spacing w:before="0" w:after="20"/>
              <w:jc w:val="left"/>
              <w:rPr/>
            </w:pPr>
            <w:r>
              <w:rPr/>
              <w:t> </w:t>
            </w:r>
          </w:p>
        </w:tc>
      </w:tr>
      <w:tr>
        <w:trPr/>
        <w:tc>
          <w:tcPr>
            <w:tcW w:w="5431"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3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64" w:type="dxa"/>
            <w:gridSpan w:val="3"/>
            <w:tcBorders/>
          </w:tcPr>
          <w:p>
            <w:pPr>
              <w:pStyle w:val="TableContents"/>
              <w:bidi w:val="0"/>
              <w:spacing w:before="0" w:after="283"/>
              <w:jc w:val="center"/>
              <w:rPr/>
            </w:pPr>
            <w:r>
              <w:rPr/>
              <w:t>(Legal Name of Holder)</w:t>
            </w:r>
          </w:p>
        </w:tc>
      </w:tr>
    </w:tbl>
    <w:p>
      <w:pPr>
        <w:pStyle w:val="TextBody"/>
        <w:bidi w:val="0"/>
        <w:spacing w:before="0" w:after="0"/>
        <w:jc w:val="right"/>
        <w:rPr>
          <w:rFonts w:ascii="Times New Roman" w:hAnsi="Times New Roman"/>
          <w:b/>
          <w:sz w:val="20"/>
        </w:rPr>
      </w:pPr>
      <w:bookmarkStart w:id="8" w:name="d65517dex104.htm"/>
      <w:bookmarkStart w:id="9" w:name="ksd65517dex104"/>
      <w:bookmarkEnd w:id="8"/>
      <w:bookmarkEnd w:id="9"/>
      <w:r>
        <w:rPr>
          <w:rFonts w:ascii="Times New Roman" w:hAnsi="Times New Roman"/>
          <w:b/>
          <w:sz w:val="20"/>
        </w:rPr>
        <w:t xml:space="preserve">Exhibit 10.4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PRE-FUNDED COMMON STOCK PURCHASE WARRANT </w:t>
      </w:r>
    </w:p>
    <w:p>
      <w:pPr>
        <w:pStyle w:val="TextBody"/>
        <w:bidi w:val="0"/>
        <w:spacing w:before="120" w:after="0"/>
        <w:jc w:val="center"/>
        <w:rPr>
          <w:rFonts w:ascii="Times New Roman" w:hAnsi="Times New Roman"/>
          <w:b/>
          <w:sz w:val="20"/>
        </w:rPr>
      </w:pPr>
      <w:r>
        <w:rPr>
          <w:rFonts w:ascii="Times New Roman" w:hAnsi="Times New Roman"/>
          <w:b/>
          <w:sz w:val="20"/>
        </w:rPr>
        <w:t xml:space="preserve">AGRIFY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0"/>
        <w:gridCol w:w="123"/>
        <w:gridCol w:w="4932"/>
      </w:tblGrid>
      <w:tr>
        <w:trPr/>
        <w:tc>
          <w:tcPr>
            <w:tcW w:w="51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32" w:type="dxa"/>
            <w:tcBorders/>
            <w:vAlign w:val="center"/>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283"/>
              <w:jc w:val="left"/>
              <w:rPr/>
            </w:pPr>
            <w:r>
              <w:rPr/>
              <w:t>Warrant Shares: _____</w:t>
            </w:r>
          </w:p>
        </w:tc>
        <w:tc>
          <w:tcPr>
            <w:tcW w:w="123" w:type="dxa"/>
            <w:tcBorders/>
            <w:vAlign w:val="bottom"/>
          </w:tcPr>
          <w:p>
            <w:pPr>
              <w:pStyle w:val="TableContents"/>
              <w:bidi w:val="0"/>
              <w:spacing w:before="0" w:after="283"/>
              <w:jc w:val="left"/>
              <w:rPr/>
            </w:pPr>
            <w:r>
              <w:rPr/>
              <w:t>  </w:t>
            </w:r>
          </w:p>
        </w:tc>
        <w:tc>
          <w:tcPr>
            <w:tcW w:w="4932" w:type="dxa"/>
            <w:tcBorders/>
          </w:tcPr>
          <w:p>
            <w:pPr>
              <w:pStyle w:val="TableContents"/>
              <w:bidi w:val="0"/>
              <w:spacing w:before="0" w:after="283"/>
              <w:jc w:val="left"/>
              <w:rPr/>
            </w:pPr>
            <w:r>
              <w:rPr/>
              <w:t>Issue Date: ________</w:t>
            </w:r>
          </w:p>
        </w:tc>
      </w:tr>
    </w:tbl>
    <w:p>
      <w:pPr>
        <w:pStyle w:val="TextBody"/>
        <w:bidi w:val="0"/>
        <w:spacing w:before="240" w:after="0"/>
        <w:jc w:val="left"/>
        <w:rPr>
          <w:rFonts w:ascii="Times New Roman" w:hAnsi="Times New Roman"/>
          <w:sz w:val="20"/>
        </w:rPr>
      </w:pPr>
      <w:r>
        <w:rPr>
          <w:rFonts w:ascii="Times New Roman" w:hAnsi="Times New Roman"/>
          <w:sz w:val="20"/>
        </w:rPr>
        <w:t>THIS PRE-FUNDED COMMON STOCK PURCHASE WARRANT (the “</w:t>
      </w:r>
      <w:r>
        <w:rPr>
          <w:rFonts w:ascii="Times New Roman" w:hAnsi="Times New Roman"/>
          <w:sz w:val="20"/>
          <w:u w:val="single"/>
        </w:rPr>
        <w:t>Warrant</w:t>
      </w:r>
      <w:r>
        <w:rPr>
          <w:rFonts w:ascii="Times New Roman" w:hAnsi="Times New Roman"/>
          <w:sz w:val="20"/>
        </w:rPr>
        <w:t>”) certifies that, for value received, ___________, a ___________,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the Issue Date set forth above (the “</w:t>
      </w:r>
      <w:r>
        <w:rPr>
          <w:rFonts w:ascii="Times New Roman" w:hAnsi="Times New Roman"/>
          <w:sz w:val="20"/>
          <w:u w:val="single"/>
        </w:rPr>
        <w:t>Initial Exercise Date</w:t>
      </w:r>
      <w:r>
        <w:rPr>
          <w:rFonts w:ascii="Times New Roman" w:hAnsi="Times New Roman"/>
          <w:sz w:val="20"/>
        </w:rPr>
        <w:t>”) and until this Warrant is exercised in full (the “</w:t>
      </w:r>
      <w:r>
        <w:rPr>
          <w:rFonts w:ascii="Times New Roman" w:hAnsi="Times New Roman"/>
          <w:sz w:val="20"/>
          <w:u w:val="single"/>
        </w:rPr>
        <w:t>Termination Date</w:t>
      </w:r>
      <w:r>
        <w:rPr>
          <w:rFonts w:ascii="Times New Roman" w:hAnsi="Times New Roman"/>
          <w:sz w:val="20"/>
        </w:rPr>
        <w:t>”) but not thereafter, to subscribe for and purchase from Agrify Corporation, a Nevada corporation (the “</w:t>
      </w:r>
      <w:r>
        <w:rPr>
          <w:rFonts w:ascii="Times New Roman" w:hAnsi="Times New Roman"/>
          <w:sz w:val="20"/>
          <w:u w:val="single"/>
        </w:rPr>
        <w:t>Company</w:t>
      </w:r>
      <w:r>
        <w:rPr>
          <w:rFonts w:ascii="Times New Roman" w:hAnsi="Times New Roman"/>
          <w:sz w:val="20"/>
        </w:rPr>
        <w:t>”), up to ____ shares (as subject to adjustment hereunder, the “</w:t>
      </w:r>
      <w:r>
        <w:rPr>
          <w:rFonts w:ascii="Times New Roman" w:hAnsi="Times New Roman"/>
          <w:sz w:val="20"/>
          <w:u w:val="single"/>
        </w:rPr>
        <w:t>Warrant Shares</w:t>
      </w:r>
      <w:r>
        <w:rPr>
          <w:rFonts w:ascii="Times New Roman" w:hAnsi="Times New Roman"/>
          <w:sz w:val="20"/>
        </w:rPr>
        <w:t xml:space="preserve">”) of Common Stock. The purchase price of one share of Common Stock under this Warrant shall be equal to the Exercise Price, as defined in Section 2(b).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In addition to the terms defined elsewhere in this Warrant, the following terms have the meanings indicated in this Section 1: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120" w:after="0"/>
        <w:jc w:val="left"/>
        <w:rPr/>
      </w:pPr>
      <w:r>
        <w:rPr/>
        <w:t>“</w:t>
      </w:r>
      <w:r>
        <w:rPr>
          <w:rFonts w:ascii="Times New Roman" w:hAnsi="Times New Roman"/>
          <w:sz w:val="20"/>
          <w:u w:val="single"/>
        </w:rPr>
        <w:t>Bid Price</w:t>
      </w:r>
      <w:r>
        <w:rPr>
          <w:rFonts w:ascii="Times New Roman" w:hAnsi="Times New Roman"/>
          <w:sz w:val="20"/>
        </w:rPr>
        <w:t xml:space="preserve">”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 </w:t>
      </w:r>
    </w:p>
    <w:p>
      <w:pPr>
        <w:pStyle w:val="TextBody"/>
        <w:bidi w:val="0"/>
        <w:spacing w:before="120" w:after="0"/>
        <w:jc w:val="left"/>
        <w:rPr/>
      </w:pPr>
      <w:r>
        <w:rPr/>
        <w:t>“</w:t>
      </w:r>
      <w:r>
        <w:rPr>
          <w:rFonts w:ascii="Times New Roman" w:hAnsi="Times New Roman"/>
          <w:sz w:val="20"/>
          <w:u w:val="single"/>
        </w:rPr>
        <w:t>Board of Directors</w:t>
      </w:r>
      <w:r>
        <w:rPr>
          <w:rFonts w:ascii="Times New Roman" w:hAnsi="Times New Roman"/>
          <w:sz w:val="20"/>
        </w:rPr>
        <w:t xml:space="preserve">” means the board of directors of the Company. </w:t>
      </w:r>
    </w:p>
    <w:p>
      <w:pPr>
        <w:pStyle w:val="TextBody"/>
        <w:bidi w:val="0"/>
        <w:spacing w:before="12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 </w:t>
      </w:r>
    </w:p>
    <w:p>
      <w:pPr>
        <w:pStyle w:val="TextBody"/>
        <w:bidi w:val="0"/>
        <w:spacing w:before="120" w:after="0"/>
        <w:jc w:val="left"/>
        <w:rPr/>
      </w:pPr>
      <w:r>
        <w:rPr/>
        <w:t>“</w:t>
      </w:r>
      <w:r>
        <w:rPr>
          <w:rFonts w:ascii="Times New Roman" w:hAnsi="Times New Roman"/>
          <w:sz w:val="20"/>
          <w:u w:val="single"/>
        </w:rPr>
        <w:t>Common Stock</w:t>
      </w:r>
      <w:r>
        <w:rPr>
          <w:rFonts w:ascii="Times New Roman" w:hAnsi="Times New Roman"/>
          <w:sz w:val="20"/>
        </w:rPr>
        <w:t xml:space="preserve">” means the common stock of the Company, par value $0.001 per share, and any other class of securities into which such securities may hereafter be reclassified or changed. </w:t>
      </w:r>
    </w:p>
    <w:p>
      <w:pPr>
        <w:pStyle w:val="TextBody"/>
        <w:bidi w:val="0"/>
        <w:spacing w:before="120" w:after="0"/>
        <w:jc w:val="left"/>
        <w:rPr/>
      </w:pPr>
      <w:r>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p>
    <w:p>
      <w:pPr>
        <w:pStyle w:val="TextBody"/>
        <w:bidi w:val="0"/>
        <w:spacing w:before="120" w:after="0"/>
        <w:jc w:val="left"/>
        <w:rPr/>
      </w:pPr>
      <w:r>
        <w:rPr/>
        <w:t>“</w:t>
      </w:r>
      <w:r>
        <w:rPr>
          <w:rFonts w:ascii="Times New Roman" w:hAnsi="Times New Roman"/>
          <w:sz w:val="20"/>
          <w:u w:val="single"/>
        </w:rPr>
        <w:t>Common Stock Equivalents</w:t>
      </w:r>
      <w:r>
        <w:rPr>
          <w:rFonts w:ascii="Times New Roman" w:hAnsi="Times New Roman"/>
          <w:sz w:val="20"/>
        </w:rPr>
        <w:t xml:space="preserve">”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p>
    <w:p>
      <w:pPr>
        <w:pStyle w:val="TextBody"/>
        <w:bidi w:val="0"/>
        <w:spacing w:before="12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120" w:after="0"/>
        <w:jc w:val="left"/>
        <w:rPr/>
      </w:pPr>
      <w:r>
        <w:rPr/>
        <w:t>“</w:t>
      </w:r>
      <w:r>
        <w:rPr>
          <w:rFonts w:ascii="Times New Roman" w:hAnsi="Times New Roman"/>
          <w:sz w:val="20"/>
          <w:u w:val="single"/>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12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pPr>
      <w:r>
        <w:rPr/>
        <w:t>“</w:t>
      </w:r>
      <w:r>
        <w:rPr>
          <w:rFonts w:ascii="Times New Roman" w:hAnsi="Times New Roman"/>
          <w:sz w:val="20"/>
          <w:u w:val="single"/>
        </w:rPr>
        <w:t>Subsidiary</w:t>
      </w:r>
      <w:r>
        <w:rPr>
          <w:rFonts w:ascii="Times New Roman" w:hAnsi="Times New Roman"/>
          <w:sz w:val="20"/>
        </w:rPr>
        <w:t xml:space="preserve">” means any subsidiary of the Company and shall, where applicable, also include any direct or indirect subsidiary of the Company formed or acquired after the date hereof. </w:t>
      </w:r>
    </w:p>
    <w:p>
      <w:pPr>
        <w:pStyle w:val="TextBody"/>
        <w:bidi w:val="0"/>
        <w:spacing w:before="120" w:after="0"/>
        <w:jc w:val="left"/>
        <w:rPr/>
      </w:pPr>
      <w:r>
        <w:rPr/>
        <w:t>“</w:t>
      </w:r>
      <w:r>
        <w:rPr>
          <w:rFonts w:ascii="Times New Roman" w:hAnsi="Times New Roman"/>
          <w:sz w:val="20"/>
          <w:u w:val="single"/>
        </w:rPr>
        <w:t>Trading Day</w:t>
      </w:r>
      <w:r>
        <w:rPr>
          <w:rFonts w:ascii="Times New Roman" w:hAnsi="Times New Roman"/>
          <w:sz w:val="20"/>
        </w:rPr>
        <w:t xml:space="preserve">” means a day on which the Common Stock is traded on a Trading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pPr>
      <w:r>
        <w:rPr/>
        <w:t>“</w:t>
      </w:r>
      <w:r>
        <w:rPr>
          <w:rFonts w:ascii="Times New Roman" w:hAnsi="Times New Roman"/>
          <w:sz w:val="20"/>
          <w:u w:val="single"/>
        </w:rPr>
        <w:t>Transfer Agent</w:t>
      </w:r>
      <w:r>
        <w:rPr>
          <w:rFonts w:ascii="Times New Roman" w:hAnsi="Times New Roman"/>
          <w:sz w:val="20"/>
        </w:rPr>
        <w:t xml:space="preserve">” means Broadridge Corporate Issuer Solutions, Inc., the current transfer agent of the Company, with a mailing address of 51 Mercedes Way, Edgewood, New York 11717, and any successor transfer agent of the Company. </w:t>
      </w:r>
    </w:p>
    <w:p>
      <w:pPr>
        <w:pStyle w:val="TextBody"/>
        <w:bidi w:val="0"/>
        <w:spacing w:before="12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of the Warrant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sz w:val="20"/>
          <w:u w:val="single"/>
        </w:rPr>
        <w:t>Notice of Exercise</w:t>
      </w:r>
      <w:r>
        <w:rPr>
          <w:rFonts w:ascii="Times New Roman" w:hAnsi="Times New Roman"/>
          <w:sz w:val="20"/>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
        <w:gridCol w:w="123"/>
        <w:gridCol w:w="357"/>
        <w:gridCol w:w="123"/>
        <w:gridCol w:w="9009"/>
      </w:tblGrid>
      <w:tr>
        <w:trPr/>
        <w:tc>
          <w:tcPr>
            <w:tcW w:w="59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009" w:type="dxa"/>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57" w:type="dxa"/>
            <w:tcBorders/>
          </w:tcPr>
          <w:p>
            <w:pPr>
              <w:pStyle w:val="TableContents"/>
              <w:bidi w:val="0"/>
              <w:spacing w:before="0" w:after="283"/>
              <w:jc w:val="left"/>
              <w:rPr/>
            </w:pPr>
            <w:r>
              <w:rPr/>
              <w:t>(A) =</w:t>
            </w:r>
          </w:p>
        </w:tc>
        <w:tc>
          <w:tcPr>
            <w:tcW w:w="123" w:type="dxa"/>
            <w:tcBorders/>
            <w:vAlign w:val="bottom"/>
          </w:tcPr>
          <w:p>
            <w:pPr>
              <w:pStyle w:val="TableContents"/>
              <w:bidi w:val="0"/>
              <w:spacing w:before="0" w:after="283"/>
              <w:jc w:val="left"/>
              <w:rPr/>
            </w:pPr>
            <w:r>
              <w:rPr/>
              <w:t>  </w:t>
            </w:r>
          </w:p>
        </w:tc>
        <w:tc>
          <w:tcPr>
            <w:tcW w:w="9009" w:type="dxa"/>
            <w:tcBorders/>
          </w:tcPr>
          <w:p>
            <w:pPr>
              <w:pStyle w:val="TableContents"/>
              <w:bidi w:val="0"/>
              <w:spacing w:before="0" w:after="283"/>
              <w:jc w:val="left"/>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480" w:type="dxa"/>
            <w:gridSpan w:val="2"/>
            <w:tcBorders/>
            <w:vAlign w:val="center"/>
          </w:tcPr>
          <w:p>
            <w:pPr>
              <w:pStyle w:val="TableContents"/>
              <w:bidi w:val="0"/>
              <w:spacing w:before="0" w:after="283"/>
              <w:jc w:val="left"/>
              <w:rPr>
                <w:sz w:val="4"/>
                <w:szCs w:val="4"/>
              </w:rPr>
            </w:pPr>
            <w:r>
              <w:rPr>
                <w:sz w:val="4"/>
                <w:szCs w:val="4"/>
              </w:rPr>
            </w:r>
          </w:p>
        </w:tc>
        <w:tc>
          <w:tcPr>
            <w:tcW w:w="9132"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57" w:type="dxa"/>
            <w:tcBorders/>
          </w:tcPr>
          <w:p>
            <w:pPr>
              <w:pStyle w:val="TableContents"/>
              <w:bidi w:val="0"/>
              <w:spacing w:before="0" w:after="283"/>
              <w:jc w:val="left"/>
              <w:rPr/>
            </w:pPr>
            <w:r>
              <w:rPr/>
              <w:t>(B) =</w:t>
            </w:r>
          </w:p>
        </w:tc>
        <w:tc>
          <w:tcPr>
            <w:tcW w:w="123" w:type="dxa"/>
            <w:tcBorders/>
            <w:vAlign w:val="bottom"/>
          </w:tcPr>
          <w:p>
            <w:pPr>
              <w:pStyle w:val="TableContents"/>
              <w:bidi w:val="0"/>
              <w:spacing w:before="0" w:after="283"/>
              <w:jc w:val="left"/>
              <w:rPr/>
            </w:pPr>
            <w:r>
              <w:rPr/>
              <w:t>  </w:t>
            </w:r>
          </w:p>
        </w:tc>
        <w:tc>
          <w:tcPr>
            <w:tcW w:w="9009" w:type="dxa"/>
            <w:tcBorders/>
          </w:tcPr>
          <w:p>
            <w:pPr>
              <w:pStyle w:val="TableContents"/>
              <w:bidi w:val="0"/>
              <w:spacing w:before="0" w:after="283"/>
              <w:jc w:val="left"/>
              <w:rPr/>
            </w:pPr>
            <w:r>
              <w:rPr/>
              <w:t>the Exercise Price of this Warrant, as adjusted hereunder;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94"/>
        <w:gridCol w:w="124"/>
        <w:gridCol w:w="358"/>
        <w:gridCol w:w="124"/>
        <w:gridCol w:w="9005"/>
      </w:tblGrid>
      <w:tr>
        <w:trPr/>
        <w:tc>
          <w:tcPr>
            <w:tcW w:w="59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r>
      <w:tr>
        <w:trPr/>
        <w:tc>
          <w:tcPr>
            <w:tcW w:w="59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pPr>
            <w:r>
              <w:rPr/>
              <w:t>(X) =</w:t>
            </w:r>
          </w:p>
        </w:tc>
        <w:tc>
          <w:tcPr>
            <w:tcW w:w="124" w:type="dxa"/>
            <w:tcBorders/>
            <w:vAlign w:val="bottom"/>
          </w:tcPr>
          <w:p>
            <w:pPr>
              <w:pStyle w:val="TableContents"/>
              <w:bidi w:val="0"/>
              <w:spacing w:before="0" w:after="283"/>
              <w:jc w:val="left"/>
              <w:rPr/>
            </w:pPr>
            <w:r>
              <w:rPr/>
              <w:t>  </w:t>
            </w:r>
          </w:p>
        </w:tc>
        <w:tc>
          <w:tcPr>
            <w:tcW w:w="9005" w:type="dxa"/>
            <w:tcBorders/>
          </w:tcPr>
          <w:p>
            <w:pPr>
              <w:pStyle w:val="TableContents"/>
              <w:bidi w:val="0"/>
              <w:spacing w:before="0" w:after="283"/>
              <w:jc w:val="left"/>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onto the holder period of this Warrant. The Company agrees not to take any position contrary to this Section 2(c). In the case of a dispute as to the determination of the number of Warrant Shares to be issued pursuant to the cashless exercise, or the arithmetic calculation of the Warrant Shares to be issued thereunder, the Company shall promptly issue to the Holder the number of Warrant Shares that are not disputed and resolve such dispute in accordance with Section 5(e).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under the Securities Act (“</w:t>
      </w:r>
      <w:r>
        <w:rPr>
          <w:rFonts w:ascii="Times New Roman" w:hAnsi="Times New Roman"/>
          <w:sz w:val="20"/>
          <w:u w:val="single"/>
        </w:rPr>
        <w:t>Rule 144</w:t>
      </w:r>
      <w:r>
        <w:rPr>
          <w:rFonts w:ascii="Times New Roman" w:hAnsi="Times New Roman"/>
          <w:sz w:val="20"/>
        </w:rPr>
        <w:t>”)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the Notice of Exercise.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Rights</w:t>
      </w:r>
      <w:r>
        <w:rPr>
          <w:rFonts w:ascii="Times New Roman" w:hAnsi="Times New Roman"/>
          <w:sz w:val="20"/>
        </w:rPr>
        <w:t xml:space="preserve">. If the Company fails to cause the Transfer Agent to transmit to the Holder the Warrant Shares pursuant to Section 2(d)(i) by the Warrant Share Delivery Date, then the Holder will have the right to rescind such exercise.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Beneficial Ownership Limitation</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sz w:val="20"/>
          <w:u w:val="single"/>
        </w:rPr>
        <w:t>Attribution Parties</w:t>
      </w:r>
      <w:r>
        <w:rPr>
          <w:rFonts w:ascii="Times New Roman" w:hAnsi="Times New Roman"/>
          <w:sz w:val="20"/>
        </w:rPr>
        <w:t xml:space="preserve">”)), would beneficially own in excess of the Beneficial Ownership Limitation (as defined below). For purposes of the foregoing sentence,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sz w:val="20"/>
          <w:u w:val="single"/>
        </w:rPr>
        <w:t xml:space="preserve">Beneficial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Limitation</w:t>
      </w:r>
      <w:r>
        <w:rPr>
          <w:rFonts w:ascii="Times New Roman" w:hAnsi="Times New Roman"/>
          <w:sz w:val="20"/>
        </w:rPr>
        <w:t xml:space="preserve">” shall be [4.99/49.99]%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[9.99/49.99]%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not effect any exercise of this Warrant, and a Holder shall not have the right to exercise any portion of this Warrant, pursuant to Section 2 or otherwise, to the extent that the Company determines that the approval of its stockholders is required by the applicable rules of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2(d)(iv).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Subsequent Rights Offerings</w:t>
      </w:r>
      <w:r>
        <w:rPr>
          <w:rFonts w:ascii="Times New Roman" w:hAnsi="Times New Roman"/>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Rata Distributions</w:t>
      </w:r>
      <w:r>
        <w:rPr>
          <w:rFonts w:ascii="Times New Roman" w:hAnsi="Times New Roman"/>
          <w:sz w:val="20"/>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rearrangement, scheme of arrangement or other similar transaction) other than a dividend or other distribution of the type described in Section 3(a) above (a “</w:t>
      </w:r>
      <w:r>
        <w:rPr>
          <w:rFonts w:ascii="Times New Roman" w:hAnsi="Times New Roman"/>
          <w:sz w:val="20"/>
          <w:u w:val="single"/>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w:t>
      </w:r>
      <w:r>
        <w:rPr>
          <w:rFonts w:ascii="Times New Roman" w:hAnsi="Times New Roman"/>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sz w:val="20"/>
          <w:u w:val="single"/>
        </w:rPr>
        <w:t>Fundamental Transaction</w:t>
      </w:r>
      <w:r>
        <w:rPr>
          <w:rFonts w:ascii="Times New Roman" w:hAnsi="Times New Roman"/>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sz w:val="20"/>
          <w:u w:val="single"/>
        </w:rPr>
        <w:t>Alternate Consideration</w:t>
      </w:r>
      <w:r>
        <w:rPr>
          <w:rFonts w:ascii="Times New Roman" w:hAnsi="Times New Roman"/>
          <w:sz w:val="20"/>
        </w:rPr>
        <w:t xml:space="preserve">”) receivable as a result of such Fundamental Transaction by a holder of the number of shares of Common Stock for which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register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Restrictions</w:t>
      </w:r>
      <w:r>
        <w:rPr>
          <w:rFonts w:ascii="Times New Roman" w:hAnsi="Times New Roman"/>
          <w:sz w:val="20"/>
        </w:rPr>
        <w:t xml:space="preserve">.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Representation by the Holder</w:t>
      </w:r>
      <w:r>
        <w:rPr>
          <w:rFonts w:ascii="Times New Roman" w:hAnsi="Times New Roman"/>
          <w:sz w:val="20"/>
        </w:rPr>
        <w:t xml:space="preserve">.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Stockholder Until Exercise; No Settlement in Cash</w:t>
      </w:r>
      <w:r>
        <w:rPr>
          <w:rFonts w:ascii="Times New Roman" w:hAnsi="Times New Roman"/>
          <w:sz w:val="20"/>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in no event shall the Company be required to net cash settle an exercise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Court of Chancery in the State of Delaware. Each party hereby irrevocably submits to the exclusive jurisdiction of the Court of Chancery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and the Holder does not utilize cashless exercise, will have restrictions upon resale imposed by state and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2220 Hicks Road, Suite 210, Rolling Meadows, Illinois 60008, Attention: Chief Financial Officer, email address: ____________,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on the one hand, and the Holder or the beneficial owner of this Warrant,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AGRIFY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 Benjamin Kovler</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and Interim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AGRIFY CORPORATION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120" w:after="0"/>
        <w:jc w:val="left"/>
        <w:rPr>
          <w:rFonts w:ascii="Times New Roman" w:hAnsi="Times New Roman"/>
          <w:sz w:val="20"/>
        </w:rPr>
      </w:pPr>
      <w:r>
        <w:rPr>
          <w:rFonts w:ascii="Times New Roman" w:hAnsi="Times New Roman"/>
          <w:sz w:val="20"/>
        </w:rPr>
        <w:t xml:space="preserve">Name of Investing Entity: ____________________________________________________________________________________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_________________________________________________________________________________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Date: _____________________________________________________________________________________________________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i/>
          <w:sz w:val="20"/>
        </w:rPr>
        <w:t>(To assign the foregoing Warrant, execute this form and supply required information. Do not use this form to purchase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pre-funded warrants to purchase ____________________ (_______) shares of common stock under the foregoing Warrant and all rights evidenced thereby are hereby assigned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4"/>
        <w:gridCol w:w="108"/>
        <w:gridCol w:w="394"/>
        <w:gridCol w:w="108"/>
        <w:gridCol w:w="601"/>
        <w:gridCol w:w="108"/>
        <w:gridCol w:w="4312"/>
      </w:tblGrid>
      <w:tr>
        <w:trPr/>
        <w:tc>
          <w:tcPr>
            <w:tcW w:w="45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12" w:type="dxa"/>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Name:</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c>
          <w:tcPr>
            <w:tcW w:w="45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pPr>
            <w:r>
              <w:rPr/>
              <w:t>(Please Print)</w:t>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129" w:type="dxa"/>
            <w:gridSpan w:val="4"/>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Address:</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c>
          <w:tcPr>
            <w:tcW w:w="45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c>
          <w:tcPr>
            <w:tcW w:w="45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bidi w:val="0"/>
              <w:spacing w:before="0" w:after="283"/>
              <w:jc w:val="left"/>
              <w:rPr/>
            </w:pPr>
            <w:r>
              <w:rPr/>
              <w:t>(Please Print)</w:t>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129" w:type="dxa"/>
            <w:gridSpan w:val="4"/>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Contact:</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129" w:type="dxa"/>
            <w:gridSpan w:val="4"/>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Email Address:</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129" w:type="dxa"/>
            <w:gridSpan w:val="4"/>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Dated:</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129" w:type="dxa"/>
            <w:gridSpan w:val="4"/>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Holder’s Name:</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4420" w:type="dxa"/>
            <w:gridSpan w:val="2"/>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Holder’s Signature:</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1"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312" w:type="dxa"/>
            <w:tcBorders>
              <w:bottom w:val="single" w:sz="2" w:space="0" w:color="000000"/>
            </w:tcBorders>
            <w:tcMar>
              <w:bottom w:w="28" w:type="dxa"/>
            </w:tcMar>
          </w:tcPr>
          <w:p>
            <w:pPr>
              <w:pStyle w:val="TableContents"/>
              <w:bidi w:val="0"/>
              <w:spacing w:before="0" w:after="283"/>
              <w:jc w:val="left"/>
              <w:rPr/>
            </w:pPr>
            <w:r>
              <w:rPr/>
              <w:t> </w:t>
            </w:r>
          </w:p>
        </w:tc>
      </w:tr>
      <w:tr>
        <w:trPr/>
        <w:tc>
          <w:tcPr>
            <w:tcW w:w="45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1"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312" w:type="dxa"/>
            <w:tcBorders/>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1"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31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129" w:type="dxa"/>
            <w:gridSpan w:val="4"/>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   </w:t>
            </w:r>
            <w:r>
              <w:rPr/>
              <w:t>Holder’s Address:</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r>
        <w:trPr/>
        <w:tc>
          <w:tcPr>
            <w:tcW w:w="45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1"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10" w:name="d65517dex991.htm"/>
      <w:bookmarkStart w:id="11" w:name="ksd65517dex991"/>
      <w:bookmarkEnd w:id="10"/>
      <w:bookmarkEnd w:id="11"/>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518535" cy="4654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18535" cy="4654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Green Thumb Industries Announces Brand Transactions with Agrify </w:t>
      </w:r>
    </w:p>
    <w:p>
      <w:pPr>
        <w:pStyle w:val="TextBody"/>
        <w:bidi w:val="0"/>
        <w:spacing w:before="240" w:after="0"/>
        <w:jc w:val="left"/>
        <w:rPr>
          <w:rFonts w:ascii="Times New Roman" w:hAnsi="Times New Roman"/>
          <w:sz w:val="20"/>
        </w:rPr>
      </w:pPr>
      <w:r>
        <w:rPr>
          <w:rFonts w:ascii="Times New Roman" w:hAnsi="Times New Roman"/>
          <w:sz w:val="20"/>
        </w:rPr>
        <w:t xml:space="preserve">CHICAGO and VANCOUVER, British Columbia, August 27, 2025 (GLOBE NEWSWIRE) – </w:t>
      </w:r>
      <w:r>
        <w:rPr>
          <w:rFonts w:ascii="Times New Roman" w:hAnsi="Times New Roman"/>
          <w:sz w:val="20"/>
          <w:u w:val="single"/>
        </w:rPr>
        <w:t>Green Thumb Industries Inc.</w:t>
      </w:r>
      <w:r>
        <w:rPr>
          <w:rFonts w:ascii="Times New Roman" w:hAnsi="Times New Roman"/>
          <w:sz w:val="20"/>
        </w:rPr>
        <w:t> (“Green Thumb” or the “Company”) (CSE: GTII) (OTCQX: GTBIF), a leading national cannabis consumer packaged goods company and owner of </w:t>
      </w:r>
      <w:r>
        <w:rPr>
          <w:rFonts w:ascii="Times New Roman" w:hAnsi="Times New Roman"/>
          <w:sz w:val="20"/>
          <w:u w:val="single"/>
        </w:rPr>
        <w:t>RISE Dispensaries</w:t>
      </w:r>
      <w:r>
        <w:rPr>
          <w:rFonts w:ascii="Times New Roman" w:hAnsi="Times New Roman"/>
          <w:sz w:val="20"/>
        </w:rPr>
        <w:t xml:space="preserve">, today announces that it has (i) entered into transactions to sell certain of its consumer packaged goods brands to Agrify Corporation (“Agrify”) (Nasdaq: AGFY), (ii) entered into a license arrangement with Agrify to permit the Company to continue to manufacture and distribute those brands, and (iii) extended a loan to Agrify in the amount of US$45 million.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27, 2025, VCP23, LLC (the “Seller”), an indirect wholly-owned subsidiary of the Company, entered into a Purchase Agreement (the “Purchase Agreement”) with Agrify Corporation (“Agrify”) pursuant to which the Company sold to Agrify all of the equity interests in VCP IP Holdings, LLC (“VCP”). The Company is an indirect owner of 35% of the outstanding shares of common stock of Agrify (“Agrify Common Stock”), and Benjamin Kovler, Chairman and Chief Executive Officer of the Company, also serves as Chairman and Interim Chief Executive Officer of Agrify. The assets of VCP consist primarily of intellectual property rights to several brands (the “Brands”), including RYTHM, Beboe, Dogwalkers, Doctor Solomon’s, &amp;Shine, and Good Green. The purchase price for the equity interests in VCP under the Purchase Agreement consisted of cash consideration of US$50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Also on August 27, 2025, immediately following the closing under the Purchase Agreement, VCP, a wholly-owned subsidiary of Agrify following the closing, entered into a Trademark and Recipe License Agreement (the “License Agreement”) with GTI Core, LLC (“GTI Core”), an indirect wholly-owned subsidiary of the Company. Under the License Agreement, VCP granted to GTI Core a license to use certain intellectual property related to the Brands. The consideration payable by GTI Core for the license rights consists of a monthly license fee, payable in cash, based on sales of products using the licensed intellectual property as set forth in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will automatically terminate upon certain insolvency events involving GTI Core and may be terminated upon mutual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Note </w:t>
      </w:r>
    </w:p>
    <w:p>
      <w:pPr>
        <w:pStyle w:val="TextBody"/>
        <w:bidi w:val="0"/>
        <w:spacing w:before="120" w:after="0"/>
        <w:jc w:val="left"/>
        <w:rPr>
          <w:rFonts w:ascii="Times New Roman" w:hAnsi="Times New Roman"/>
          <w:sz w:val="20"/>
        </w:rPr>
      </w:pPr>
      <w:r>
        <w:rPr>
          <w:rFonts w:ascii="Times New Roman" w:hAnsi="Times New Roman"/>
          <w:sz w:val="20"/>
        </w:rPr>
        <w:t xml:space="preserve">On August 25, 2025, RSLGH, LLC (“RSLGH”), an indirect wholly owned subsidiary of the Company, made a loan to Agrify, and Agrify issued a Secured Convertible Note to the Company with an aggregate original principal amount of US$45 million (the “Note”) to RSLGH. The Note is a secured obligation of Agrify and will rank senior to all indebtedness of Agrify except for the Secured Convertible Notes issued to RSLGH on November 5, 2024 (the “November 2024 Note”) and to RSLGH and other investors on May 22, 2025 (the “May 2025 Notes” and, collectively with the November 2024 Note, the “Existing Notes”), which rank on parity with the Note and other notes issued simultaneously with the Note. The Note will mature on February 25, 2027 and will accrue interest based on a 10.0% annualized interest rate, with interest to be paid on the first calendar day of each September and March while the Note is outstanding, beginning March 1, 2026. Interest will be paid in cash, shares of Agrify Common Stock, or Pre-Funded Warrants, at RSLGH’s election. The principal amount of the Note will be payable on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The Note imposes certain customary affirmative and negative covenants upon Agrify. If an event of default under the Note occurs, interest will accrue at a rate per annum equal to 14% from the date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Note may be converted into Agrify Common Stock or, at the election of RSLGH, into Pre-Funded Warrants, with a beneficial ownership limitation of 49.99%, subject to applicable Nasdaq listing rules. If RSLGH elects to convert the Note into Agrify Common Stock, and for interest payments payable in the form of Agrify Common Stock, the conversion price per share will be $29.475 (the “Conversion Price”), equal to the Minimum Price pursuant to Nasdaq Listing Rule 5635 at the time the Note was issued, subject to customary adjustments for certain corporate events. If RSLGH elects to convert the Note into Pre-Funded Warrants, and for interest payments payable in the form of Pre-Funded Warrants, the conversion price per Pre-Funded Warrant will be equal to the Conversion Price less the $0.001 exercise price of the warrant. The conversion of the Notes into Agrify Common Stock and/or Pre-Funded Warrants will be subject to certain customary conditions and, to the extent necessary, the receipt of stockholder approval under Nasdaq listing rules.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Green Thumb Industries Inc. </w:t>
      </w:r>
    </w:p>
    <w:p>
      <w:pPr>
        <w:pStyle w:val="TextBody"/>
        <w:bidi w:val="0"/>
        <w:spacing w:before="0" w:after="0"/>
        <w:jc w:val="left"/>
        <w:rPr>
          <w:rFonts w:ascii="Times New Roman" w:hAnsi="Times New Roman"/>
          <w:i/>
          <w:sz w:val="20"/>
        </w:rPr>
      </w:pPr>
      <w:r>
        <w:rPr>
          <w:rFonts w:ascii="Times New Roman" w:hAnsi="Times New Roman"/>
          <w:i/>
          <w:sz w:val="20"/>
        </w:rPr>
        <w:t xml:space="preserve">Page 2 of 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Green Thumb Industries </w:t>
      </w:r>
    </w:p>
    <w:p>
      <w:pPr>
        <w:pStyle w:val="TextBody"/>
        <w:bidi w:val="0"/>
        <w:spacing w:before="120" w:after="0"/>
        <w:jc w:val="left"/>
        <w:rPr>
          <w:rFonts w:ascii="Times New Roman" w:hAnsi="Times New Roman"/>
          <w:sz w:val="20"/>
        </w:rPr>
      </w:pPr>
      <w:r>
        <w:rPr>
          <w:rFonts w:ascii="Times New Roman" w:hAnsi="Times New Roman"/>
          <w:sz w:val="20"/>
        </w:rPr>
        <w:t xml:space="preserve">Green Thumb Industries Inc. (“Green Thumb”) is a leading national cannabis consumer packaged goods company and retailer headquartered in Chicago, Illinois. The company manufactures and distributes a portfolio of branded products including RYTHM, Dogwalkers, incredibles, Beboe, &amp;Shine, Doctor Solomon’s and Good Green. Green Thumb also owns and operates RISE Dispensaries, a rapidly growing national retail cannabis chain. Green Thumb serves millions of patients and customers each year with a mission to promote well-being through the power of cannabis while giving back to the communities it serves. Established in 2014, Green Thumb has 20 manufacturing facilities and 108 retail stores across 14 U.S. markets, employing approximately 4,800 people. More information is available at www.gtigrows.com.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which may constitute “forward-looking information” within the meaning of applicable securities laws. Forward-looking information is often identified by the words “may,” “would,” “could,” “should,” “will,” “intend,” “plan,” “anticipate,” “believe,” “estimate,” “expect,” or similar expressions and include information regarding the potential conversion of the Notes and the Pre-Funded Warrants. Forward-looking information used in this press release includes statements relating to the fulfillment of future obligations under the various agreements disclosed herein. The forward-looking information in this news release is based upon the expectations of future events which management believes to be reasonable. Any forward-looking information speaks only as of the date on which it is made, and, except as required by law, Green Thumb does not undertake any obligation to update or revise any forward-looking information, whether as a result of new information, future events or otherwise. The forward-looking information in this news release is subject to a variety of known and unknown risks, uncertainties and other factors that could cause actual events or results to differ from those expressed or implied. When considering these forward-looking statements, readers should keep in mind the risk factors and other cautionary statements in Green Thumb’s public filings with the applicable securities regulatory authorities, including with the U.S. Securities and Exchange Commission on its website at www.sec.gov and with Canada’s SEDAR+ at www.sedarplus.ca, as well as on Green Thumb’s website at https://investors.gtigrows.com, including in the “Risk Factors” section of the Company’s most recent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The Canadian Securities Exchange does not accept responsibility for the adequacy or accuracy of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Disclosure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related party of Agrify by virtue of its indirect ownership of Agrify. Pursuant to Canadian Multilateral Instrument 61-101 – </w:t>
      </w:r>
      <w:r>
        <w:rPr>
          <w:rFonts w:ascii="Times New Roman" w:hAnsi="Times New Roman"/>
          <w:i/>
          <w:sz w:val="20"/>
        </w:rPr>
        <w:t>Protection of Minority Security Holders in Special Transactions</w:t>
      </w:r>
      <w:r>
        <w:rPr>
          <w:rFonts w:ascii="Times New Roman" w:hAnsi="Times New Roman"/>
          <w:sz w:val="20"/>
        </w:rPr>
        <w:t xml:space="preserve"> (“MI 61-101”), the transaction contemplated by the Purchase Agreement is a “related party transaction”. The Company is exempt from certain requirements of MI 61-101 in connection with the Purchase Agreement in reliance on sections 5.5(a) and 5.7(1)(a) of MI 61-101, as the aggregate value of the transaction does not exceed 25% of the market capitalization of the Company. Further details will be included in the Company’s material change report to be filed with the applicable Canadian securities regulatory authorities within the prescribed time. Such material change report will not be filed more than 21 days prior to closing of the transaction contemplated by the Purchase Agreement due to the timing of the announcement and closing occurring in less than 21 days.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Contacts: </w:t>
      </w:r>
    </w:p>
    <w:p>
      <w:pPr>
        <w:pStyle w:val="TextBody"/>
        <w:bidi w:val="0"/>
        <w:spacing w:before="120" w:after="0"/>
        <w:jc w:val="left"/>
        <w:rPr>
          <w:rFonts w:ascii="Times New Roman" w:hAnsi="Times New Roman"/>
          <w:sz w:val="20"/>
        </w:rPr>
      </w:pPr>
      <w:r>
        <w:rPr>
          <w:rFonts w:ascii="Times New Roman" w:hAnsi="Times New Roman"/>
          <w:sz w:val="20"/>
        </w:rPr>
        <w:t xml:space="preserve">Andy Grossman </w:t>
      </w:r>
    </w:p>
    <w:p>
      <w:pPr>
        <w:pStyle w:val="TextBody"/>
        <w:bidi w:val="0"/>
        <w:spacing w:before="0" w:after="0"/>
        <w:jc w:val="left"/>
        <w:rPr>
          <w:rFonts w:ascii="Times New Roman" w:hAnsi="Times New Roman"/>
          <w:sz w:val="20"/>
        </w:rPr>
      </w:pPr>
      <w:r>
        <w:rPr>
          <w:rFonts w:ascii="Times New Roman" w:hAnsi="Times New Roman"/>
          <w:sz w:val="20"/>
        </w:rPr>
        <w:t xml:space="preserve">EVP, Capital Markets &amp; 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InvestorRelations@gtigrows.com </w:t>
      </w:r>
    </w:p>
    <w:p>
      <w:pPr>
        <w:pStyle w:val="TextBody"/>
        <w:bidi w:val="0"/>
        <w:spacing w:before="0" w:after="0"/>
        <w:jc w:val="left"/>
        <w:rPr>
          <w:rFonts w:ascii="Times New Roman" w:hAnsi="Times New Roman"/>
          <w:sz w:val="20"/>
        </w:rPr>
      </w:pPr>
      <w:r>
        <w:rPr>
          <w:rFonts w:ascii="Times New Roman" w:hAnsi="Times New Roman"/>
          <w:sz w:val="20"/>
        </w:rPr>
        <w:t xml:space="preserve">310-622-8257 </w:t>
      </w:r>
    </w:p>
    <w:p>
      <w:pPr>
        <w:pStyle w:val="TextBody"/>
        <w:bidi w:val="0"/>
        <w:spacing w:before="360" w:after="0"/>
        <w:jc w:val="left"/>
        <w:rPr>
          <w:rFonts w:ascii="Times New Roman" w:hAnsi="Times New Roman"/>
          <w:sz w:val="20"/>
        </w:rPr>
      </w:pPr>
      <w:r>
        <w:rPr>
          <w:rFonts w:ascii="Times New Roman" w:hAnsi="Times New Roman"/>
          <w:b/>
          <w:sz w:val="20"/>
        </w:rPr>
        <w:t>Media Contact: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GTI Communications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media@gtigrows.com </w:t>
      </w:r>
    </w:p>
    <w:p>
      <w:pPr>
        <w:pStyle w:val="TextBody"/>
        <w:bidi w:val="0"/>
        <w:spacing w:before="240" w:after="0"/>
        <w:jc w:val="left"/>
        <w:rPr>
          <w:rFonts w:ascii="Times New Roman" w:hAnsi="Times New Roman"/>
          <w:b/>
          <w:sz w:val="20"/>
        </w:rPr>
      </w:pPr>
      <w:r>
        <w:rPr>
          <w:rFonts w:ascii="Times New Roman" w:hAnsi="Times New Roman"/>
          <w:b/>
          <w:sz w:val="20"/>
        </w:rPr>
        <w:t xml:space="preserve">Source: Green Thumb Industries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100</Pages>
  <Words>43506</Words>
  <Characters>230283</Characters>
  <CharactersWithSpaces>273972</CharactersWithSpaces>
  <Paragraphs>1371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