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100" w:right="2640" w:hanging="3984"/>
        <w:spacing w:after="0" w:line="396" w:lineRule="auto"/>
        <w:tabs>
          <w:tab w:leader="none" w:pos="5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2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5220" w:type="dxa"/>
            <w:vAlign w:val="bottom"/>
            <w:gridSpan w:val="2"/>
          </w:tcPr>
          <w:p>
            <w:pPr>
              <w:ind w:left="308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740" w:type="dxa"/>
            <w:vAlign w:val="bottom"/>
            <w:gridSpan w:val="7"/>
          </w:tcPr>
          <w:p>
            <w:pPr>
              <w:jc w:val="center"/>
              <w:ind w:left="2292"/>
              <w:spacing w:after="0"/>
              <w:rPr>
                <w:sz w:val="20"/>
                <w:szCs w:val="20"/>
                <w:color w:val="auto"/>
              </w:rPr>
            </w:pPr>
            <w:r>
              <w:rPr>
                <w:rFonts w:ascii="Arial" w:cs="Arial" w:eastAsia="Arial" w:hAnsi="Arial"/>
                <w:sz w:val="16"/>
                <w:szCs w:val="16"/>
                <w:b w:val="1"/>
                <w:bCs w:val="1"/>
                <w:color w:val="auto"/>
                <w:w w:val="91"/>
              </w:rPr>
              <w:t>Commission file number 000-56132</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8980" w:type="dxa"/>
            <w:vAlign w:val="bottom"/>
            <w:gridSpan w:val="9"/>
          </w:tcPr>
          <w:p>
            <w:pPr>
              <w:jc w:val="center"/>
              <w:ind w:left="1052"/>
              <w:spacing w:after="0"/>
              <w:rPr>
                <w:sz w:val="20"/>
                <w:szCs w:val="20"/>
                <w:color w:val="auto"/>
              </w:rPr>
            </w:pPr>
            <w:r>
              <w:rPr>
                <w:rFonts w:ascii="Arial" w:cs="Arial" w:eastAsia="Arial" w:hAnsi="Arial"/>
                <w:sz w:val="43"/>
                <w:szCs w:val="43"/>
                <w:b w:val="1"/>
                <w:bCs w:val="1"/>
                <w:color w:val="auto"/>
              </w:rPr>
              <w:t>GREEN THUMB INDUSTRIES INC.</w:t>
            </w:r>
          </w:p>
        </w:tc>
        <w:tc>
          <w:tcPr>
            <w:tcW w:w="0" w:type="dxa"/>
            <w:vAlign w:val="bottom"/>
          </w:tcPr>
          <w:p>
            <w:pPr>
              <w:spacing w:after="0"/>
              <w:rPr>
                <w:sz w:val="1"/>
                <w:szCs w:val="1"/>
                <w:color w:val="auto"/>
              </w:rPr>
            </w:pPr>
          </w:p>
        </w:tc>
      </w:tr>
      <w:tr>
        <w:trPr>
          <w:trHeight w:val="186"/>
        </w:trPr>
        <w:tc>
          <w:tcPr>
            <w:tcW w:w="7740" w:type="dxa"/>
            <w:vAlign w:val="bottom"/>
            <w:gridSpan w:val="7"/>
          </w:tcPr>
          <w:p>
            <w:pPr>
              <w:jc w:val="center"/>
              <w:ind w:left="231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602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93"/>
              </w:rPr>
              <w:t>British Columbia</w:t>
            </w:r>
          </w:p>
        </w:tc>
        <w:tc>
          <w:tcPr>
            <w:tcW w:w="2360" w:type="dxa"/>
            <w:vAlign w:val="bottom"/>
            <w:gridSpan w:val="5"/>
          </w:tcPr>
          <w:p>
            <w:pPr>
              <w:jc w:val="right"/>
              <w:spacing w:after="0"/>
              <w:rPr>
                <w:sz w:val="20"/>
                <w:szCs w:val="20"/>
                <w:color w:val="auto"/>
              </w:rPr>
            </w:pPr>
            <w:r>
              <w:rPr>
                <w:rFonts w:ascii="Arial" w:cs="Arial" w:eastAsia="Arial" w:hAnsi="Arial"/>
                <w:sz w:val="16"/>
                <w:szCs w:val="16"/>
                <w:b w:val="1"/>
                <w:bCs w:val="1"/>
                <w:color w:val="auto"/>
              </w:rPr>
              <w:t>98-1437430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3"/>
          </w:tcPr>
          <w:p>
            <w:pPr>
              <w:jc w:val="center"/>
              <w:ind w:right="139"/>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60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95"/>
        </w:trPr>
        <w:tc>
          <w:tcPr>
            <w:tcW w:w="602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91"/>
              </w:rPr>
              <w:t>325 West Huron Street, Suite 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2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91"/>
              </w:rPr>
              <w:t>Chicago, Illinois</w:t>
            </w:r>
          </w:p>
        </w:tc>
        <w:tc>
          <w:tcPr>
            <w:tcW w:w="236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rPr>
              <w:t>60654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2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1"/>
              </w:rPr>
              <w:t>(zip code)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740" w:type="dxa"/>
            <w:vAlign w:val="bottom"/>
            <w:gridSpan w:val="7"/>
          </w:tcPr>
          <w:p>
            <w:pPr>
              <w:jc w:val="center"/>
              <w:ind w:left="2312"/>
              <w:spacing w:after="0"/>
              <w:rPr>
                <w:sz w:val="20"/>
                <w:szCs w:val="20"/>
                <w:color w:val="auto"/>
              </w:rPr>
            </w:pPr>
            <w:r>
              <w:rPr>
                <w:rFonts w:ascii="Arial" w:cs="Arial" w:eastAsia="Arial" w:hAnsi="Arial"/>
                <w:sz w:val="16"/>
                <w:szCs w:val="16"/>
                <w:b w:val="1"/>
                <w:bCs w:val="1"/>
                <w:color w:val="auto"/>
                <w:w w:val="90"/>
              </w:rPr>
              <w:t>Registrant’s telephone number, including area code - (312) 471-6720</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gridSpan w:val="7"/>
          </w:tcPr>
          <w:p>
            <w:pPr>
              <w:jc w:val="center"/>
              <w:ind w:left="2292"/>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120" w:type="dxa"/>
            <w:vAlign w:val="bottom"/>
            <w:gridSpan w:val="2"/>
          </w:tcPr>
          <w:p>
            <w:pPr>
              <w:jc w:val="center"/>
              <w:ind w:left="121"/>
              <w:spacing w:after="0"/>
              <w:rPr>
                <w:sz w:val="20"/>
                <w:szCs w:val="20"/>
                <w:color w:val="auto"/>
              </w:rPr>
            </w:pPr>
            <w:r>
              <w:rPr>
                <w:rFonts w:ascii="Arial" w:cs="Arial" w:eastAsia="Arial" w:hAnsi="Arial"/>
                <w:sz w:val="16"/>
                <w:szCs w:val="16"/>
                <w:color w:val="auto"/>
                <w:w w:val="89"/>
              </w:rPr>
              <w:t>Subordinate Voting Shares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120" w:type="dxa"/>
            <w:vAlign w:val="bottom"/>
            <w:gridSpan w:val="2"/>
          </w:tcPr>
          <w:p>
            <w:pPr>
              <w:jc w:val="center"/>
              <w:ind w:left="141"/>
              <w:spacing w:after="0"/>
              <w:rPr>
                <w:sz w:val="20"/>
                <w:szCs w:val="20"/>
                <w:color w:val="auto"/>
              </w:rPr>
            </w:pPr>
            <w:r>
              <w:rPr>
                <w:rFonts w:ascii="Arial" w:cs="Arial" w:eastAsia="Arial" w:hAnsi="Arial"/>
                <w:sz w:val="16"/>
                <w:szCs w:val="16"/>
                <w:color w:val="auto"/>
                <w:w w:val="93"/>
              </w:rPr>
              <w:t>Multiple Voting Shares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120" w:type="dxa"/>
            <w:vAlign w:val="bottom"/>
            <w:gridSpan w:val="2"/>
          </w:tcPr>
          <w:p>
            <w:pPr>
              <w:jc w:val="center"/>
              <w:ind w:left="121"/>
              <w:spacing w:after="0"/>
              <w:rPr>
                <w:sz w:val="20"/>
                <w:szCs w:val="20"/>
                <w:color w:val="auto"/>
              </w:rPr>
            </w:pPr>
            <w:r>
              <w:rPr>
                <w:rFonts w:ascii="Arial" w:cs="Arial" w:eastAsia="Arial" w:hAnsi="Arial"/>
                <w:sz w:val="16"/>
                <w:szCs w:val="16"/>
                <w:color w:val="auto"/>
                <w:w w:val="89"/>
              </w:rPr>
              <w:t>Super Voting Shares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212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1"/>
              </w:rPr>
              <w:t>(Title of class)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60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774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74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600" w:type="dxa"/>
            <w:vAlign w:val="bottom"/>
          </w:tcPr>
          <w:p>
            <w:pPr>
              <w:ind w:left="140"/>
              <w:spacing w:after="0" w:line="184" w:lineRule="exact"/>
              <w:rPr>
                <w:sz w:val="20"/>
                <w:szCs w:val="20"/>
                <w:color w:val="auto"/>
              </w:rPr>
            </w:pPr>
            <w:r>
              <w:rPr>
                <w:rFonts w:ascii="Arial" w:cs="Arial" w:eastAsia="Arial" w:hAnsi="Arial"/>
                <w:sz w:val="16"/>
                <w:szCs w:val="16"/>
                <w:color w:val="auto"/>
                <w:w w:val="96"/>
              </w:rPr>
              <w:t xml:space="preserve">No  </w:t>
            </w:r>
            <w:r>
              <w:rPr>
                <w:rFonts w:ascii="MS PGothic" w:cs="MS PGothic" w:eastAsia="MS PGothic" w:hAnsi="MS PGothic"/>
                <w:sz w:val="16"/>
                <w:szCs w:val="16"/>
                <w:color w:val="auto"/>
                <w:w w:val="96"/>
              </w:rPr>
              <w: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120" w:right="100" w:firstLine="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120" w:firstLine="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left="120" w:right="6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86" w:lineRule="exact"/>
        <w:rPr>
          <w:sz w:val="24"/>
          <w:szCs w:val="24"/>
          <w:color w:val="auto"/>
        </w:rPr>
      </w:pPr>
    </w:p>
    <w:p>
      <w:pPr>
        <w:ind w:left="120" w:right="40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60"/>
        <w:spacing w:after="0" w:line="184" w:lineRule="exact"/>
        <w:tabs>
          <w:tab w:leader="none" w:pos="7360" w:val="left"/>
          <w:tab w:leader="none" w:pos="8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120" w:right="160" w:firstLine="440"/>
        <w:spacing w:after="0" w:line="210" w:lineRule="exact"/>
        <w:rPr>
          <w:sz w:val="20"/>
          <w:szCs w:val="20"/>
          <w:color w:val="auto"/>
        </w:rPr>
      </w:pPr>
      <w:r>
        <w:rPr>
          <w:rFonts w:ascii="Arial" w:cs="Arial" w:eastAsia="Arial" w:hAnsi="Arial"/>
          <w:sz w:val="16"/>
          <w:szCs w:val="16"/>
          <w:color w:val="auto"/>
        </w:rPr>
        <w:t xml:space="preserve">As of March 31, 2020, there were 144,810,322 shares of the registrant’s Subordinate Voting Shares, 23,850,400 shares of the registrant’s Multiple Voting Shares (on an as converted basis) and 39,081,400 of the registrant’s Super Voting Shares (on an as converted basis).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120" w:right="80"/>
        <w:spacing w:after="0" w:line="278" w:lineRule="auto"/>
        <w:rPr>
          <w:sz w:val="20"/>
          <w:szCs w:val="20"/>
          <w:color w:val="auto"/>
        </w:rPr>
      </w:pPr>
      <w:r>
        <w:rPr>
          <w:rFonts w:ascii="Arial" w:cs="Arial" w:eastAsia="Arial" w:hAnsi="Arial"/>
          <w:sz w:val="16"/>
          <w:szCs w:val="16"/>
          <w:color w:val="auto"/>
        </w:rPr>
        <w:t>The aggregate market value of the Subordinate Voting Shares, and Multiple Voting Shares and Super Voting Shares (on an as converted basis, based on the closing price of these shares on the Canadian Stock Exchange) on June 30, 2019, the last business day of the registrant’s most recently completed second fiscal quarter, held by nonaffiliates was $1,455,373,948</w:t>
      </w:r>
    </w:p>
    <w:p>
      <w:pPr>
        <w:spacing w:after="0" w:line="76"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DOCUMENTS INCORPORATED BY REFERENCE</w:t>
      </w:r>
    </w:p>
    <w:p>
      <w:pPr>
        <w:spacing w:after="0" w:line="59" w:lineRule="exact"/>
        <w:rPr>
          <w:sz w:val="24"/>
          <w:szCs w:val="24"/>
          <w:color w:val="auto"/>
        </w:rPr>
      </w:pPr>
    </w:p>
    <w:p>
      <w:pPr>
        <w:ind w:left="120" w:right="300"/>
        <w:spacing w:after="0" w:line="278" w:lineRule="auto"/>
        <w:rPr>
          <w:sz w:val="20"/>
          <w:szCs w:val="20"/>
          <w:color w:val="auto"/>
        </w:rPr>
      </w:pPr>
      <w:r>
        <w:rPr>
          <w:rFonts w:ascii="Arial" w:cs="Arial" w:eastAsia="Arial" w:hAnsi="Arial"/>
          <w:sz w:val="16"/>
          <w:szCs w:val="16"/>
          <w:color w:val="auto"/>
        </w:rPr>
        <w:t>Part III incorporates certain information by reference from the definitive proxy statement to be filed by the registrant in connection with the 2020 Annual Meeting of Stockholders (the “2020 Proxy Statement”). The 2020 Proxy Statement will be filed by the registrant with the Securities and Exchange Commission pursuant to Regulation 14A not later than 120 days after the end of the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30" w:right="479" w:bottom="104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9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w:t>
            </w:r>
          </w:p>
        </w:tc>
        <w:tc>
          <w:tcPr>
            <w:tcW w:w="848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1A.</w:t>
            </w:r>
          </w:p>
        </w:tc>
        <w:tc>
          <w:tcPr>
            <w:tcW w:w="8480" w:type="dxa"/>
            <w:vAlign w:val="bottom"/>
            <w:gridSpan w:val="9"/>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1B.</w:t>
            </w:r>
          </w:p>
        </w:tc>
        <w:tc>
          <w:tcPr>
            <w:tcW w:w="8480" w:type="dxa"/>
            <w:vAlign w:val="bottom"/>
            <w:gridSpan w:val="9"/>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UNRESOLVED STAFF COMMENTS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2.</w:t>
            </w:r>
          </w:p>
        </w:tc>
        <w:tc>
          <w:tcPr>
            <w:tcW w:w="8480" w:type="dxa"/>
            <w:vAlign w:val="bottom"/>
            <w:gridSpan w:val="9"/>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PROPERTIES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3.</w:t>
            </w:r>
          </w:p>
        </w:tc>
        <w:tc>
          <w:tcPr>
            <w:tcW w:w="8480" w:type="dxa"/>
            <w:vAlign w:val="bottom"/>
            <w:gridSpan w:val="9"/>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980" w:type="dxa"/>
            <w:vAlign w:val="bottom"/>
          </w:tcPr>
          <w:p>
            <w:pPr>
              <w:ind w:left="980"/>
              <w:spacing w:after="0"/>
              <w:rPr>
                <w:sz w:val="20"/>
                <w:szCs w:val="20"/>
                <w:color w:val="auto"/>
              </w:rPr>
            </w:pPr>
            <w:r>
              <w:rPr>
                <w:rFonts w:ascii="Arial" w:cs="Arial" w:eastAsia="Arial" w:hAnsi="Arial"/>
                <w:sz w:val="18"/>
                <w:szCs w:val="18"/>
                <w:color w:val="auto"/>
              </w:rPr>
              <w:t>ITEM 4.</w:t>
            </w:r>
          </w:p>
        </w:tc>
        <w:tc>
          <w:tcPr>
            <w:tcW w:w="8480" w:type="dxa"/>
            <w:vAlign w:val="bottom"/>
            <w:gridSpan w:val="9"/>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color w:val="auto"/>
              </w:rPr>
              <w:t>PART II</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980"/>
              <w:spacing w:after="0" w:line="190" w:lineRule="exact"/>
              <w:rPr>
                <w:sz w:val="20"/>
                <w:szCs w:val="20"/>
                <w:color w:val="auto"/>
              </w:rPr>
            </w:pPr>
            <w:r>
              <w:rPr>
                <w:rFonts w:ascii="Arial" w:cs="Arial" w:eastAsia="Arial" w:hAnsi="Arial"/>
                <w:sz w:val="18"/>
                <w:szCs w:val="18"/>
                <w:color w:val="auto"/>
              </w:rPr>
              <w:t>ITEM 5.</w:t>
            </w:r>
          </w:p>
        </w:tc>
        <w:tc>
          <w:tcPr>
            <w:tcW w:w="8480" w:type="dxa"/>
            <w:vAlign w:val="bottom"/>
            <w:gridSpan w:val="9"/>
          </w:tcPr>
          <w:p>
            <w:pPr>
              <w:spacing w:after="0" w:line="190" w:lineRule="exact"/>
              <w:rPr>
                <w:rFonts w:ascii="Arial" w:cs="Arial" w:eastAsia="Arial" w:hAnsi="Arial"/>
                <w:sz w:val="18"/>
                <w:szCs w:val="18"/>
                <w:color w:val="0000EE"/>
              </w:rPr>
            </w:pPr>
            <w:hyperlink w:anchor="page59">
              <w:r>
                <w:rPr>
                  <w:rFonts w:ascii="Arial" w:cs="Arial" w:eastAsia="Arial" w:hAnsi="Arial"/>
                  <w:sz w:val="18"/>
                  <w:szCs w:val="18"/>
                  <w:color w:val="0000EE"/>
                </w:rPr>
                <w:t>MARKET PRICE OF AND DIVIDENDS ON THE REGISTRANTS COMMON EQUITY AND RELATED</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STOCKHOLDER MATTERS</w:t>
              </w:r>
            </w:hyperlink>
          </w:p>
        </w:tc>
        <w:tc>
          <w:tcPr>
            <w:tcW w:w="5680" w:type="dxa"/>
            <w:vAlign w:val="bottom"/>
            <w:tcBorders>
              <w:top w:val="single" w:sz="8" w:color="0000EE"/>
            </w:tcBorders>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1980" w:type="dxa"/>
            <w:vAlign w:val="bottom"/>
          </w:tcPr>
          <w:p>
            <w:pPr>
              <w:ind w:left="980"/>
              <w:spacing w:after="0"/>
              <w:rPr>
                <w:sz w:val="20"/>
                <w:szCs w:val="20"/>
                <w:color w:val="auto"/>
              </w:rPr>
            </w:pPr>
            <w:r>
              <w:rPr>
                <w:rFonts w:ascii="Arial" w:cs="Arial" w:eastAsia="Arial" w:hAnsi="Arial"/>
                <w:sz w:val="18"/>
                <w:szCs w:val="18"/>
                <w:color w:val="auto"/>
              </w:rPr>
              <w:t>ITEM 6.</w:t>
            </w:r>
          </w:p>
        </w:tc>
        <w:tc>
          <w:tcPr>
            <w:tcW w:w="8480" w:type="dxa"/>
            <w:vAlign w:val="bottom"/>
            <w:gridSpan w:val="9"/>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SELECTED FINANCIAL DATA</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0"/>
        </w:trPr>
        <w:tc>
          <w:tcPr>
            <w:tcW w:w="1980" w:type="dxa"/>
            <w:vAlign w:val="bottom"/>
          </w:tcPr>
          <w:p>
            <w:pPr>
              <w:ind w:left="980"/>
              <w:spacing w:after="0" w:line="190" w:lineRule="exact"/>
              <w:rPr>
                <w:sz w:val="20"/>
                <w:szCs w:val="20"/>
                <w:color w:val="auto"/>
              </w:rPr>
            </w:pPr>
            <w:r>
              <w:rPr>
                <w:rFonts w:ascii="Arial" w:cs="Arial" w:eastAsia="Arial" w:hAnsi="Arial"/>
                <w:sz w:val="18"/>
                <w:szCs w:val="18"/>
                <w:color w:val="auto"/>
              </w:rPr>
              <w:t>ITEM 7.</w:t>
            </w:r>
          </w:p>
        </w:tc>
        <w:tc>
          <w:tcPr>
            <w:tcW w:w="8480" w:type="dxa"/>
            <w:vAlign w:val="bottom"/>
            <w:gridSpan w:val="9"/>
          </w:tcPr>
          <w:p>
            <w:pPr>
              <w:spacing w:after="0" w:line="190" w:lineRule="exact"/>
              <w:rPr>
                <w:rFonts w:ascii="Arial" w:cs="Arial" w:eastAsia="Arial" w:hAnsi="Arial"/>
                <w:sz w:val="18"/>
                <w:szCs w:val="18"/>
                <w:color w:val="0000EE"/>
              </w:rPr>
            </w:pPr>
            <w:hyperlink w:anchor="page63">
              <w:r>
                <w:rPr>
                  <w:rFonts w:ascii="Arial" w:cs="Arial" w:eastAsia="Arial" w:hAnsi="Arial"/>
                  <w:sz w:val="18"/>
                  <w:szCs w:val="18"/>
                  <w:color w:val="0000EE"/>
                </w:rPr>
                <w:t>MANAGEMENT DISCUSSION AND ANALYSIS OF FINANCIAL CONDITION AND RESULTS OF</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OPERATION</w:t>
              </w:r>
            </w:hyperlink>
          </w:p>
        </w:tc>
        <w:tc>
          <w:tcPr>
            <w:tcW w:w="88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80" w:type="dxa"/>
            <w:vAlign w:val="bottom"/>
          </w:tcPr>
          <w:p>
            <w:pPr>
              <w:ind w:left="980"/>
              <w:spacing w:after="0"/>
              <w:rPr>
                <w:sz w:val="20"/>
                <w:szCs w:val="20"/>
                <w:color w:val="auto"/>
              </w:rPr>
            </w:pPr>
            <w:r>
              <w:rPr>
                <w:rFonts w:ascii="Arial" w:cs="Arial" w:eastAsia="Arial" w:hAnsi="Arial"/>
                <w:sz w:val="18"/>
                <w:szCs w:val="18"/>
                <w:color w:val="auto"/>
              </w:rPr>
              <w:t>ITEM 7A.</w:t>
            </w:r>
          </w:p>
        </w:tc>
        <w:tc>
          <w:tcPr>
            <w:tcW w:w="8480" w:type="dxa"/>
            <w:vAlign w:val="bottom"/>
            <w:gridSpan w:val="9"/>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8.</w:t>
            </w:r>
          </w:p>
        </w:tc>
        <w:tc>
          <w:tcPr>
            <w:tcW w:w="8480" w:type="dxa"/>
            <w:vAlign w:val="bottom"/>
            <w:gridSpan w:val="9"/>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FINANCIAL STATEMENTS AND SUPPLEMENTARY DATA</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0"/>
        </w:trPr>
        <w:tc>
          <w:tcPr>
            <w:tcW w:w="1980" w:type="dxa"/>
            <w:vAlign w:val="bottom"/>
          </w:tcPr>
          <w:p>
            <w:pPr>
              <w:ind w:left="980"/>
              <w:spacing w:after="0" w:line="190" w:lineRule="exact"/>
              <w:rPr>
                <w:sz w:val="20"/>
                <w:szCs w:val="20"/>
                <w:color w:val="auto"/>
              </w:rPr>
            </w:pPr>
            <w:r>
              <w:rPr>
                <w:rFonts w:ascii="Arial" w:cs="Arial" w:eastAsia="Arial" w:hAnsi="Arial"/>
                <w:sz w:val="18"/>
                <w:szCs w:val="18"/>
                <w:color w:val="auto"/>
              </w:rPr>
              <w:t>ITEM 9.</w:t>
            </w:r>
          </w:p>
        </w:tc>
        <w:tc>
          <w:tcPr>
            <w:tcW w:w="8480" w:type="dxa"/>
            <w:vAlign w:val="bottom"/>
            <w:gridSpan w:val="9"/>
          </w:tcPr>
          <w:p>
            <w:pPr>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CHANGES AND DISAGREEMENTS WITH ACCOUNTANTS ON ACCOUNTING AND FINANCIAL</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DISCLOSURE</w:t>
              </w:r>
            </w:hyperlink>
          </w:p>
        </w:tc>
        <w:tc>
          <w:tcPr>
            <w:tcW w:w="6580" w:type="dxa"/>
            <w:vAlign w:val="bottom"/>
            <w:tcBorders>
              <w:top w:val="single" w:sz="8" w:color="0000EE"/>
            </w:tcBorders>
            <w:gridSpan w:val="4"/>
          </w:tcPr>
          <w:p>
            <w:pPr>
              <w:spacing w:after="0"/>
              <w:rPr>
                <w:sz w:val="17"/>
                <w:szCs w:val="17"/>
                <w:color w:val="auto"/>
              </w:rPr>
            </w:pPr>
          </w:p>
        </w:tc>
        <w:tc>
          <w:tcPr>
            <w:tcW w:w="78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1980" w:type="dxa"/>
            <w:vAlign w:val="bottom"/>
          </w:tcPr>
          <w:p>
            <w:pPr>
              <w:ind w:left="980"/>
              <w:spacing w:after="0"/>
              <w:rPr>
                <w:sz w:val="20"/>
                <w:szCs w:val="20"/>
                <w:color w:val="auto"/>
              </w:rPr>
            </w:pPr>
            <w:r>
              <w:rPr>
                <w:rFonts w:ascii="Arial" w:cs="Arial" w:eastAsia="Arial" w:hAnsi="Arial"/>
                <w:sz w:val="18"/>
                <w:szCs w:val="18"/>
                <w:color w:val="auto"/>
              </w:rPr>
              <w:t>ITEM 9A.</w:t>
            </w:r>
          </w:p>
        </w:tc>
        <w:tc>
          <w:tcPr>
            <w:tcW w:w="8480" w:type="dxa"/>
            <w:vAlign w:val="bottom"/>
            <w:gridSpan w:val="9"/>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980" w:type="dxa"/>
            <w:vAlign w:val="bottom"/>
          </w:tcPr>
          <w:p>
            <w:pPr>
              <w:ind w:left="980"/>
              <w:spacing w:after="0"/>
              <w:rPr>
                <w:sz w:val="20"/>
                <w:szCs w:val="20"/>
                <w:color w:val="auto"/>
              </w:rPr>
            </w:pPr>
            <w:r>
              <w:rPr>
                <w:rFonts w:ascii="Arial" w:cs="Arial" w:eastAsia="Arial" w:hAnsi="Arial"/>
                <w:sz w:val="18"/>
                <w:szCs w:val="18"/>
                <w:color w:val="auto"/>
              </w:rPr>
              <w:t>ITEM 9B.</w:t>
            </w:r>
          </w:p>
        </w:tc>
        <w:tc>
          <w:tcPr>
            <w:tcW w:w="8480" w:type="dxa"/>
            <w:vAlign w:val="bottom"/>
            <w:gridSpan w:val="9"/>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color w:val="auto"/>
              </w:rPr>
              <w:t>PART III</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10.</w:t>
            </w:r>
          </w:p>
        </w:tc>
        <w:tc>
          <w:tcPr>
            <w:tcW w:w="8480" w:type="dxa"/>
            <w:vAlign w:val="bottom"/>
            <w:gridSpan w:val="9"/>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EXECUTIVE OFFICERS OF GREEN THUMB INDUSTRIES INC.</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11.</w:t>
            </w:r>
          </w:p>
        </w:tc>
        <w:tc>
          <w:tcPr>
            <w:tcW w:w="8480" w:type="dxa"/>
            <w:vAlign w:val="bottom"/>
            <w:gridSpan w:val="9"/>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EXECUTIVE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0"/>
        </w:trPr>
        <w:tc>
          <w:tcPr>
            <w:tcW w:w="1980" w:type="dxa"/>
            <w:vAlign w:val="bottom"/>
          </w:tcPr>
          <w:p>
            <w:pPr>
              <w:ind w:left="980"/>
              <w:spacing w:after="0" w:line="190" w:lineRule="exact"/>
              <w:rPr>
                <w:sz w:val="20"/>
                <w:szCs w:val="20"/>
                <w:color w:val="auto"/>
              </w:rPr>
            </w:pPr>
            <w:r>
              <w:rPr>
                <w:rFonts w:ascii="Arial" w:cs="Arial" w:eastAsia="Arial" w:hAnsi="Arial"/>
                <w:sz w:val="18"/>
                <w:szCs w:val="18"/>
                <w:color w:val="auto"/>
              </w:rPr>
              <w:t>ITEM 12.</w:t>
            </w:r>
          </w:p>
        </w:tc>
        <w:tc>
          <w:tcPr>
            <w:tcW w:w="8480" w:type="dxa"/>
            <w:vAlign w:val="bottom"/>
            <w:gridSpan w:val="9"/>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8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STOCKHOLDER MATTERS</w:t>
              </w:r>
            </w:hyperlink>
          </w:p>
        </w:tc>
        <w:tc>
          <w:tcPr>
            <w:tcW w:w="4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80" w:type="dxa"/>
            <w:vAlign w:val="bottom"/>
          </w:tcPr>
          <w:p>
            <w:pPr>
              <w:ind w:left="980"/>
              <w:spacing w:after="0"/>
              <w:rPr>
                <w:sz w:val="20"/>
                <w:szCs w:val="20"/>
                <w:color w:val="auto"/>
              </w:rPr>
            </w:pPr>
            <w:r>
              <w:rPr>
                <w:rFonts w:ascii="Arial" w:cs="Arial" w:eastAsia="Arial" w:hAnsi="Arial"/>
                <w:sz w:val="18"/>
                <w:szCs w:val="18"/>
                <w:color w:val="auto"/>
              </w:rPr>
              <w:t>ITEM 13.</w:t>
            </w:r>
          </w:p>
        </w:tc>
        <w:tc>
          <w:tcPr>
            <w:tcW w:w="8480" w:type="dxa"/>
            <w:vAlign w:val="bottom"/>
            <w:gridSpan w:val="9"/>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CERTAIN RELATIONSHIPS AND RELATED TRANSACTIONS, AND DIRECTOR INDEPENDENCE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1980" w:type="dxa"/>
            <w:vAlign w:val="bottom"/>
          </w:tcPr>
          <w:p>
            <w:pPr>
              <w:ind w:left="980"/>
              <w:spacing w:after="0"/>
              <w:rPr>
                <w:sz w:val="20"/>
                <w:szCs w:val="20"/>
                <w:color w:val="auto"/>
              </w:rPr>
            </w:pPr>
            <w:r>
              <w:rPr>
                <w:rFonts w:ascii="Arial" w:cs="Arial" w:eastAsia="Arial" w:hAnsi="Arial"/>
                <w:sz w:val="18"/>
                <w:szCs w:val="18"/>
                <w:color w:val="auto"/>
              </w:rPr>
              <w:t>ITEM 14.</w:t>
            </w:r>
          </w:p>
        </w:tc>
        <w:tc>
          <w:tcPr>
            <w:tcW w:w="8480" w:type="dxa"/>
            <w:vAlign w:val="bottom"/>
            <w:gridSpan w:val="9"/>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PRINCIPAL ACCOUNTING FEES AND SERVICES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color w:val="auto"/>
              </w:rPr>
              <w:t>PART IV</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980"/>
              <w:spacing w:after="0"/>
              <w:rPr>
                <w:sz w:val="20"/>
                <w:szCs w:val="20"/>
                <w:color w:val="auto"/>
              </w:rPr>
            </w:pPr>
            <w:r>
              <w:rPr>
                <w:rFonts w:ascii="Arial" w:cs="Arial" w:eastAsia="Arial" w:hAnsi="Arial"/>
                <w:sz w:val="18"/>
                <w:szCs w:val="18"/>
                <w:color w:val="auto"/>
              </w:rPr>
              <w:t>ITEM 15.</w:t>
            </w:r>
          </w:p>
        </w:tc>
        <w:tc>
          <w:tcPr>
            <w:tcW w:w="8480" w:type="dxa"/>
            <w:vAlign w:val="bottom"/>
            <w:gridSpan w:val="9"/>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EXHIBITS, FINANCIAL STATEMENT SCHEDULES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980" w:type="dxa"/>
            <w:vAlign w:val="bottom"/>
          </w:tcPr>
          <w:p>
            <w:pPr>
              <w:ind w:left="980"/>
              <w:spacing w:after="0"/>
              <w:rPr>
                <w:sz w:val="20"/>
                <w:szCs w:val="20"/>
                <w:color w:val="auto"/>
              </w:rPr>
            </w:pPr>
            <w:r>
              <w:rPr>
                <w:rFonts w:ascii="Arial" w:cs="Arial" w:eastAsia="Arial" w:hAnsi="Arial"/>
                <w:sz w:val="18"/>
                <w:szCs w:val="18"/>
                <w:color w:val="auto"/>
              </w:rPr>
              <w:t>ITEM 16.</w:t>
            </w:r>
          </w:p>
        </w:tc>
        <w:tc>
          <w:tcPr>
            <w:tcW w:w="8480" w:type="dxa"/>
            <w:vAlign w:val="bottom"/>
            <w:gridSpan w:val="9"/>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FORM 10-K SUMMARY</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0"/>
        </w:trPr>
        <w:tc>
          <w:tcPr>
            <w:tcW w:w="10460" w:type="dxa"/>
            <w:vAlign w:val="bottom"/>
            <w:gridSpan w:val="10"/>
          </w:tcPr>
          <w:p>
            <w:pPr>
              <w:ind w:left="9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Index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10460" w:type="dxa"/>
            <w:vAlign w:val="bottom"/>
            <w:gridSpan w:val="10"/>
          </w:tcPr>
          <w:p>
            <w:pPr>
              <w:ind w:left="9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Financial Statements and Notes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30"/>
        </w:trPr>
        <w:tc>
          <w:tcPr>
            <w:tcW w:w="10460" w:type="dxa"/>
            <w:vAlign w:val="bottom"/>
            <w:gridSpan w:val="10"/>
          </w:tcPr>
          <w:p>
            <w:pPr>
              <w:ind w:left="980"/>
              <w:spacing w:after="0"/>
              <w:rPr>
                <w:rFonts w:ascii="Arial" w:cs="Arial" w:eastAsia="Arial" w:hAnsi="Arial"/>
                <w:sz w:val="18"/>
                <w:szCs w:val="18"/>
                <w:color w:val="0000EE"/>
              </w:rPr>
            </w:pPr>
            <w:hyperlink w:anchor="page139">
              <w:r>
                <w:rPr>
                  <w:rFonts w:ascii="Arial" w:cs="Arial" w:eastAsia="Arial" w:hAnsi="Arial"/>
                  <w:sz w:val="18"/>
                  <w:szCs w:val="18"/>
                  <w:u w:val="single" w:color="auto"/>
                  <w:color w:val="0000EE"/>
                </w:rPr>
                <w:t>Reports of Independent Registered Public Accounting Firm</w:t>
              </w:r>
            </w:hyperlink>
            <w:r>
              <w:rPr>
                <w:rFonts w:ascii="Arial" w:cs="Arial" w:eastAsia="Arial" w:hAnsi="Arial"/>
                <w:sz w:val="18"/>
                <w:szCs w:val="18"/>
                <w:color w:val="000000"/>
              </w:rPr>
              <w:t>s</w:t>
            </w:r>
          </w:p>
        </w:tc>
        <w:tc>
          <w:tcPr>
            <w:tcW w:w="480" w:type="dxa"/>
            <w:vAlign w:val="bottom"/>
          </w:tcPr>
          <w:p>
            <w:pPr>
              <w:jc w:val="right"/>
              <w:spacing w:after="0"/>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310"/>
        </w:trPr>
        <w:tc>
          <w:tcPr>
            <w:tcW w:w="1980" w:type="dxa"/>
            <w:vAlign w:val="bottom"/>
          </w:tcPr>
          <w:p>
            <w:pPr>
              <w:ind w:left="98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30"/>
        </w:trPr>
        <w:tc>
          <w:tcPr>
            <w:tcW w:w="1980" w:type="dxa"/>
            <w:vAlign w:val="bottom"/>
          </w:tcPr>
          <w:p>
            <w:pPr>
              <w:ind w:left="9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Names</w:t>
      </w:r>
    </w:p>
    <w:p>
      <w:pPr>
        <w:spacing w:after="0" w:line="117" w:lineRule="exact"/>
        <w:rPr>
          <w:sz w:val="20"/>
          <w:szCs w:val="20"/>
          <w:color w:val="auto"/>
        </w:rPr>
      </w:pPr>
    </w:p>
    <w:p>
      <w:pPr>
        <w:ind w:left="120" w:right="120" w:firstLine="991"/>
        <w:spacing w:after="0" w:line="266" w:lineRule="auto"/>
        <w:rPr>
          <w:sz w:val="20"/>
          <w:szCs w:val="20"/>
          <w:color w:val="auto"/>
        </w:rPr>
      </w:pPr>
      <w:r>
        <w:rPr>
          <w:rFonts w:ascii="Arial" w:cs="Arial" w:eastAsia="Arial" w:hAnsi="Arial"/>
          <w:sz w:val="18"/>
          <w:szCs w:val="18"/>
          <w:color w:val="auto"/>
        </w:rPr>
        <w:t>In this Annual Report on Form 10-K, unless the context otherwise requires, the terms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Corporation</w:t>
      </w:r>
      <w:r>
        <w:rPr>
          <w:rFonts w:ascii="Arial" w:cs="Arial" w:eastAsia="Arial" w:hAnsi="Arial"/>
          <w:sz w:val="18"/>
          <w:szCs w:val="18"/>
          <w:color w:val="auto"/>
        </w:rPr>
        <w:t>” or “</w:t>
      </w:r>
      <w:r>
        <w:rPr>
          <w:rFonts w:ascii="Arial" w:cs="Arial" w:eastAsia="Arial" w:hAnsi="Arial"/>
          <w:sz w:val="18"/>
          <w:szCs w:val="18"/>
          <w:b w:val="1"/>
          <w:bCs w:val="1"/>
          <w:color w:val="auto"/>
        </w:rPr>
        <w:t>GTI</w:t>
      </w:r>
      <w:r>
        <w:rPr>
          <w:rFonts w:ascii="Arial" w:cs="Arial" w:eastAsia="Arial" w:hAnsi="Arial"/>
          <w:sz w:val="18"/>
          <w:szCs w:val="18"/>
          <w:color w:val="auto"/>
        </w:rPr>
        <w:t>” refer to Green Thumb Industries Inc. together with its wholly-owned subsidiaries. References to “</w:t>
      </w:r>
      <w:r>
        <w:rPr>
          <w:rFonts w:ascii="Arial" w:cs="Arial" w:eastAsia="Arial" w:hAnsi="Arial"/>
          <w:sz w:val="18"/>
          <w:szCs w:val="18"/>
          <w:b w:val="1"/>
          <w:bCs w:val="1"/>
          <w:color w:val="auto"/>
        </w:rPr>
        <w:t>Bayswater</w:t>
      </w:r>
      <w:r>
        <w:rPr>
          <w:rFonts w:ascii="Arial" w:cs="Arial" w:eastAsia="Arial" w:hAnsi="Arial"/>
          <w:sz w:val="18"/>
          <w:szCs w:val="18"/>
          <w:color w:val="auto"/>
        </w:rPr>
        <w:t>” refer to the Company prior to completion of the Transaction (as hereinafter defined).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Green Thumb Industries Inc. is a reporting issuer in Canada listed for trading on the Canadian Securities Exchange (“</w:t>
      </w:r>
      <w:r>
        <w:rPr>
          <w:rFonts w:ascii="Arial" w:cs="Arial" w:eastAsia="Arial" w:hAnsi="Arial"/>
          <w:sz w:val="18"/>
          <w:szCs w:val="18"/>
          <w:b w:val="1"/>
          <w:bCs w:val="1"/>
          <w:color w:val="auto"/>
        </w:rPr>
        <w:t>CSE</w:t>
      </w:r>
      <w:r>
        <w:rPr>
          <w:rFonts w:ascii="Arial" w:cs="Arial" w:eastAsia="Arial" w:hAnsi="Arial"/>
          <w:sz w:val="18"/>
          <w:szCs w:val="18"/>
          <w:color w:val="auto"/>
        </w:rPr>
        <w:t>”) under the symbol “GTII.” The Company’s Subordinate Voting Shares (as hereinafter defined) are also traded in the United States on the OTCQX Best Market (the “</w:t>
      </w:r>
      <w:r>
        <w:rPr>
          <w:rFonts w:ascii="Arial" w:cs="Arial" w:eastAsia="Arial" w:hAnsi="Arial"/>
          <w:sz w:val="18"/>
          <w:szCs w:val="18"/>
          <w:b w:val="1"/>
          <w:bCs w:val="1"/>
          <w:color w:val="auto"/>
        </w:rPr>
        <w:t>OTCQX</w:t>
      </w:r>
      <w:r>
        <w:rPr>
          <w:rFonts w:ascii="Arial" w:cs="Arial" w:eastAsia="Arial" w:hAnsi="Arial"/>
          <w:sz w:val="18"/>
          <w:szCs w:val="18"/>
          <w:color w:val="auto"/>
        </w:rPr>
        <w:t>”) under the symbol “GTBIF.”</w:t>
      </w:r>
    </w:p>
    <w:p>
      <w:pPr>
        <w:spacing w:after="0" w:line="180" w:lineRule="exact"/>
        <w:rPr>
          <w:sz w:val="20"/>
          <w:szCs w:val="20"/>
          <w:color w:val="auto"/>
        </w:rPr>
      </w:pPr>
    </w:p>
    <w:p>
      <w:pPr>
        <w:ind w:left="120" w:right="60" w:firstLine="991"/>
        <w:spacing w:after="0" w:line="291" w:lineRule="auto"/>
        <w:rPr>
          <w:sz w:val="20"/>
          <w:szCs w:val="20"/>
          <w:color w:val="auto"/>
        </w:rPr>
      </w:pPr>
      <w:r>
        <w:rPr>
          <w:rFonts w:ascii="Arial" w:cs="Arial" w:eastAsia="Arial" w:hAnsi="Arial"/>
          <w:sz w:val="16"/>
          <w:szCs w:val="16"/>
          <w:color w:val="auto"/>
        </w:rPr>
        <w:t>Originally founded in 2014, GTI began operations in 2015 upon the award of a medical marijuana license for cultivation/processing and retail in Illinois. The Company has since expanded its operational footprint to 11 additional U.S. markets, including California, Colorado, Connecticut, Florida, Maryland, Massachusetts, Nevada, New Jersey, New York, Ohio and Pennsylvania. Currently, GTI owns, manufactures, and distributes a portfolio of cannabis consumer packaged goods brands (which we refer to as our consumer packaged goods business), including Beboe, Dogwalkers, Dr. Solomon’s, incredibles, Rythm and The Feel Collection, primarily to third-party licensed retail cannabis stores across the United States as well as to GTI-owned retail stores. The Company also owns and operates a rapidly growing national chain of retail cannabis stores called Rise and, in the Las Vegas, Nevada area, a chain of stores called Essence, which both sell GTI and third-party products (which we refer to as our retail business).</w:t>
      </w:r>
    </w:p>
    <w:p>
      <w:pPr>
        <w:spacing w:after="0" w:line="166"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Company, through its subsidiaries, owns interests in several state-licensed medical and/or adult use marijuana businesses in Connecticut, Florida, Illinois, Maryland, Massachusetts, Nevada, New Jersey, New York, Ohio and Pennsylvania. The Company also licenses its intellectual property and certain brands to licensees in California and Colorado. The following organizational chart describes the organizational structure of the Company as of December 31, 2019. See Exhibit 21.1 to this document for a list of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205740</wp:posOffset>
            </wp:positionV>
            <wp:extent cx="5023485" cy="377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2348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The registered office of GTI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The head office is located at 325 W. Huron Street, Suite 412, Chicago, Illinois 60654.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the Company</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the Company changed its name to “Enwest Ventures Corp.” Further, on February 25, 2003, the Company changed its name to “Bayswater Ventures Corp.” In August 2006, the Company changed its name from Bayswater Ventures Corp. to “Bayswater Uranium Corporation” following a Canadian amalgamation transaction with Pathfinder Resources Ltd.</w:t>
      </w:r>
    </w:p>
    <w:p>
      <w:pPr>
        <w:spacing w:after="0" w:line="18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On July 18, 2007, under a plan of arrangement, the Company amalgamated with Kilgore Minerals Ltd., a company incorporated under the </w:t>
      </w:r>
      <w:r>
        <w:rPr>
          <w:rFonts w:ascii="Arial" w:cs="Arial" w:eastAsia="Arial" w:hAnsi="Arial"/>
          <w:sz w:val="18"/>
          <w:szCs w:val="18"/>
          <w:i w:val="1"/>
          <w:iCs w:val="1"/>
          <w:color w:val="auto"/>
        </w:rPr>
        <w:t xml:space="preserve">Canada Business Corporations Act </w:t>
      </w:r>
      <w:r>
        <w:rPr>
          <w:rFonts w:ascii="Arial" w:cs="Arial" w:eastAsia="Arial" w:hAnsi="Arial"/>
          <w:sz w:val="18"/>
          <w:szCs w:val="18"/>
          <w:color w:val="auto"/>
        </w:rPr>
        <w:t>(the “</w:t>
      </w:r>
      <w:r>
        <w:rPr>
          <w:rFonts w:ascii="Arial" w:cs="Arial" w:eastAsia="Arial" w:hAnsi="Arial"/>
          <w:sz w:val="18"/>
          <w:szCs w:val="18"/>
          <w:b w:val="1"/>
          <w:bCs w:val="1"/>
          <w:color w:val="auto"/>
        </w:rPr>
        <w:t>CBCA</w:t>
      </w:r>
      <w:r>
        <w:rPr>
          <w:rFonts w:ascii="Arial" w:cs="Arial" w:eastAsia="Arial" w:hAnsi="Arial"/>
          <w:sz w:val="18"/>
          <w:szCs w:val="18"/>
          <w:color w:val="auto"/>
        </w:rPr>
        <w:t>”) on June 21, 2002 and continued into the Province of British Columbia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 on December 7, 2006. Following the plan of arrangement, Kilgore Minerals Ltd. changed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 to “Bayswater Uranium Corporation” on July 24, 2007.</w:t>
      </w:r>
    </w:p>
    <w:p>
      <w:pPr>
        <w:spacing w:after="0" w:line="187" w:lineRule="exact"/>
        <w:rPr>
          <w:sz w:val="20"/>
          <w:szCs w:val="20"/>
          <w:color w:val="auto"/>
        </w:rPr>
      </w:pPr>
    </w:p>
    <w:p>
      <w:pPr>
        <w:jc w:val="both"/>
        <w:ind w:left="120" w:right="20" w:firstLine="991"/>
        <w:spacing w:after="0" w:line="259" w:lineRule="auto"/>
        <w:rPr>
          <w:sz w:val="20"/>
          <w:szCs w:val="20"/>
          <w:color w:val="auto"/>
        </w:rPr>
      </w:pPr>
      <w:r>
        <w:rPr>
          <w:rFonts w:ascii="Arial" w:cs="Arial" w:eastAsia="Arial" w:hAnsi="Arial"/>
          <w:sz w:val="18"/>
          <w:szCs w:val="18"/>
          <w:color w:val="auto"/>
        </w:rPr>
        <w:t>Subsequent to the Company’s financial year ended February 28, 2018, the Company completed the Transaction (as hereinafter defined), filed Articles of Amendment in the Province of British Columbia to effect the name change from “Bayswater Uranium Corporation” to “Green Thumb Industries Inc.” and continued the business of VCP23, LLC (“</w:t>
      </w:r>
      <w:r>
        <w:rPr>
          <w:rFonts w:ascii="Arial" w:cs="Arial" w:eastAsia="Arial" w:hAnsi="Arial"/>
          <w:sz w:val="18"/>
          <w:szCs w:val="18"/>
          <w:b w:val="1"/>
          <w:bCs w:val="1"/>
          <w:color w:val="auto"/>
        </w:rPr>
        <w:t>VCP</w:t>
      </w:r>
      <w:r>
        <w:rPr>
          <w:rFonts w:ascii="Arial" w:cs="Arial" w:eastAsia="Arial" w:hAnsi="Arial"/>
          <w:sz w:val="18"/>
          <w:szCs w:val="18"/>
          <w:color w:val="auto"/>
        </w:rPr>
        <w:t>”). VCP was formed in the State of Delaware on November 27, 2017. The entity had no activity or financials in 2017.</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On January 1, 2018, the Corporation completed a restructuring to consolidate its organizational structure. RCP23, LLC, which had operations in Maryland, Massachusetts, Nevada and Pennsylvania, and GTI-Clinic Illinois Holdings, LLC, which had operations in Illinois, restructured and each entity contributed certain assets and real estate to VCP or its subsidiaries. Simultaneously, GTI-Clinic Illinois Holdings, LLC transferred its membership interests in the Illinois licensed medical businesses to GTI Core, LLC. Prior to the closing of the Transaction, VCP was acquired by GTI23, Inc. (“</w:t>
      </w:r>
      <w:r>
        <w:rPr>
          <w:rFonts w:ascii="Arial" w:cs="Arial" w:eastAsia="Arial" w:hAnsi="Arial"/>
          <w:sz w:val="16"/>
          <w:szCs w:val="16"/>
          <w:b w:val="1"/>
          <w:bCs w:val="1"/>
          <w:color w:val="auto"/>
        </w:rPr>
        <w:t>GTI23</w:t>
      </w:r>
      <w:r>
        <w:rPr>
          <w:rFonts w:ascii="Arial" w:cs="Arial" w:eastAsia="Arial" w:hAnsi="Arial"/>
          <w:sz w:val="16"/>
          <w:szCs w:val="16"/>
          <w:color w:val="auto"/>
        </w:rPr>
        <w:t>”) and the members of VCP exchanged their membership interests in VCP in exchange for shares of GTI23. The transaction did not include outside parties that were not previously members of RCP23, LLC or GTI clinic Illinois Holdings, LLC. The transaction did involve certain current directors and officers of the Corporation that, at the time, were members of RCP23, LLC and/or GTI Clinic Illinois Holdings, LLC.</w:t>
      </w:r>
    </w:p>
    <w:p>
      <w:pPr>
        <w:spacing w:after="0" w:line="162" w:lineRule="exact"/>
        <w:rPr>
          <w:sz w:val="20"/>
          <w:szCs w:val="20"/>
          <w:color w:val="auto"/>
        </w:rPr>
      </w:pPr>
    </w:p>
    <w:p>
      <w:pPr>
        <w:ind w:left="120" w:right="60" w:firstLine="991"/>
        <w:spacing w:after="0" w:line="298" w:lineRule="auto"/>
        <w:rPr>
          <w:sz w:val="20"/>
          <w:szCs w:val="20"/>
          <w:color w:val="auto"/>
        </w:rPr>
      </w:pPr>
      <w:r>
        <w:rPr>
          <w:rFonts w:ascii="Arial" w:cs="Arial" w:eastAsia="Arial" w:hAnsi="Arial"/>
          <w:sz w:val="16"/>
          <w:szCs w:val="16"/>
          <w:color w:val="auto"/>
        </w:rPr>
        <w:t>On June 12, 2018, the Company, 1165318 B.C. Ltd. a wholly-owned subsidiary of Bayswater (“</w:t>
      </w:r>
      <w:r>
        <w:rPr>
          <w:rFonts w:ascii="Arial" w:cs="Arial" w:eastAsia="Arial" w:hAnsi="Arial"/>
          <w:sz w:val="16"/>
          <w:szCs w:val="16"/>
          <w:b w:val="1"/>
          <w:bCs w:val="1"/>
          <w:color w:val="auto"/>
        </w:rPr>
        <w:t>Subco</w:t>
      </w:r>
      <w:r>
        <w:rPr>
          <w:rFonts w:ascii="Arial" w:cs="Arial" w:eastAsia="Arial" w:hAnsi="Arial"/>
          <w:sz w:val="16"/>
          <w:szCs w:val="16"/>
          <w:color w:val="auto"/>
        </w:rPr>
        <w:t>”), VCP, GTI23 and GTI Finco Inc. (“</w:t>
      </w:r>
      <w:r>
        <w:rPr>
          <w:rFonts w:ascii="Arial" w:cs="Arial" w:eastAsia="Arial" w:hAnsi="Arial"/>
          <w:sz w:val="16"/>
          <w:szCs w:val="16"/>
          <w:b w:val="1"/>
          <w:bCs w:val="1"/>
          <w:color w:val="auto"/>
        </w:rPr>
        <w:t>GTI Finco</w:t>
      </w:r>
      <w:r>
        <w:rPr>
          <w:rFonts w:ascii="Arial" w:cs="Arial" w:eastAsia="Arial" w:hAnsi="Arial"/>
          <w:sz w:val="16"/>
          <w:szCs w:val="16"/>
          <w:color w:val="auto"/>
        </w:rPr>
        <w:t>”) entered into a Business Combination Agreement whereby the Company, Subco, VCP, GTI23 and GTI Finco combined their respective businesses (the “</w:t>
      </w:r>
      <w:r>
        <w:rPr>
          <w:rFonts w:ascii="Arial" w:cs="Arial" w:eastAsia="Arial" w:hAnsi="Arial"/>
          <w:sz w:val="16"/>
          <w:szCs w:val="16"/>
          <w:b w:val="1"/>
          <w:bCs w:val="1"/>
          <w:color w:val="auto"/>
        </w:rPr>
        <w:t>Transaction</w:t>
      </w:r>
      <w:r>
        <w:rPr>
          <w:rFonts w:ascii="Arial" w:cs="Arial" w:eastAsia="Arial" w:hAnsi="Arial"/>
          <w:sz w:val="16"/>
          <w:szCs w:val="16"/>
          <w:color w:val="auto"/>
        </w:rPr>
        <w:t>”). The Transaction was structured as a series of transactions, including a Canadian three-cornered amalgamation transaction and a series of U.S. reorganization steps for the purpose of raising capital from third-party investors simultaneously with the closing of the Transaction. The Company (formerly Bayswater) had no active business operations leading up to completion of the Transaction.</w:t>
      </w:r>
    </w:p>
    <w:p>
      <w:pPr>
        <w:spacing w:after="0" w:line="158"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In connection with the Transaction, the Company disposed of its uranium-based assets, changed its name from “Bayswater Uranium Corporation” to “Green Thumb Industries Inc.” and consolidated its existing common shares on the basis of one Subordinate Voting Share for each 368 existing common shares of the Company.</w:t>
      </w:r>
    </w:p>
    <w:p>
      <w:pPr>
        <w:spacing w:after="0" w:line="184" w:lineRule="exact"/>
        <w:rPr>
          <w:sz w:val="20"/>
          <w:szCs w:val="20"/>
          <w:color w:val="auto"/>
        </w:rPr>
      </w:pPr>
    </w:p>
    <w:p>
      <w:pPr>
        <w:jc w:val="both"/>
        <w:ind w:left="120" w:right="100" w:firstLine="991"/>
        <w:spacing w:after="0" w:line="286" w:lineRule="auto"/>
        <w:rPr>
          <w:sz w:val="20"/>
          <w:szCs w:val="20"/>
          <w:color w:val="auto"/>
        </w:rPr>
      </w:pPr>
      <w:r>
        <w:rPr>
          <w:rFonts w:ascii="Arial" w:cs="Arial" w:eastAsia="Arial" w:hAnsi="Arial"/>
          <w:sz w:val="17"/>
          <w:szCs w:val="17"/>
          <w:color w:val="auto"/>
        </w:rPr>
        <w:t>At a meeting of the Company’s shareholders on June 11, 2018, the shareholders approved a resolution to restructure the Company’s share capital to, among other things, re-designate its existing common shares as subordinate voting shares (“</w:t>
      </w:r>
      <w:r>
        <w:rPr>
          <w:rFonts w:ascii="Arial" w:cs="Arial" w:eastAsia="Arial" w:hAnsi="Arial"/>
          <w:sz w:val="17"/>
          <w:szCs w:val="17"/>
          <w:b w:val="1"/>
          <w:bCs w:val="1"/>
          <w:color w:val="auto"/>
        </w:rPr>
        <w:t>Subordinate Voting Shares</w:t>
      </w:r>
      <w:r>
        <w:rPr>
          <w:rFonts w:ascii="Arial" w:cs="Arial" w:eastAsia="Arial" w:hAnsi="Arial"/>
          <w:sz w:val="17"/>
          <w:szCs w:val="17"/>
          <w:color w:val="auto"/>
        </w:rPr>
        <w:t>”) and create a class of multiple voting shares (“</w:t>
      </w:r>
      <w:r>
        <w:rPr>
          <w:rFonts w:ascii="Arial" w:cs="Arial" w:eastAsia="Arial" w:hAnsi="Arial"/>
          <w:sz w:val="17"/>
          <w:szCs w:val="17"/>
          <w:b w:val="1"/>
          <w:bCs w:val="1"/>
          <w:color w:val="auto"/>
        </w:rPr>
        <w:t>Multiple Voting Shares</w:t>
      </w:r>
      <w:r>
        <w:rPr>
          <w:rFonts w:ascii="Arial" w:cs="Arial" w:eastAsia="Arial" w:hAnsi="Arial"/>
          <w:sz w:val="17"/>
          <w:szCs w:val="17"/>
          <w:color w:val="auto"/>
        </w:rPr>
        <w:t>”) and super voting shares (“</w:t>
      </w:r>
      <w:r>
        <w:rPr>
          <w:rFonts w:ascii="Arial" w:cs="Arial" w:eastAsia="Arial" w:hAnsi="Arial"/>
          <w:sz w:val="17"/>
          <w:szCs w:val="17"/>
          <w:b w:val="1"/>
          <w:bCs w:val="1"/>
          <w:color w:val="auto"/>
        </w:rPr>
        <w:t>Super Voting Shares</w:t>
      </w:r>
      <w:r>
        <w:rPr>
          <w:rFonts w:ascii="Arial" w:cs="Arial" w:eastAsia="Arial" w:hAnsi="Arial"/>
          <w:sz w:val="17"/>
          <w:szCs w:val="17"/>
          <w:color w:val="auto"/>
        </w:rPr>
        <w:t>”).</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Company, Subco and GTI Finco were parties to a Canadian three-cornered amalgamation (the “</w:t>
      </w:r>
      <w:r>
        <w:rPr>
          <w:rFonts w:ascii="Arial" w:cs="Arial" w:eastAsia="Arial" w:hAnsi="Arial"/>
          <w:sz w:val="17"/>
          <w:szCs w:val="17"/>
          <w:b w:val="1"/>
          <w:bCs w:val="1"/>
          <w:color w:val="auto"/>
        </w:rPr>
        <w:t>Amalgamation</w:t>
      </w:r>
      <w:r>
        <w:rPr>
          <w:rFonts w:ascii="Arial" w:cs="Arial" w:eastAsia="Arial" w:hAnsi="Arial"/>
          <w:sz w:val="17"/>
          <w:szCs w:val="17"/>
          <w:color w:val="auto"/>
        </w:rPr>
        <w:t>”) whereby:</w:t>
      </w:r>
    </w:p>
    <w:p>
      <w:pPr>
        <w:spacing w:after="0" w:line="146" w:lineRule="exact"/>
        <w:rPr>
          <w:sz w:val="20"/>
          <w:szCs w:val="20"/>
          <w:color w:val="auto"/>
        </w:rPr>
      </w:pPr>
    </w:p>
    <w:p>
      <w:pPr>
        <w:ind w:left="2080" w:hanging="533"/>
        <w:spacing w:after="0"/>
        <w:tabs>
          <w:tab w:leader="none" w:pos="2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GTI Finco shareholders received Subordinate Voting Shares of the Company on a one-for-one basis;</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members of VCP contributed their membership interests to GTI23 for shares of GTI23; and</w:t>
      </w:r>
    </w:p>
    <w:p>
      <w:pPr>
        <w:spacing w:after="0" w:line="130" w:lineRule="exact"/>
        <w:rPr>
          <w:rFonts w:ascii="Arial" w:cs="Arial" w:eastAsia="Arial" w:hAnsi="Arial"/>
          <w:sz w:val="18"/>
          <w:szCs w:val="18"/>
          <w:color w:val="auto"/>
        </w:rPr>
      </w:pPr>
    </w:p>
    <w:p>
      <w:pPr>
        <w:ind w:left="2080" w:right="260" w:hanging="533"/>
        <w:spacing w:after="0" w:line="277" w:lineRule="auto"/>
        <w:tabs>
          <w:tab w:leader="none" w:pos="2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members of VCP then contributed their shares of GTI23 to GTI in exchange for Super Voting Shares and Multiple Voting Shares of GTI.</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120" w:right="240" w:firstLine="991"/>
        <w:spacing w:after="0" w:line="255" w:lineRule="auto"/>
        <w:rPr>
          <w:sz w:val="20"/>
          <w:szCs w:val="20"/>
          <w:color w:val="auto"/>
        </w:rPr>
      </w:pPr>
      <w:r>
        <w:rPr>
          <w:rFonts w:ascii="Arial" w:cs="Arial" w:eastAsia="Arial" w:hAnsi="Arial"/>
          <w:sz w:val="18"/>
          <w:szCs w:val="18"/>
          <w:color w:val="auto"/>
        </w:rPr>
        <w:t>Prior to the Transaction, GTI Finco (a special purpose corporation wholly-owned by VCP), completed a brokered and a non-brokered subscription receipt financing at a price of C$7.75 per subscription receipt for aggregate gross proceeds of approximately C$87 million (the “</w:t>
      </w:r>
      <w:r>
        <w:rPr>
          <w:rFonts w:ascii="Arial" w:cs="Arial" w:eastAsia="Arial" w:hAnsi="Arial"/>
          <w:sz w:val="18"/>
          <w:szCs w:val="18"/>
          <w:b w:val="1"/>
          <w:bCs w:val="1"/>
          <w:color w:val="auto"/>
        </w:rPr>
        <w:t>SR</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As part of closing the Transaction, the investors in the SR Offering received Subordinate Voting Shares of GTI on an economically</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Shares were issued and outstanding after completion of the Transaction, including Subordinate Voting Shares issued to former holders of GTI Finco subscription receipts issued in the SR Offering.</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Subordinate Voting Shares began trading on the CSE on June 13, 2018 under the symbol “GTII.”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On March 6, 2020, the Company closed on a sale and lease back transaction to sell its Oglesby, Illinois cultivation and processing facility to an unrelated third party, Innovative Industrial Properties (“</w:t>
      </w:r>
      <w:r>
        <w:rPr>
          <w:rFonts w:ascii="Arial" w:cs="Arial" w:eastAsia="Arial" w:hAnsi="Arial"/>
          <w:sz w:val="17"/>
          <w:szCs w:val="17"/>
          <w:b w:val="1"/>
          <w:bCs w:val="1"/>
          <w:color w:val="auto"/>
        </w:rPr>
        <w:t>IIP</w:t>
      </w:r>
      <w:r>
        <w:rPr>
          <w:rFonts w:ascii="Arial" w:cs="Arial" w:eastAsia="Arial" w:hAnsi="Arial"/>
          <w:sz w:val="17"/>
          <w:szCs w:val="17"/>
          <w:color w:val="auto"/>
        </w:rPr>
        <w:t>”). Under a long-term agreement, the Company will lease back the facility and continue to operate and manage it. The purchase price for the property was $9.0 million, excluding transaction costs. The Company is also expected to make certain improvements to the property that will significantly enhance production capacity, for which IIP has agreed to provide reimbursement of up to $41 million. Assuming full reimbursement for such improvements, IIPs total investment in the property will be $50 million.</w:t>
      </w:r>
    </w:p>
    <w:p>
      <w:pPr>
        <w:spacing w:after="0" w:line="176"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On January 31, 2020, the Corporation closed on a sale and leaseback transaction to sell its Toledo, Ohio processing facility to IIP. Under a long-term agreement, the Corporation will lease back the facility and continue to operate the space and manage it. The purchase price for the property was $2.9 million, excluding transaction costs. The Corporation is also expected to make certain improvements to the property that will significantly enhance production capacity, for which IIP has agreed to provide reimbursement of up to $4.3 million. Assuming full reimbursement for such improvements, IIP’s total investment in the property will be $7.2 million.</w:t>
      </w:r>
    </w:p>
    <w:p>
      <w:pPr>
        <w:spacing w:after="0" w:line="188"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 million, excluding transaction costs. The Company is also expected to make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76" w:lineRule="exact"/>
        <w:rPr>
          <w:sz w:val="20"/>
          <w:szCs w:val="20"/>
          <w:color w:val="auto"/>
        </w:rPr>
      </w:pPr>
    </w:p>
    <w:p>
      <w:pPr>
        <w:ind w:left="120" w:right="60" w:firstLine="991"/>
        <w:spacing w:after="0" w:line="284" w:lineRule="auto"/>
        <w:rPr>
          <w:sz w:val="20"/>
          <w:szCs w:val="20"/>
          <w:color w:val="auto"/>
        </w:rPr>
      </w:pPr>
      <w:r>
        <w:rPr>
          <w:rFonts w:ascii="Arial" w:cs="Arial" w:eastAsia="Arial" w:hAnsi="Arial"/>
          <w:sz w:val="16"/>
          <w:szCs w:val="16"/>
          <w:color w:val="auto"/>
        </w:rPr>
        <w:t>On May 22, 2019, the Company closed a $105 million senior secured non-brokered private placement financing through the issuance of three-year senior secured notes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The financing generated funds for general working capital purposes and various growth initiatives and to retire the Company’s existing debt, including the Bridge Notes (as hereinafter defined). The Notes have a maturity date of May 22, 2022 and will bear interest from the date of issue at 12% per annum, payable quarterly, with an option, at the discretion of the Company,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The Company entered into the First Amendment to the Note Purchase Agreement (the “</w:t>
      </w:r>
      <w:r>
        <w:rPr>
          <w:rFonts w:ascii="Arial" w:cs="Arial" w:eastAsia="Arial" w:hAnsi="Arial"/>
          <w:sz w:val="16"/>
          <w:szCs w:val="16"/>
          <w:b w:val="1"/>
          <w:bCs w:val="1"/>
          <w:color w:val="auto"/>
        </w:rPr>
        <w:t>Note</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Agreement Amendment</w:t>
      </w:r>
      <w:r>
        <w:rPr>
          <w:rFonts w:ascii="Arial" w:cs="Arial" w:eastAsia="Arial" w:hAnsi="Arial"/>
          <w:sz w:val="16"/>
          <w:szCs w:val="16"/>
          <w:color w:val="auto"/>
        </w:rPr>
        <w:t>”) on November 9, 2019. The Note Purchase Agreement Amendment reduced the borrowing capacity from</w:t>
      </w:r>
    </w:p>
    <w:p>
      <w:pPr>
        <w:spacing w:after="0" w:line="1"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$150 million to $130 million, which allows the Company to borrow an additional $24.5 million over a period of 12 months from the closing date of the Note Purchase Agreement. Upon the execution of the Note Purchase Agreement Amendment, the Purchasers of the Notes received warrants to purchase 365,076 Subordinate Voting Shares at an exercise price of C$12.04 per share, which can be exercised for 60 months from the date of issuance.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On April 12, 2019, the Company closed on a private placement of $12.5 million in six-month senior secured promissory notes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Bridge Notes</w:t>
      </w:r>
      <w:r>
        <w:rPr>
          <w:rFonts w:ascii="Arial" w:cs="Arial" w:eastAsia="Arial" w:hAnsi="Arial"/>
          <w:sz w:val="16"/>
          <w:szCs w:val="16"/>
          <w:color w:val="auto"/>
        </w:rPr>
        <w:t>”). The Bridge Notes accrue interest at an annual rate of 10.5% payable on a monthly basis, commencing June 1, 2019. The Bridge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included warrants to purchase 218,964 Subordinate Voting Shares at an exercise price of C$22.90 per share, which can be exercised for 42 months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closing date of the transaction. On May 22, 2019, the Company repaid the full principal amount and accrued interest for the Bridge Notes with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the private placement financing discussed above.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On October 17, 2018, the Company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the Company’s continued growth, including wholesale capacity, strategic initiatives and general corporate purposes.</w:t>
      </w:r>
    </w:p>
    <w:p>
      <w:pPr>
        <w:spacing w:after="0" w:line="15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On August 2, 2018, the Company closed a $61.7 million (C$80.3 million) bought deal financing, co-led by Canaccord Genuity Corp. and GMP Securities L.P., and including Beacon Securities Limited, Echelon Wealth Partners Inc. and Eight Capital Corp., to fund the Company’s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71"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On June 12, 2018, GTI Finco (a special purpose corporation wholly-owned by VCP),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84" w:lineRule="exact"/>
        <w:rPr>
          <w:sz w:val="20"/>
          <w:szCs w:val="20"/>
          <w:color w:val="auto"/>
        </w:rPr>
      </w:pPr>
    </w:p>
    <w:p>
      <w:pPr>
        <w:ind w:left="120" w:right="80" w:firstLine="991"/>
        <w:spacing w:after="0" w:line="266" w:lineRule="auto"/>
        <w:rPr>
          <w:sz w:val="20"/>
          <w:szCs w:val="20"/>
          <w:color w:val="auto"/>
        </w:rPr>
      </w:pPr>
      <w:r>
        <w:rPr>
          <w:rFonts w:ascii="Arial" w:cs="Arial" w:eastAsia="Arial" w:hAnsi="Arial"/>
          <w:sz w:val="18"/>
          <w:szCs w:val="18"/>
          <w:color w:val="auto"/>
        </w:rPr>
        <w:t>On April 30, 2018, the Company closed a private placement offering to sell $45 million in a convertible promissory note (“</w:t>
      </w:r>
      <w:r>
        <w:rPr>
          <w:rFonts w:ascii="Arial" w:cs="Arial" w:eastAsia="Arial" w:hAnsi="Arial"/>
          <w:sz w:val="18"/>
          <w:szCs w:val="18"/>
          <w:b w:val="1"/>
          <w:bCs w:val="1"/>
          <w:color w:val="auto"/>
        </w:rPr>
        <w:t>Convertible</w:t>
      </w:r>
      <w:r>
        <w:rPr>
          <w:rFonts w:ascii="Arial" w:cs="Arial" w:eastAsia="Arial" w:hAnsi="Arial"/>
          <w:sz w:val="18"/>
          <w:szCs w:val="18"/>
          <w:color w:val="auto"/>
        </w:rPr>
        <w:t xml:space="preserve"> </w:t>
      </w:r>
      <w:r>
        <w:rPr>
          <w:rFonts w:ascii="Arial" w:cs="Arial" w:eastAsia="Arial" w:hAnsi="Arial"/>
          <w:sz w:val="18"/>
          <w:szCs w:val="18"/>
          <w:b w:val="1"/>
          <w:bCs w:val="1"/>
          <w:color w:val="auto"/>
        </w:rPr>
        <w:t>Promissory Note</w:t>
      </w:r>
      <w:r>
        <w:rPr>
          <w:rFonts w:ascii="Arial" w:cs="Arial" w:eastAsia="Arial" w:hAnsi="Arial"/>
          <w:sz w:val="18"/>
          <w:szCs w:val="18"/>
          <w:color w:val="auto"/>
        </w:rPr>
        <w:t>”) to VCP Convert, LLC, a Delaware limited liability company owned by accredited investors. The Convertible Promissory Note was</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into common units of VCP immediately prior to the Transaction.</w:t>
      </w:r>
    </w:p>
    <w:p>
      <w:pPr>
        <w:spacing w:after="0" w:line="176" w:lineRule="exact"/>
        <w:rPr>
          <w:sz w:val="20"/>
          <w:szCs w:val="20"/>
          <w:color w:val="auto"/>
        </w:rPr>
      </w:pPr>
    </w:p>
    <w:p>
      <w:pPr>
        <w:ind w:left="120" w:right="400" w:firstLine="991"/>
        <w:spacing w:after="0" w:line="282"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w:t>
      </w:r>
      <w:r>
        <w:rPr>
          <w:rFonts w:ascii="Arial" w:cs="Arial" w:eastAsia="Arial" w:hAnsi="Arial"/>
          <w:sz w:val="18"/>
          <w:szCs w:val="18"/>
          <w:b w:val="1"/>
          <w:bCs w:val="1"/>
          <w:color w:val="auto"/>
        </w:rPr>
        <w:t>RCP 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Member Units</w:t>
      </w:r>
      <w:r>
        <w:rPr>
          <w:rFonts w:ascii="Arial" w:cs="Arial" w:eastAsia="Arial" w:hAnsi="Arial"/>
          <w:sz w:val="18"/>
          <w:szCs w:val="18"/>
          <w:color w:val="auto"/>
        </w:rPr>
        <w:t>”) in RCP23, LLC to fund growth opportunities and working capital of the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Recent Developments</w:t>
      </w:r>
    </w:p>
    <w:p>
      <w:pPr>
        <w:spacing w:after="0" w:line="12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(or medical patients only in Massachusetts). The uncertain nature of the spread of COVID-19 globally may impact our business operations for reasons including the potential quarantine of our employees, customers, and third-party service providers. At this time, the Company is unable to estimate the impact of this event on its operations.</w:t>
      </w:r>
    </w:p>
    <w:p>
      <w:pPr>
        <w:spacing w:after="0" w:line="173" w:lineRule="exact"/>
        <w:rPr>
          <w:sz w:val="20"/>
          <w:szCs w:val="20"/>
          <w:color w:val="auto"/>
        </w:rPr>
      </w:pPr>
    </w:p>
    <w:p>
      <w:pPr>
        <w:ind w:left="120" w:right="240" w:firstLine="991"/>
        <w:spacing w:after="0" w:line="266" w:lineRule="auto"/>
        <w:rPr>
          <w:sz w:val="20"/>
          <w:szCs w:val="20"/>
          <w:color w:val="auto"/>
        </w:rPr>
      </w:pPr>
      <w:r>
        <w:rPr>
          <w:rFonts w:ascii="Arial" w:cs="Arial" w:eastAsia="Arial" w:hAnsi="Arial"/>
          <w:sz w:val="18"/>
          <w:szCs w:val="18"/>
          <w:color w:val="auto"/>
        </w:rPr>
        <w:t>On August 23, 2019, the Company closed on its acquisition of Fiorello Pharmaceuticals, Inc. (“</w:t>
      </w:r>
      <w:r>
        <w:rPr>
          <w:rFonts w:ascii="Arial" w:cs="Arial" w:eastAsia="Arial" w:hAnsi="Arial"/>
          <w:sz w:val="18"/>
          <w:szCs w:val="18"/>
          <w:b w:val="1"/>
          <w:bCs w:val="1"/>
          <w:color w:val="auto"/>
        </w:rPr>
        <w:t>Fiorello</w:t>
      </w:r>
      <w:r>
        <w:rPr>
          <w:rFonts w:ascii="Arial" w:cs="Arial" w:eastAsia="Arial" w:hAnsi="Arial"/>
          <w:sz w:val="18"/>
          <w:szCs w:val="18"/>
          <w:color w:val="auto"/>
        </w:rPr>
        <w:t>”). Fiorello is one of only ten companies in New York licensed to grow, process and dispense medical cannabis. Fiorello has one cultivation/processing facility and four dispensing locations, with three of such dispensing locations currently operating.</w:t>
      </w:r>
    </w:p>
    <w:p>
      <w:pPr>
        <w:spacing w:after="0" w:line="176" w:lineRule="exact"/>
        <w:rPr>
          <w:sz w:val="20"/>
          <w:szCs w:val="20"/>
          <w:color w:val="auto"/>
        </w:rPr>
      </w:pPr>
    </w:p>
    <w:p>
      <w:pPr>
        <w:ind w:left="120" w:right="120" w:firstLine="991"/>
        <w:spacing w:after="0" w:line="258" w:lineRule="auto"/>
        <w:rPr>
          <w:sz w:val="20"/>
          <w:szCs w:val="20"/>
          <w:color w:val="auto"/>
        </w:rPr>
      </w:pPr>
      <w:r>
        <w:rPr>
          <w:rFonts w:ascii="Arial" w:cs="Arial" w:eastAsia="Arial" w:hAnsi="Arial"/>
          <w:sz w:val="18"/>
          <w:szCs w:val="18"/>
          <w:color w:val="auto"/>
        </w:rPr>
        <w:t>On June 5, 2019, the Company closed on its acquisition of Integral Associates, LLC (“</w:t>
      </w:r>
      <w:r>
        <w:rPr>
          <w:rFonts w:ascii="Arial" w:cs="Arial" w:eastAsia="Arial" w:hAnsi="Arial"/>
          <w:sz w:val="18"/>
          <w:szCs w:val="18"/>
          <w:b w:val="1"/>
          <w:bCs w:val="1"/>
          <w:color w:val="auto"/>
        </w:rPr>
        <w:t>Integral Nevada</w:t>
      </w:r>
      <w:r>
        <w:rPr>
          <w:rFonts w:ascii="Arial" w:cs="Arial" w:eastAsia="Arial" w:hAnsi="Arial"/>
          <w:sz w:val="18"/>
          <w:szCs w:val="18"/>
          <w:color w:val="auto"/>
        </w:rPr>
        <w:t>”), a leading cannabis operator in Nevada, and Integral Associates CA, LLC (“</w:t>
      </w:r>
      <w:r>
        <w:rPr>
          <w:rFonts w:ascii="Arial" w:cs="Arial" w:eastAsia="Arial" w:hAnsi="Arial"/>
          <w:sz w:val="18"/>
          <w:szCs w:val="18"/>
          <w:b w:val="1"/>
          <w:bCs w:val="1"/>
          <w:color w:val="auto"/>
        </w:rPr>
        <w:t>Integral California</w:t>
      </w:r>
      <w:r>
        <w:rPr>
          <w:rFonts w:ascii="Arial" w:cs="Arial" w:eastAsia="Arial" w:hAnsi="Arial"/>
          <w:sz w:val="18"/>
          <w:szCs w:val="18"/>
          <w:color w:val="auto"/>
        </w:rPr>
        <w:t>,” together with Integral Nevada, “</w:t>
      </w:r>
      <w:r>
        <w:rPr>
          <w:rFonts w:ascii="Arial" w:cs="Arial" w:eastAsia="Arial" w:hAnsi="Arial"/>
          <w:sz w:val="18"/>
          <w:szCs w:val="18"/>
          <w:b w:val="1"/>
          <w:bCs w:val="1"/>
          <w:color w:val="auto"/>
        </w:rPr>
        <w:t>Integral Associates</w:t>
      </w:r>
      <w:r>
        <w:rPr>
          <w:rFonts w:ascii="Arial" w:cs="Arial" w:eastAsia="Arial" w:hAnsi="Arial"/>
          <w:sz w:val="18"/>
          <w:szCs w:val="18"/>
          <w:color w:val="auto"/>
        </w:rPr>
        <w:t>”). In addition to the initial consideration paid at closing, the membership interest purchase agreement (the “</w:t>
      </w:r>
      <w:r>
        <w:rPr>
          <w:rFonts w:ascii="Arial" w:cs="Arial" w:eastAsia="Arial" w:hAnsi="Arial"/>
          <w:sz w:val="18"/>
          <w:szCs w:val="18"/>
          <w:b w:val="1"/>
          <w:bCs w:val="1"/>
          <w:color w:val="auto"/>
        </w:rPr>
        <w:t>Membership Interest Purchase Agreement</w:t>
      </w:r>
      <w:r>
        <w:rPr>
          <w:rFonts w:ascii="Arial" w:cs="Arial" w:eastAsia="Arial" w:hAnsi="Arial"/>
          <w:sz w:val="18"/>
          <w:szCs w:val="18"/>
          <w:color w:val="auto"/>
        </w:rPr>
        <w:t>”) provides for the payment by the Company of additional consideration upon the achievement of certain performance targets (including a potential EBITDA earn-out payment) and regulatory license awards. Milestone payments for each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license won are 50% payable at the initial license award, and the remaining 50% will be paid once the final licenses are issued.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acquisition includes: (i) Integral Associates’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7"/>
          <w:szCs w:val="17"/>
          <w:i w:val="1"/>
          <w:iCs w:val="1"/>
          <w:color w:val="auto"/>
        </w:rPr>
        <w:t>High Times</w:t>
      </w:r>
      <w:r>
        <w:rPr>
          <w:rFonts w:ascii="Arial" w:cs="Arial" w:eastAsia="Arial" w:hAnsi="Arial"/>
          <w:sz w:val="17"/>
          <w:szCs w:val="17"/>
          <w:color w:val="auto"/>
        </w:rPr>
        <w:t xml:space="preserve"> Cannabis Cup award winner.</w:t>
      </w:r>
    </w:p>
    <w:p>
      <w:pPr>
        <w:spacing w:after="0" w:line="178"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On February 21, 2019, the Company closed on its acquisition of For Success Holding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72" w:lineRule="exact"/>
        <w:rPr>
          <w:sz w:val="20"/>
          <w:szCs w:val="20"/>
          <w:color w:val="auto"/>
        </w:rPr>
      </w:pPr>
    </w:p>
    <w:p>
      <w:pPr>
        <w:ind w:left="120" w:right="300" w:firstLine="440"/>
        <w:spacing w:after="0" w:line="256" w:lineRule="auto"/>
        <w:rPr>
          <w:sz w:val="20"/>
          <w:szCs w:val="20"/>
          <w:color w:val="auto"/>
        </w:rPr>
      </w:pPr>
      <w:r>
        <w:rPr>
          <w:rFonts w:ascii="Arial" w:cs="Arial" w:eastAsia="Arial" w:hAnsi="Arial"/>
          <w:sz w:val="18"/>
          <w:szCs w:val="18"/>
          <w:color w:val="auto"/>
        </w:rPr>
        <w:t>On February 12, 2019, the Company closed on its acquisition of Connecticut-based Advanced Grow Labs LLC (“</w:t>
      </w:r>
      <w:r>
        <w:rPr>
          <w:rFonts w:ascii="Arial" w:cs="Arial" w:eastAsia="Arial" w:hAnsi="Arial"/>
          <w:sz w:val="18"/>
          <w:szCs w:val="18"/>
          <w:b w:val="1"/>
          <w:bCs w:val="1"/>
          <w:color w:val="auto"/>
        </w:rPr>
        <w:t>AGL</w:t>
      </w:r>
      <w:r>
        <w:rPr>
          <w:rFonts w:ascii="Arial" w:cs="Arial" w:eastAsia="Arial" w:hAnsi="Arial"/>
          <w:sz w:val="18"/>
          <w:szCs w:val="18"/>
          <w:color w:val="auto"/>
        </w:rPr>
        <w:t>”). AGL is one of four companies in Connecticut licensed to grow and process cannabis. AGL operates a 41,000 square foot manufacturing facility in West Haven, Connecticut, with expansion potential. AGL also has an ownership stake in a dispensary that is located in Westport, Connecticut. AGL produces and distributes a wide range of cannabis products to the operating stores in the state. The transaction consideration included $15.5 million in cash and approximately 7.3 million Subordinate Voting Shares. The purchase agreement also includes additional consideration based on future performance targets.</w:t>
      </w:r>
    </w:p>
    <w:p>
      <w:pPr>
        <w:spacing w:after="0" w:line="19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November 8, 2018, the Company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Overview of the Company</w:t>
      </w:r>
    </w:p>
    <w:p>
      <w:pPr>
        <w:spacing w:after="0" w:line="11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March 31, 2020, GTI has operations across 12 U.S. markets, employs approximately 1,700 people and serves hundreds of thousands of patients and customers annually.</w:t>
      </w:r>
    </w:p>
    <w:p>
      <w:pPr>
        <w:spacing w:after="0" w:line="184"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GTI’s core business is manufacturing, distributing and marketing a portfolio of owned cannabis consumer packaged goods brands (which we refer to as our consumer packaged goods business), including Beboe, Dogwalkers, Dr. Solomon’s, incredibles, Rythm and The Feel Collection, primarily to third-party licensed retail cannabis stores across the United States as well as to GTI-owned retail stores.</w:t>
      </w:r>
    </w:p>
    <w:p>
      <w:pPr>
        <w:spacing w:after="0" w:line="165"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The Company’s consumer packaged goods portfolio is produced in 13 owned and operated manufacturing facilities and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product categories, including flower, pre-rolls, concentrates, vape, capsules, tinctures, edibles, topicals and other cannabis-related products.</w:t>
      </w:r>
    </w:p>
    <w:p>
      <w:pPr>
        <w:spacing w:after="0" w:line="184"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(We refer to the operation of these retail stores as our retail business.) The income from our retail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stores is primarily from the sale of cannabis-related products, which includes the sale of GTI produced products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December 31, 2019, the Company had 39 open and operating retail locations, with state licensed permission to open a total of 96 stores. Our new store opening plans will remain fluid depending on market conditions, obtaining local licensing, construction and other permissions and subject to our capital allocation plans and the evolving situation with respect to the Coronavirus.</w:t>
      </w: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120" w:right="60" w:firstLine="991"/>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licensed retail customers as well as the sale of finished products to consumers in its retail stores.</w:t>
      </w:r>
    </w:p>
    <w:p>
      <w:pPr>
        <w:spacing w:after="0" w:line="124"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The percentage of total revenue contributed by operations of consumer package goods was, 36%, 33% and 40% for the years ended December 31, 2019, 2018 and 2017 respectively. The percentage of total revenue contributed by retail operations was, 64%, 67% and 60% for the years ended December 31, 2019, 2018 and 2017, respectively. See Item 7—“Management Discussion and Analysis” for details on key financial highlights.</w:t>
      </w:r>
    </w:p>
    <w:p>
      <w:pPr>
        <w:spacing w:after="0" w:line="149"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As of the year ended December 31, 2019, GTI has operating revenue in 12 markets (California, Colorado, Connecticut, Florida, Illinois, Maryland, Massachusetts, Nevada, New York, New Jersey, Ohio and Pennsylvania).</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GTI operates in 12 U.S. states: California, Colorado, Connecticut, Florida, Illinois, Maryland, Massachusetts, Nevada, New Jersey, New York, Ohio and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134620</wp:posOffset>
            </wp:positionV>
            <wp:extent cx="3060065" cy="2374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00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3"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The Company’s branded products portfolio includes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product categories, including flower, pre-rolls, concentrates, vape, capsules, tinctures, edibles, topicals and other cannabis-related products.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GTI engages in research and development activities focused on developing new extracted or infused cannabis consumer packaged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70"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t>
      </w:r>
      <w:r>
        <w:rPr>
          <w:rFonts w:ascii="Arial" w:cs="Arial" w:eastAsia="Arial" w:hAnsi="Arial"/>
          <w:sz w:val="18"/>
          <w:szCs w:val="18"/>
          <w:b w:val="1"/>
          <w:bCs w:val="1"/>
          <w:color w:val="auto"/>
        </w:rPr>
        <w:t>CBD</w:t>
      </w:r>
      <w:r>
        <w:rPr>
          <w:rFonts w:ascii="Arial" w:cs="Arial" w:eastAsia="Arial" w:hAnsi="Arial"/>
          <w:sz w:val="18"/>
          <w:szCs w:val="18"/>
          <w:color w:val="auto"/>
        </w:rPr>
        <w:t>”) business lines, none of which account for more than 1% of finished goods production.</w:t>
      </w:r>
    </w:p>
    <w:p>
      <w:pPr>
        <w:spacing w:after="0" w:line="184"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GTI is not dependent upon a single customer, or a few customers, the loss of any one or more of which would have a material adverse effect on the business. No customer accounted for 10% or more of our consolidated net revenue during fiscal 2019, 2018 or 2017.</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and Essence stores, totaling thousands of SKUs in managed inventory, comprehensive of product categories including flower, concentrates, topicals (bath and beauty products) and edibles (confection, beverages, snacks).</w:t>
      </w:r>
    </w:p>
    <w:p>
      <w:pPr>
        <w:spacing w:after="0" w:line="184"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We leverage our owned retail channel, Rise, Essence and our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120" w:right="240" w:firstLine="991"/>
        <w:spacing w:after="0" w:line="311" w:lineRule="auto"/>
        <w:rPr>
          <w:sz w:val="20"/>
          <w:szCs w:val="20"/>
          <w:color w:val="auto"/>
        </w:rPr>
      </w:pPr>
      <w:r>
        <w:rPr>
          <w:rFonts w:ascii="Arial" w:cs="Arial" w:eastAsia="Arial" w:hAnsi="Arial"/>
          <w:sz w:val="16"/>
          <w:szCs w:val="16"/>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the Company’s vendor requirements for quality assurance and reliability.</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Products sold at Rise and Essence are delivered directly to our stores primarily by our manufacturing and distribution vendor partners.</w:t>
      </w:r>
    </w:p>
    <w:p>
      <w:pPr>
        <w:spacing w:after="0" w:line="248"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 to consumer delivery capabilities as part of our commitment to providing a consistent retail brand experience no matter where the consumer might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Intellectual Property – Patents and Trademarks</w:t>
      </w:r>
    </w:p>
    <w:p>
      <w:pPr>
        <w:spacing w:after="0" w:line="11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(the “</w:t>
      </w:r>
      <w:r>
        <w:rPr>
          <w:rFonts w:ascii="Arial" w:cs="Arial" w:eastAsia="Arial" w:hAnsi="Arial"/>
          <w:sz w:val="16"/>
          <w:szCs w:val="16"/>
          <w:b w:val="1"/>
          <w:bCs w:val="1"/>
          <w:color w:val="auto"/>
        </w:rPr>
        <w:t>CSA</w:t>
      </w:r>
      <w:r>
        <w:rPr>
          <w:rFonts w:ascii="Arial" w:cs="Arial" w:eastAsia="Arial" w:hAnsi="Arial"/>
          <w:sz w:val="16"/>
          <w:szCs w:val="16"/>
          <w:color w:val="auto"/>
        </w:rPr>
        <w: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66" w:lineRule="exact"/>
        <w:rPr>
          <w:sz w:val="20"/>
          <w:szCs w:val="20"/>
          <w:color w:val="auto"/>
        </w:rPr>
      </w:pPr>
    </w:p>
    <w:p>
      <w:pPr>
        <w:jc w:val="both"/>
        <w:ind w:left="120" w:right="40" w:firstLine="991"/>
        <w:spacing w:after="0" w:line="311" w:lineRule="auto"/>
        <w:rPr>
          <w:sz w:val="20"/>
          <w:szCs w:val="20"/>
          <w:color w:val="auto"/>
        </w:rPr>
      </w:pPr>
      <w:r>
        <w:rPr>
          <w:rFonts w:ascii="Arial" w:cs="Arial" w:eastAsia="Arial" w:hAnsi="Arial"/>
          <w:sz w:val="16"/>
          <w:szCs w:val="16"/>
          <w:color w:val="auto"/>
        </w:rPr>
        <w:t>From the time the Company became licensed to cultivate marijuana, we have developed proprietary cultivation techniques. The Company has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49"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The Company relies on non-disclosure/confidentiality agreements to protect its intellectual property rights. To the extent the Company describes or discloses its proprietary cultivation or extraction techniques in its applications for cultivation or processing licenses, the Company redacts or requests redaction of such information prior to public disclosure.</w:t>
      </w:r>
    </w:p>
    <w:p>
      <w:pPr>
        <w:spacing w:after="0" w:line="184"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GTI has sought U.S. patent protection for certain of its Dr. Solomon’s products, namely a utility patent for compositions and methods for treating skin and neuropathic conditions and disorders. Where commercially reasonable, we will seek further U.S. patent protection on other eligible products and services. The Company owns several website domains, including www.gtigrows.com, numerous social media accounts across all major platforms and various phone and web application platforms.</w:t>
      </w:r>
    </w:p>
    <w:p>
      <w:pPr>
        <w:spacing w:after="0" w:line="187"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GTI has successfully registered over 20 trademarks across three countries and nine states for brands offered within those jurisdictions and has additional trademark applications pending. GTI is in the process of registering several brands for state trademark protection at the Canadian federal level, U.S. federal level and/or in the states in which the brands are offered, including Beboe, Dogwalkers, Dr. Solomon’s, incredibles, Rythm and The Feel Collection. GTI anticipates feedback on outstanding submitted applications on a rolling basis. As such, GTI will continue to rely on common law protection for these brands during the trademark registration process. Moreover, GTI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77"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For incredibles and Beboe branded cannabis products, the Company has entered into licensing and distribution contracts with third parties that hold licenses to engage in the sale of cannabis in the states of California and Colorado, where the Company does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the Company.</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We utilize joint ventures when necessary to comply with state regulatory requirements in certain states. Partnering with one or more non-affiliated third parties provides the Company with the opportunity to mitigate certain operational and financial risks while ensuring continued compliance with the applicable regulatory guidelines. Currently, the Company has joint ventures for a vertically integrated license in Ohio and for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operation of (i) a medical marijuana dispensary in Effingham, Illinois (Illinois Disp, LLC) of which the Company holds a 50% interest, (ii) a medical marijuana dispensary in Westport, Connecticut (Bluepoint Wellness of Westport, LLC) of which the Company holds a 46% interest, and (iii) a registered marijuana dispensary and a cultivation and processing facility in Chicopee, Massachusetts (Cal Funding, LLC) of which the Company holds less than a 10% interest. See additional discussion of the Company’s investments in Note 13—Investment in Associates, Note 19—Variable Interest Entities and Note 14—Share Capital.</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6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For additional details on liquidity and Capital Resources, see Item 7—“Management’s Discussion and Analysis of Financial Condition and Results of Operations.”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Number of Employees</w:t>
      </w:r>
    </w:p>
    <w:p>
      <w:pPr>
        <w:spacing w:after="0" w:line="117"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As of March 31, 2020 GTI employs approximately 1,700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178"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Company began executing furloughs mainly in the Nevada market where its Retail operations have been impacted by COVID-19. The total furloughed workforce represents less than 8% of the Company’s total employee base with approximately 74% of those impacted being part time employees. The Company continues to closely monitor and assess each and every market accordingly.</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Conditions and the Company’s Position in the Industry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The markets in which the Company’s products are distributed and its retail stores are operated are highly competitive markets. The Company’s operations exist in markets with relatively high barriers to entry given the licensed nature of the cannabis industry. The Company competes directly with cannabis producers and retailers within single-state operating markets, as well as those that operate across several U.S. markets. More broadly, GTI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78"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Company faces intense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The vast majority of both manufacturing and retail competitors in our markets consist of localized businesses (i.e. doing business in only a single state market).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There are a few multistate operators with whom the Company competes directly in several of the Company’s operating markets. Aside from this direct competition, out-of-state operators that are capitalized well enough to enter those markets through acquisitions are also part of the competitive landscape. Similarly, as the Company executes its national U.S. growth strategy, operators in our future state markets will inevitably become direct competitors.</w:t>
      </w:r>
    </w:p>
    <w:p>
      <w:pPr>
        <w:spacing w:after="0" w:line="18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Because of the early stage of the industry in which the Company operates, the Company faces additional competition from new entrants. If the number of consumers of medical and adult use cannabis in the states in which the Company operates its business increases, the demand for products will increase and the Company expects that competition will become more intense, as current and future competitors begin to offer an increasing number of diversified products.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1A—“Risk Factors” with respect to competition.</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All of the medical-only markets that the Company does business in (Illinois until January 1, 2020, Connecticut, Florida, Maryland, New Jersey, New York, Ohio and Pennsylvania) have written regulations that impose limitations on the number of cannabis business licenses that can be awarded. In each of these markets, the Company has a proven track record of: (i) entering the market through state-granted awards based on the merit of its application and business plans; and/or (ii) expanding market reach through accretive mergers, acquisitions and partnership ventures.</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The adult use markets in which the Company operates (Illinois as of January 1, 2020, California, Colorado, Massachusetts and Nevada) have fewer barriers to entry and more closely reflect free market dynamics typically seen in mature retail and manufacturing industries. The growth of these markets poses a risk of increased competition. However, given the Company’s additional growth opportunities as an original operator in these states, which have historically been limited supply markets, management views the Company’s market share as less at risk than operators without a current operating footprint.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the Company is currently directly involved through its subsidiaries. The Company’s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1" w:lineRule="exact"/>
        <w:rPr>
          <w:sz w:val="20"/>
          <w:szCs w:val="20"/>
          <w:color w:val="auto"/>
        </w:rPr>
      </w:pPr>
    </w:p>
    <w:p>
      <w:pPr>
        <w:ind w:left="120" w:right="140" w:firstLine="991"/>
        <w:spacing w:after="0" w:line="261" w:lineRule="auto"/>
        <w:rPr>
          <w:sz w:val="20"/>
          <w:szCs w:val="20"/>
          <w:color w:val="auto"/>
        </w:rPr>
      </w:pPr>
      <w:r>
        <w:rPr>
          <w:rFonts w:ascii="Arial" w:cs="Arial" w:eastAsia="Arial" w:hAnsi="Arial"/>
          <w:sz w:val="18"/>
          <w:szCs w:val="18"/>
          <w:color w:val="auto"/>
        </w:rPr>
        <w:t>The U.S. federal government regulates drugs through the Controlled Substances Act (21 U.S.C. § 811) (the “</w:t>
      </w:r>
      <w:r>
        <w:rPr>
          <w:rFonts w:ascii="Arial" w:cs="Arial" w:eastAsia="Arial" w:hAnsi="Arial"/>
          <w:sz w:val="18"/>
          <w:szCs w:val="18"/>
          <w:b w:val="1"/>
          <w:bCs w:val="1"/>
          <w:color w:val="auto"/>
        </w:rPr>
        <w:t>CSA</w:t>
      </w:r>
      <w:r>
        <w:rPr>
          <w:rFonts w:ascii="Arial" w:cs="Arial" w:eastAsia="Arial" w:hAnsi="Arial"/>
          <w:sz w:val="18"/>
          <w:szCs w:val="18"/>
          <w:color w:val="auto"/>
        </w:rPr>
        <w:t>”),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for abuse. The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defines Schedule I drugs, substances or chemicals as “drugs with no currently accepted medical use and a high potential for abuse.” However, the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has approved Epidiolex, which contains a purified form of the drug CBD, a non-psychoactive ingredient in the cannabis plant, for the treatment of seizures associated with two epilepsy conditions. The FDA has not approved cannabis or cannabis compounds as a safe and effective drug for any other condition. Moreover, under the 2018 Farm Bill or Agriculture Improvement Act of 2018 (the “</w:t>
      </w:r>
      <w:r>
        <w:rPr>
          <w:rFonts w:ascii="Arial" w:cs="Arial" w:eastAsia="Arial" w:hAnsi="Arial"/>
          <w:sz w:val="17"/>
          <w:szCs w:val="17"/>
          <w:b w:val="1"/>
          <w:bCs w:val="1"/>
          <w:color w:val="auto"/>
        </w:rPr>
        <w:t>Farm Bill</w:t>
      </w:r>
      <w:r>
        <w:rPr>
          <w:rFonts w:ascii="Arial" w:cs="Arial" w:eastAsia="Arial" w:hAnsi="Arial"/>
          <w:sz w:val="17"/>
          <w:szCs w:val="17"/>
          <w:color w:val="auto"/>
        </w:rPr>
        <w:t>”), CBD remains a Schedule I controlled substance under the CSA, with a narrow exception for CBD derived from hemp with a tetrahydrocannabinol (“</w:t>
      </w:r>
      <w:r>
        <w:rPr>
          <w:rFonts w:ascii="Arial" w:cs="Arial" w:eastAsia="Arial" w:hAnsi="Arial"/>
          <w:sz w:val="17"/>
          <w:szCs w:val="17"/>
          <w:b w:val="1"/>
          <w:bCs w:val="1"/>
          <w:color w:val="auto"/>
        </w:rPr>
        <w:t>THC</w:t>
      </w:r>
      <w:r>
        <w:rPr>
          <w:rFonts w:ascii="Arial" w:cs="Arial" w:eastAsia="Arial" w:hAnsi="Arial"/>
          <w:sz w:val="17"/>
          <w:szCs w:val="17"/>
          <w:color w:val="auto"/>
        </w:rPr>
        <w:t>”) concentration of less than 0.3%.</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Marijuana is largely regulated at the state level.</w:t>
      </w:r>
    </w:p>
    <w:p>
      <w:pPr>
        <w:spacing w:after="0" w:line="225" w:lineRule="exact"/>
        <w:rPr>
          <w:sz w:val="20"/>
          <w:szCs w:val="20"/>
          <w:color w:val="auto"/>
        </w:rPr>
      </w:pPr>
    </w:p>
    <w:p>
      <w:pPr>
        <w:ind w:left="120" w:right="120" w:firstLine="991"/>
        <w:spacing w:after="0" w:line="254" w:lineRule="auto"/>
        <w:rPr>
          <w:sz w:val="20"/>
          <w:szCs w:val="20"/>
          <w:color w:val="auto"/>
        </w:rPr>
      </w:pPr>
      <w:r>
        <w:rPr>
          <w:rFonts w:ascii="Arial" w:cs="Arial" w:eastAsia="Arial" w:hAnsi="Arial"/>
          <w:sz w:val="18"/>
          <w:szCs w:val="18"/>
          <w:color w:val="auto"/>
        </w:rPr>
        <w:t>State laws that permit and regulate the production, distribution and use of cannabis for adult use or medical purposes are in direct conflict with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CSA.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which may be brought against the Company.</w:t>
      </w:r>
    </w:p>
    <w:p>
      <w:pPr>
        <w:spacing w:after="0" w:line="195"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7"/>
          <w:szCs w:val="17"/>
          <w:color w:val="auto"/>
        </w:rPr>
        <w:t>As of December 31, 2019, 33 states, plus the District of Columbia (and the territories of Guam, Puerto Rico, the U.S. Virgin Islands and the Northern Mariana Islands), have legalized the cultivation and sale of cannabis for medical purposes. In 11 states, the sale and possession of cannabis is legal for both medical and adult use, and the District of Columbia has legalized adult use but not commercial sale.</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risk of federal enforcement and other risks associated with the Company’s business are described in Item 1A—“Risk Factors.”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Following the thesis that distributing brands at scale will win, the Company enters markets where it believes that it can profitably and sustainably operate and command significant market share, and thus maximize consumer and brand awareness. The regulatory frameworks installed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Below is a summary overview of the regulatory and competitive frameworks in each of the Company’s operating markets. See Appendix A to this Annual Report on Form 10-K for a state-by-state list of the licenses and permits held by the Company.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California</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September 2015, the California legislature passed three bills collectively known as the Medical Cannabis Regulation and Safety 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MCRSA</w:t>
      </w:r>
      <w:r>
        <w:rPr>
          <w:rFonts w:ascii="Arial" w:cs="Arial" w:eastAsia="Arial" w:hAnsi="Arial"/>
          <w:sz w:val="16"/>
          <w:szCs w:val="16"/>
          <w:color w:val="auto"/>
        </w:rPr>
        <w:t>”). The MCRSA established a licensing and regulatory framework for medical marijuana businesses in California. In November 2016, voters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California overwhelmingly passed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color w:val="auto"/>
        </w:rPr>
        <w:t>Proposition 64, the Adult Use of Marijuana Act (“</w:t>
      </w:r>
      <w:r>
        <w:rPr>
          <w:rFonts w:ascii="Arial" w:cs="Arial" w:eastAsia="Arial" w:hAnsi="Arial"/>
          <w:sz w:val="16"/>
          <w:szCs w:val="16"/>
          <w:b w:val="1"/>
          <w:bCs w:val="1"/>
          <w:color w:val="auto"/>
        </w:rPr>
        <w:t>AUMA</w:t>
      </w:r>
      <w:r>
        <w:rPr>
          <w:rFonts w:ascii="Arial" w:cs="Arial" w:eastAsia="Arial" w:hAnsi="Arial"/>
          <w:sz w:val="16"/>
          <w:szCs w:val="16"/>
          <w:color w:val="auto"/>
        </w:rPr>
        <w:t>”) creating an adult use marijuana program for adults 21 years of age or older. Some provisions of AUMA conflicted with MCRSA, so the California State Legislature passed Senate Bill No. 94, known as Medicinal and Adult Use Cannabis Regulation and Safety Act (“</w:t>
      </w:r>
      <w:r>
        <w:rPr>
          <w:rFonts w:ascii="Arial" w:cs="Arial" w:eastAsia="Arial" w:hAnsi="Arial"/>
          <w:sz w:val="16"/>
          <w:szCs w:val="16"/>
          <w:b w:val="1"/>
          <w:bCs w:val="1"/>
          <w:color w:val="auto"/>
        </w:rPr>
        <w:t>MAUCRSA</w:t>
      </w:r>
      <w:r>
        <w:rPr>
          <w:rFonts w:ascii="Arial" w:cs="Arial" w:eastAsia="Arial" w:hAnsi="Arial"/>
          <w:sz w:val="16"/>
          <w:szCs w:val="16"/>
          <w:color w:val="auto"/>
        </w:rPr>
        <w:t>”) in June 2017, amalgamating MCRSA and AUMA to provide a single set of regulations to govern a medical and adult use licensing regime for cannabis businesses in the State of California. MAUCRSA went into effect on January 1, 2018.</w:t>
      </w:r>
    </w:p>
    <w:p>
      <w:pPr>
        <w:spacing w:after="0" w:line="15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6"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A license holder that does not submit a completed license renewal application to the state within 30 calendar days after the expiration of a current license forfeits their eligibility to apply for a license renewal and, instead, would be required to submit a new license application.</w:t>
      </w:r>
    </w:p>
    <w:p>
      <w:pPr>
        <w:spacing w:after="0" w:line="184"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Currently, the Company does not have any operational licenses in the State of California. GTI has been granted conditional licenses, permitting the Company to retail medical and adult use cannabis and cannabis related products.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California.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Reporting Requirements</w:t>
      </w:r>
    </w:p>
    <w:p>
      <w:pPr>
        <w:spacing w:after="0" w:line="113"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color w:val="auto"/>
        </w:rPr>
        <w:t>The California Cannabis Track-and-Trace (“</w:t>
      </w:r>
      <w:r>
        <w:rPr>
          <w:rFonts w:ascii="Arial" w:cs="Arial" w:eastAsia="Arial" w:hAnsi="Arial"/>
          <w:sz w:val="18"/>
          <w:szCs w:val="18"/>
          <w:b w:val="1"/>
          <w:bCs w:val="1"/>
          <w:color w:val="auto"/>
        </w:rPr>
        <w:t>CCTT</w:t>
      </w:r>
      <w:r>
        <w:rPr>
          <w:rFonts w:ascii="Arial" w:cs="Arial" w:eastAsia="Arial" w:hAnsi="Arial"/>
          <w:sz w:val="18"/>
          <w:szCs w:val="18"/>
          <w:color w:val="auto"/>
        </w:rPr>
        <w:t>”) system is the T&amp;T system used statewide to record the inventory and movement of cannabis and cannabis products through the commercial cannabis supply chain from seed to sale. The CCTT system must be used by all annual and provisional cannabis licensees, including those with licenses for cannabis cultivation, manufacturing, retail, distribution, testing labs and microbusinesses. The state’s contracted service provider for the CCTT system is METRC. Licensees are required to maintain records for at least seven years from the date a record is created.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5" w:lineRule="exact"/>
        <w:rPr>
          <w:sz w:val="20"/>
          <w:szCs w:val="20"/>
          <w:color w:val="auto"/>
        </w:rPr>
      </w:pPr>
    </w:p>
    <w:p>
      <w:pPr>
        <w:jc w:val="both"/>
        <w:ind w:left="120" w:right="300" w:firstLine="991"/>
        <w:spacing w:after="0" w:line="263"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does not have any licenses in the State of Colorado. The Company has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GTI. See Item 1—“Intellectual Property – Patents and Trademarks” for details on licenses with respect to operations in Colorado.</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 (the “</w:t>
      </w:r>
      <w:r>
        <w:rPr>
          <w:rFonts w:ascii="Arial" w:cs="Arial" w:eastAsia="Arial" w:hAnsi="Arial"/>
          <w:sz w:val="18"/>
          <w:szCs w:val="18"/>
          <w:b w:val="1"/>
          <w:bCs w:val="1"/>
          <w:color w:val="auto"/>
        </w:rPr>
        <w:t>MED</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Colorado.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Reporting Requirements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Colorado uses METRC as the MED’s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State of Connecticut has authorized cultivation, possession and distribution of marijuana for medical purposes by certain licensed Connecticut marijuana businesses. The Medical Marijuana Program in Connecticut (the “</w:t>
      </w:r>
      <w:r>
        <w:rPr>
          <w:rFonts w:ascii="Arial" w:cs="Arial" w:eastAsia="Arial" w:hAnsi="Arial"/>
          <w:sz w:val="18"/>
          <w:szCs w:val="18"/>
          <w:b w:val="1"/>
          <w:bCs w:val="1"/>
          <w:color w:val="auto"/>
        </w:rPr>
        <w:t>CT Program</w:t>
      </w:r>
      <w:r>
        <w:rPr>
          <w:rFonts w:ascii="Arial" w:cs="Arial" w:eastAsia="Arial" w:hAnsi="Arial"/>
          <w:sz w:val="18"/>
          <w:szCs w:val="18"/>
          <w:color w:val="auto"/>
        </w:rPr>
        <w:t>”) registers qualifying patients, primary caregivers, Dispensary Facilities (“</w:t>
      </w:r>
      <w:r>
        <w:rPr>
          <w:rFonts w:ascii="Arial" w:cs="Arial" w:eastAsia="Arial" w:hAnsi="Arial"/>
          <w:sz w:val="18"/>
          <w:szCs w:val="18"/>
          <w:b w:val="1"/>
          <w:bCs w:val="1"/>
          <w:color w:val="auto"/>
        </w:rPr>
        <w:t>DFs</w:t>
      </w:r>
      <w:r>
        <w:rPr>
          <w:rFonts w:ascii="Arial" w:cs="Arial" w:eastAsia="Arial" w:hAnsi="Arial"/>
          <w:sz w:val="18"/>
          <w:szCs w:val="18"/>
          <w:color w:val="auto"/>
        </w:rPr>
        <w:t>”) and Dispensary Facility Employees (“</w:t>
      </w:r>
      <w:r>
        <w:rPr>
          <w:rFonts w:ascii="Arial" w:cs="Arial" w:eastAsia="Arial" w:hAnsi="Arial"/>
          <w:sz w:val="18"/>
          <w:szCs w:val="18"/>
          <w:b w:val="1"/>
          <w:bCs w:val="1"/>
          <w:color w:val="auto"/>
        </w:rPr>
        <w:t>DFEs</w:t>
      </w:r>
      <w:r>
        <w:rPr>
          <w:rFonts w:ascii="Arial" w:cs="Arial" w:eastAsia="Arial" w:hAnsi="Arial"/>
          <w:sz w:val="18"/>
          <w:szCs w:val="18"/>
          <w:color w:val="auto"/>
        </w:rPr>
        <w:t>”). The CT Program was established by Connecticut General Statutes §§ 21a-408–21a-429. DFs and production facilities are separately licensed.</w:t>
      </w:r>
    </w:p>
    <w:p>
      <w:pPr>
        <w:spacing w:after="0" w:line="187"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program launched with six dispensary licensees and four producer licensees. The first dispensaries sold to patients in September 2014.</w:t>
      </w:r>
    </w:p>
    <w:p>
      <w:pPr>
        <w:spacing w:after="0" w:line="244"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color w:val="auto"/>
        </w:rPr>
        <w:t>In January 2016, the Connecticut Department of Consumer Protection (“</w:t>
      </w:r>
      <w:r>
        <w:rPr>
          <w:rFonts w:ascii="Arial" w:cs="Arial" w:eastAsia="Arial" w:hAnsi="Arial"/>
          <w:sz w:val="18"/>
          <w:szCs w:val="18"/>
          <w:b w:val="1"/>
          <w:bCs w:val="1"/>
          <w:color w:val="auto"/>
        </w:rPr>
        <w:t>CTDCP</w:t>
      </w:r>
      <w:r>
        <w:rPr>
          <w:rFonts w:ascii="Arial" w:cs="Arial" w:eastAsia="Arial" w:hAnsi="Arial"/>
          <w:sz w:val="18"/>
          <w:szCs w:val="18"/>
          <w:color w:val="auto"/>
        </w:rPr>
        <w:t>”), the agency that oversees and administers the program, approved three additional dispensary licenses. In December 2018, the CTDCP issued nine additional dispensary licenses, bringing the total to 18 licensed dispensaries in the state. As of December 31, 2019, 15 of these dispensaries were operational.</w:t>
      </w: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There are two principal license categories in Connecticut: (1) cultivation/processing and (2) dispensary. The Company is licensed to operate one medical marijuana cultivation/processing facility and two medical marijuana dispensaries. All licenses are, as of the date hereof, active with the State of Connecticut. The licenses are independently issued for each approved activity for use at the Company’s facilities in Connecticut.</w:t>
      </w:r>
    </w:p>
    <w:p>
      <w:pPr>
        <w:spacing w:after="0" w:line="149"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The CTDCP has issued regulations regarding the CT Program. Patients with certain debilitating medical conditions qualify to participate in the CT Program. A physician or advanced practice registered nurse must issue a written certification for a CT Program patient, and the qualifying patient or caregiver must choose one designated DF where the patient’s marijuana will be obtained. Under the CT Program, dispensary licenses are renewed annually. Renewal applications must be submitted 45 days prior to license expiration and any renewal submitted more than 30 days after expiration will not be renewed.</w:t>
      </w:r>
    </w:p>
    <w:p>
      <w:pPr>
        <w:spacing w:after="0" w:line="188"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Medical marijuana cultivation/processing licenses permit the Company to operate a secure, indoor facility to cultivate and process medical marijuana and wholesale to dispensaries.</w:t>
      </w:r>
    </w:p>
    <w:p>
      <w:pPr>
        <w:spacing w:after="0" w:line="170" w:lineRule="exact"/>
        <w:rPr>
          <w:sz w:val="20"/>
          <w:szCs w:val="20"/>
          <w:color w:val="auto"/>
        </w:rPr>
      </w:pPr>
    </w:p>
    <w:p>
      <w:pPr>
        <w:ind w:left="120" w:right="400" w:firstLine="991"/>
        <w:spacing w:after="0" w:line="263" w:lineRule="auto"/>
        <w:rPr>
          <w:sz w:val="20"/>
          <w:szCs w:val="20"/>
          <w:color w:val="auto"/>
        </w:rPr>
      </w:pPr>
      <w:r>
        <w:rPr>
          <w:rFonts w:ascii="Arial" w:cs="Arial" w:eastAsia="Arial" w:hAnsi="Arial"/>
          <w:sz w:val="18"/>
          <w:szCs w:val="18"/>
          <w:color w:val="auto"/>
        </w:rPr>
        <w:t>Medical marijuana dispensary facility licenses qualify a dispensary to purchase medical cannabis from licensed medical cannabis producers and to dispense cannabis to qualifying patients or primary caregivers that are registered under the CT Program. Dispensaries must have a pharmacist on staff.</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Appendix A to this Annual Report for a list of the licenses issued to the Company with respect to its operations in Connecticut.</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Connecticut Reporting Requirements</w:t>
      </w:r>
    </w:p>
    <w:p>
      <w:pPr>
        <w:spacing w:after="0" w:line="117" w:lineRule="exact"/>
        <w:rPr>
          <w:sz w:val="20"/>
          <w:szCs w:val="20"/>
          <w:color w:val="auto"/>
        </w:rPr>
      </w:pPr>
    </w:p>
    <w:p>
      <w:pPr>
        <w:ind w:left="120" w:right="200" w:firstLine="991"/>
        <w:spacing w:after="0" w:line="301" w:lineRule="auto"/>
        <w:rPr>
          <w:sz w:val="20"/>
          <w:szCs w:val="20"/>
          <w:color w:val="auto"/>
        </w:rPr>
      </w:pPr>
      <w:r>
        <w:rPr>
          <w:rFonts w:ascii="Arial" w:cs="Arial" w:eastAsia="Arial" w:hAnsi="Arial"/>
          <w:sz w:val="16"/>
          <w:szCs w:val="16"/>
          <w:color w:val="auto"/>
        </w:rPr>
        <w:t>Connecticut does not mandate the use of a particular unified T&amp;T system by which all dispensary license holders submit data directly to the state. However, the CT Program does provide strict guidelines for reporting via the license holder’s T&amp;T program. Every cannabis sale must be documented at the point of sale, including recording the date. At least once per day, all sales must be uploaded via the T&amp;T system to the Connecticut Prescription Monitoring Program which accumulates and tracks medical cannabis purchases across all Connecticut dispensaries.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2" w:lineRule="exact"/>
        <w:rPr>
          <w:sz w:val="20"/>
          <w:szCs w:val="20"/>
          <w:color w:val="auto"/>
        </w:rPr>
      </w:pPr>
    </w:p>
    <w:p>
      <w:pPr>
        <w:ind w:left="120" w:right="420" w:firstLine="991"/>
        <w:spacing w:after="0" w:line="301" w:lineRule="auto"/>
        <w:rPr>
          <w:sz w:val="20"/>
          <w:szCs w:val="20"/>
          <w:color w:val="auto"/>
        </w:rPr>
      </w:pPr>
      <w:r>
        <w:rPr>
          <w:rFonts w:ascii="Arial" w:cs="Arial" w:eastAsia="Arial" w:hAnsi="Arial"/>
          <w:sz w:val="16"/>
          <w:szCs w:val="16"/>
          <w:color w:val="auto"/>
        </w:rPr>
        <w:t>Amendment 2, and the resulting expansion of qualifying medical conditions, became effective on January 3, 2017. The Florida Department of Health, physicians, dispensing organizations and patients are bound by Article 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5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State of Florida Statutes Section 381.986(8)(a) provides a regulatory framework that requires licensed producers, which are statutorily defined as “Medical Marijuana Treatment Centers” (the “</w:t>
      </w:r>
      <w:r>
        <w:rPr>
          <w:rFonts w:ascii="Arial" w:cs="Arial" w:eastAsia="Arial" w:hAnsi="Arial"/>
          <w:sz w:val="18"/>
          <w:szCs w:val="18"/>
          <w:b w:val="1"/>
          <w:bCs w:val="1"/>
          <w:color w:val="auto"/>
        </w:rPr>
        <w:t>MMTC</w:t>
      </w:r>
      <w:r>
        <w:rPr>
          <w:rFonts w:ascii="Arial" w:cs="Arial" w:eastAsia="Arial" w:hAnsi="Arial"/>
          <w:sz w:val="18"/>
          <w:szCs w:val="18"/>
          <w:color w:val="auto"/>
        </w:rPr>
        <w:t>”), to cultivate, process and dispense medical cannabis in a vertically-integrated marketplace.</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There is one principal license category in Florida: vertically-integrated MMTC license. The Company is licensed to operate one medical cannabis cultivation/processing facility and up to 35 medical dispensaries. All licenses are, as of the date hereof, active with the State of Florida. The licenses are independently issued for each approved activity for use at the Company’s facilities in Florida.</w:t>
      </w:r>
    </w:p>
    <w:p>
      <w:pPr>
        <w:spacing w:after="0" w:line="184" w:lineRule="exact"/>
        <w:rPr>
          <w:sz w:val="20"/>
          <w:szCs w:val="20"/>
          <w:color w:val="auto"/>
        </w:rPr>
      </w:pPr>
    </w:p>
    <w:p>
      <w:pPr>
        <w:ind w:left="120" w:right="360" w:firstLine="991"/>
        <w:spacing w:after="0" w:line="259" w:lineRule="auto"/>
        <w:rPr>
          <w:sz w:val="20"/>
          <w:szCs w:val="20"/>
          <w:color w:val="auto"/>
        </w:rPr>
      </w:pPr>
      <w:r>
        <w:rPr>
          <w:rFonts w:ascii="Arial" w:cs="Arial" w:eastAsia="Arial" w:hAnsi="Arial"/>
          <w:sz w:val="18"/>
          <w:szCs w:val="18"/>
          <w:color w:val="auto"/>
        </w:rPr>
        <w:t>Licenses are issued by the Florida Department of Health and must be renewed biennially, provided the license meets the requirements under Florida law and the license holder pays a renewal fee.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7"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The MMTC license permits the Company to sell medical cannabis to qualified patients to treat certain medical conditions in Florida, which are delineated in Florida Statutes Section 386.981. As the Company’s operations in Florida are vertically-integrated, the Company is able to cultivate, harvest, process and sell/dispense/deliver its own medical cannabis products. Under the terms of its Florida license, the Company is permitted to sell medical cannabis only to qualified medical patients that are registered with the State. Only certified physicians who have successfully completed a medical cannabis educational program can register patients on the Florida Office of Compassionate Use Registry.</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Florida.</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Florida Reporting Requirements</w:t>
      </w:r>
    </w:p>
    <w:p>
      <w:pPr>
        <w:spacing w:after="0" w:line="11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 Florida Department of Health requires that any licensee establish, maintain and control a computer software tracking system that traces cannabis from seed to sale and allows real-time, 24-hour access by the Florida Department of Health to this data. The tracking system must allow for integration of other seed-to-sale systems and, at minimum, include notification of when marijuana seeds are planted, when marijuana plants are harvested and destroyed and when cannabis is transported, sold, stolen, diverted or lost. Additionally, the Florida Department of Health maintains a patient and physician registry, and the Company must comply with all requirements and regulations related to providing required data or proof of key events to the tracking system.</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120" w:right="100" w:firstLine="991"/>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Compassionate Use of Medical Cannabis Program Act</w:t>
      </w:r>
      <w:r>
        <w:rPr>
          <w:rFonts w:ascii="Arial" w:cs="Arial" w:eastAsia="Arial" w:hAnsi="Arial"/>
          <w:sz w:val="16"/>
          <w:szCs w:val="16"/>
          <w:color w:val="auto"/>
        </w:rPr>
        <w:t>, which allows individuals diagnosed with a debilitating medical condition access to medical marijuana, became effective January 1, 2014 and is now permanent. There are more than 40 qualifying conditions as part of the medical program, including chronic pain, migraines, epilepsy, traumatic brain injury and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Licenses were awarded based on merit in a highly competitive application process to applicants who demonstrated strong operational expertise and financial backing.</w:t>
      </w:r>
    </w:p>
    <w:p>
      <w:pPr>
        <w:spacing w:after="0" w:line="157"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On May 31, 2019, Illinois lawmakers passed a bill legalizing adult use marijuana. The bill permits adult use sales to adults 21 years of age or older which began in the state of Illinois on January 1, 2020. Governor J.B. Pritzker signed the bill into law, making Illinois the 11</w:t>
      </w:r>
      <w:r>
        <w:rPr>
          <w:rFonts w:ascii="Arial" w:cs="Arial" w:eastAsia="Arial" w:hAnsi="Arial"/>
          <w:sz w:val="15"/>
          <w:szCs w:val="15"/>
          <w:color w:val="auto"/>
        </w:rPr>
        <w:t>th</w:t>
      </w:r>
      <w:r>
        <w:rPr>
          <w:rFonts w:ascii="Arial" w:cs="Arial" w:eastAsia="Arial" w:hAnsi="Arial"/>
          <w:sz w:val="18"/>
          <w:szCs w:val="18"/>
          <w:color w:val="auto"/>
        </w:rPr>
        <w:t xml:space="preserve"> state to legalize the adult use and commercial sale of cannabis to adults.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120" w:right="220" w:firstLine="991"/>
        <w:spacing w:after="0" w:line="254" w:lineRule="auto"/>
        <w:rPr>
          <w:sz w:val="20"/>
          <w:szCs w:val="20"/>
          <w:color w:val="auto"/>
        </w:rPr>
      </w:pPr>
      <w:r>
        <w:rPr>
          <w:rFonts w:ascii="Arial" w:cs="Arial" w:eastAsia="Arial" w:hAnsi="Arial"/>
          <w:sz w:val="18"/>
          <w:szCs w:val="18"/>
          <w:color w:val="auto"/>
        </w:rPr>
        <w:t>There are two principal license categories in Illinois: (1) cultivation/processing and (2) dispensary. The Company is licensed to grow cannabis for medical and adult use sales at the Company’s two cultivation/processing facilities. The Company has applied for and received state approval for its five existing medical dispensary retail locations in Illinois to also make sales to adult use customers, subject to local zoning approval. The Company applied for and received five “secondary” adult use dispensary licenses, subject to local zoning approval, which by law will serve only adult use customers, not medical patients. That will bring the Company to a total of ten dispensary licenses in Illinois, which is the statutory cap. All licenses are, as of the date hereof, active with the State of Illinois. The licenses are independently issued for each approved activity for use at the Company’s facilities in Illinois.</w:t>
      </w:r>
    </w:p>
    <w:p>
      <w:pPr>
        <w:spacing w:after="0" w:line="195"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annual renewals after required fees are paid and the business remains in good standing. Pursuant to Illinois law, registration renewal applications must be received 45 days prior to expiration and may be denied if the license has a history of non-compliance and penalties.</w:t>
      </w:r>
    </w:p>
    <w:p>
      <w:pPr>
        <w:spacing w:after="0" w:line="188"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The cultivation/processing licenses permit the Company to acquire, possess, cultivate, manufacture/process into edible marijuana products and/or marijuana-infused products, deliver, transfer, have tested, transport, supply or sell marijuana and related supplies to marijuana dispensaries.</w:t>
      </w:r>
    </w:p>
    <w:p>
      <w:pPr>
        <w:spacing w:after="0" w:line="12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The retail dispensary licenses permit the Company to purchase marijuana and marijuana products from cultivation/processing facilities, as well as allow the sale of marijuana and marijuana products.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Illinois.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Illinois Reporting Requirements</w:t>
      </w:r>
    </w:p>
    <w:p>
      <w:pPr>
        <w:spacing w:after="0" w:line="113" w:lineRule="exact"/>
        <w:rPr>
          <w:sz w:val="20"/>
          <w:szCs w:val="20"/>
          <w:color w:val="auto"/>
        </w:rPr>
      </w:pPr>
    </w:p>
    <w:p>
      <w:pPr>
        <w:jc w:val="both"/>
        <w:ind w:left="120" w:right="360" w:firstLine="991"/>
        <w:spacing w:after="0" w:line="281" w:lineRule="auto"/>
        <w:rPr>
          <w:sz w:val="20"/>
          <w:szCs w:val="20"/>
          <w:color w:val="auto"/>
        </w:rPr>
      </w:pPr>
      <w:r>
        <w:rPr>
          <w:rFonts w:ascii="Arial" w:cs="Arial" w:eastAsia="Arial" w:hAnsi="Arial"/>
          <w:sz w:val="17"/>
          <w:szCs w:val="17"/>
          <w:color w:val="auto"/>
        </w:rPr>
        <w:t>The state of Illinois uses BioTrack as the state’s computerized track-and-trace (“</w:t>
      </w:r>
      <w:r>
        <w:rPr>
          <w:rFonts w:ascii="Arial" w:cs="Arial" w:eastAsia="Arial" w:hAnsi="Arial"/>
          <w:sz w:val="17"/>
          <w:szCs w:val="17"/>
          <w:b w:val="1"/>
          <w:bCs w:val="1"/>
          <w:color w:val="auto"/>
        </w:rPr>
        <w:t>T&amp;T</w:t>
      </w:r>
      <w:r>
        <w:rPr>
          <w:rFonts w:ascii="Arial" w:cs="Arial" w:eastAsia="Arial" w:hAnsi="Arial"/>
          <w:sz w:val="17"/>
          <w:szCs w:val="17"/>
          <w:color w:val="auto"/>
        </w:rPr>
        <w:t>”) system for seed-to-sale reporting. Individual licensees, whether directly or through third-party integration systems, are required to push data to the state to meet all reporting requirements. The Company uses an in-house computerized seed-to-sale software, which integrates with the state’s BioTrack program and captures the necessary data points as required in the Illinois Compassionate Use of Medical Cannabis Program Act.</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120" w:right="100" w:firstLine="991"/>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(the “</w:t>
      </w:r>
      <w:r>
        <w:rPr>
          <w:rFonts w:ascii="Arial" w:cs="Arial" w:eastAsia="Arial" w:hAnsi="Arial"/>
          <w:sz w:val="17"/>
          <w:szCs w:val="17"/>
          <w:b w:val="1"/>
          <w:bCs w:val="1"/>
          <w:color w:val="auto"/>
        </w:rPr>
        <w:t>MMCC</w:t>
      </w:r>
      <w:r>
        <w:rPr>
          <w:rFonts w:ascii="Arial" w:cs="Arial" w:eastAsia="Arial" w:hAnsi="Arial"/>
          <w:sz w:val="17"/>
          <w:szCs w:val="17"/>
          <w:color w:val="auto"/>
        </w:rPr>
        <w:t>”)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PTSD.</w:t>
      </w: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There are three principal license categories in Maryland: (1) cultivation, (2) processing and (3) dispensary. The Company has control and/or ownership over one cultivation license, one processing license and three retail dispensaries. All licenses are, as of the date hereof, active with the State of Maryland. The licenses are independently issued for each approved activity for use at the Company facilities in Maryland.</w:t>
      </w:r>
    </w:p>
    <w:p>
      <w:pPr>
        <w:spacing w:after="0" w:line="165"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All cultivation, processing and dispensary establishments must register with the MMCC under the provisions of the Maryland Medical Cannabis Law, Section 13-3301 et seq. If applications contain all required information, establishments are issued a medical marijuana establishment registration certificate. Registration certificates are valid for a period of six years and are subject to annual renewals after required fees are paid and the business remains in good standing. After the first expiration of the approved license, the dispensary, cultivation and processing licensee is required to renew every two years. Licensees are required to submit a renewal application per the guidelines published by the MMCC. 90 days prior to the expiration of a license, the MMCC notifies the licensee of the date on which the license expires and provides the instructions and fee required to renew the license along with the consequences of failure to renew. At least 30 business days before a license expires, the licensee must submit the renewal application as provided by the MMCC.</w:t>
      </w:r>
    </w:p>
    <w:p>
      <w:pPr>
        <w:spacing w:after="0" w:line="178"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The medical cultivation licenses permit the Company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4" w:lineRule="exact"/>
        <w:rPr>
          <w:sz w:val="20"/>
          <w:szCs w:val="20"/>
          <w:color w:val="auto"/>
        </w:rPr>
      </w:pPr>
    </w:p>
    <w:p>
      <w:pPr>
        <w:ind w:left="120" w:right="680" w:firstLine="991"/>
        <w:spacing w:after="0" w:line="342" w:lineRule="auto"/>
        <w:rPr>
          <w:sz w:val="20"/>
          <w:szCs w:val="20"/>
          <w:color w:val="auto"/>
        </w:rPr>
      </w:pPr>
      <w:r>
        <w:rPr>
          <w:rFonts w:ascii="Arial" w:cs="Arial" w:eastAsia="Arial" w:hAnsi="Arial"/>
          <w:sz w:val="16"/>
          <w:szCs w:val="16"/>
          <w:color w:val="auto"/>
        </w:rPr>
        <w:t>The medical processing license permits the Company to acquire, possess, manufacture, deliver, transfer, transport, supply, or sell marijuana products or marijuana infused products to other medical marijuana production facilities or medical marijuana dispensaries.</w:t>
      </w:r>
    </w:p>
    <w:p>
      <w:pPr>
        <w:spacing w:after="0" w:line="124"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The retail dispensary licenses permit the Company to purchase marijuana from cultivation facilities, marijuana and marijuana products from product manufacturing facilities and marijuana from other medical marijuana dispensaries, as well as allow the sale of marijuana and marijuana products.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Appendix A to this Annual Report for a list of the licenses issued to the Company with respect to its operations in Maryland.</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Maryland Reporting Requirements</w:t>
      </w:r>
    </w:p>
    <w:p>
      <w:pPr>
        <w:spacing w:after="0" w:line="117" w:lineRule="exact"/>
        <w:rPr>
          <w:sz w:val="20"/>
          <w:szCs w:val="20"/>
          <w:color w:val="auto"/>
        </w:rPr>
      </w:pPr>
    </w:p>
    <w:p>
      <w:pPr>
        <w:ind w:left="120" w:right="360" w:firstLine="991"/>
        <w:spacing w:after="0" w:line="301" w:lineRule="auto"/>
        <w:rPr>
          <w:sz w:val="20"/>
          <w:szCs w:val="20"/>
          <w:color w:val="auto"/>
        </w:rPr>
      </w:pPr>
      <w:r>
        <w:rPr>
          <w:rFonts w:ascii="Arial" w:cs="Arial" w:eastAsia="Arial" w:hAnsi="Arial"/>
          <w:sz w:val="16"/>
          <w:szCs w:val="16"/>
          <w:color w:val="auto"/>
        </w:rPr>
        <w:t>The state of Maryland uses METRC as the state’s computerized T&amp;T system for seed-to-sale reporting. Individual licensees, whether directly or through third-party integration systems, are required to push data to the state to meet all reporting requirements. The Company uses an in-house computerized seed-to-sale software, which integrates with the state’s METRC program and captures the required data points for retail as required in the Maryland Medical Cannabis Law. The Company uses METRC directly for cultivation and manufacturing.</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83" w:lineRule="exact"/>
        <w:rPr>
          <w:sz w:val="20"/>
          <w:szCs w:val="20"/>
          <w:color w:val="auto"/>
        </w:rPr>
      </w:pPr>
    </w:p>
    <w:p>
      <w:pPr>
        <w:ind w:left="120" w:right="40" w:firstLine="991"/>
        <w:spacing w:after="0" w:line="256" w:lineRule="auto"/>
        <w:rPr>
          <w:sz w:val="20"/>
          <w:szCs w:val="20"/>
          <w:color w:val="auto"/>
        </w:rPr>
      </w:pPr>
      <w:r>
        <w:rPr>
          <w:rFonts w:ascii="Arial" w:cs="Arial" w:eastAsia="Arial" w:hAnsi="Arial"/>
          <w:sz w:val="18"/>
          <w:szCs w:val="18"/>
          <w:color w:val="auto"/>
        </w:rPr>
        <w:t>In Massachusetts, Registered Marijuana Dispensaries (“</w:t>
      </w:r>
      <w:r>
        <w:rPr>
          <w:rFonts w:ascii="Arial" w:cs="Arial" w:eastAsia="Arial" w:hAnsi="Arial"/>
          <w:sz w:val="18"/>
          <w:szCs w:val="18"/>
          <w:b w:val="1"/>
          <w:bCs w:val="1"/>
          <w:color w:val="auto"/>
        </w:rPr>
        <w:t>RMDs</w:t>
      </w:r>
      <w:r>
        <w:rPr>
          <w:rFonts w:ascii="Arial" w:cs="Arial" w:eastAsia="Arial" w:hAnsi="Arial"/>
          <w:sz w:val="18"/>
          <w:szCs w:val="18"/>
          <w:color w:val="auto"/>
        </w:rPr>
        <w:t>”) are “vertically-integrated,” which means RMDs grow, process and dispense their own marijuana. An RMD must have a retail facility, as well as cultivation and processing operations. Some RMDs elect to conduct cultivation, processing and retail operations all in one location, which is commonly referred to as a “co-located” operation. An RMD may also choose to have a retail dispensary in one location and grow marijuana at a remote cultivation location. An RMD may process marijuana at either a retail dispensary location or a remote cultivation location. The remote cultivation location need not be in the same municipality, or the same county, as the retail dispensary.</w:t>
      </w:r>
    </w:p>
    <w:p>
      <w:pPr>
        <w:spacing w:after="0" w:line="29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There is one principal license category in Massachusetts: vertically-integrated RMD license. The Company is licensed to operate one medical and adult use cultivation/processing facility and up to two medical and adult use retail dispensaries. All licenses are, as of the date hereof, active with the State of Massachusetts. The licenses are independently issued for each approved activity for use at the Company’s facilities in Massachusetts.</w:t>
      </w:r>
    </w:p>
    <w:p>
      <w:pPr>
        <w:spacing w:after="0" w:line="149"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(the “</w:t>
      </w:r>
      <w:r>
        <w:rPr>
          <w:rFonts w:ascii="Arial" w:cs="Arial" w:eastAsia="Arial" w:hAnsi="Arial"/>
          <w:sz w:val="18"/>
          <w:szCs w:val="18"/>
          <w:b w:val="1"/>
          <w:bCs w:val="1"/>
          <w:color w:val="auto"/>
        </w:rPr>
        <w:t>CCC</w:t>
      </w:r>
      <w:r>
        <w:rPr>
          <w:rFonts w:ascii="Arial" w:cs="Arial" w:eastAsia="Arial" w:hAnsi="Arial"/>
          <w:sz w:val="18"/>
          <w:szCs w:val="18"/>
          <w:color w:val="auto"/>
        </w:rPr>
        <w:t>”),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Each Massachusetts dispensary, cultivator and processor license is valid for one year and must be renewed no later than 60 calendar days prior to expiration. The CCC can deny or revoke licenses and renewals for multiple reasons, including (a) submission of materially inaccurate, incomplete or fraudulent information, (b) failure to comply with any applicable law or regulation, including laws relating to taxes, child support, workers compensation and insurance coverage, (c) failure to submit or implement a plan of correction, (d) attempting to assign registration to another entity, (e) insufficient financial resources, (f) committing, permitting, aiding or abetting of any illegal practices in the operation of the RMD, (g) failure to cooperate or give information to relevant law enforcement related to any matter arising out of conduct at an RMD and (h) lack of responsible RMD operations, as evidenced by negligence, disorderly or unsanitary facilities or permitting a person to use a registration card belonging to another person.</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RMD license permits the Company to cultivate, process and dispense medical and adult use cannabis.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See Appendix A to this Annual Report for a list of the licenses issued to the Company with respect to its operations in Massachusetts.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Massachusetts Reporting Requirements</w:t>
      </w:r>
    </w:p>
    <w:p>
      <w:pPr>
        <w:spacing w:after="0" w:line="117" w:lineRule="exact"/>
        <w:rPr>
          <w:sz w:val="20"/>
          <w:szCs w:val="20"/>
          <w:color w:val="auto"/>
        </w:rPr>
      </w:pPr>
    </w:p>
    <w:p>
      <w:pPr>
        <w:jc w:val="both"/>
        <w:ind w:left="120" w:right="100" w:firstLine="991"/>
        <w:spacing w:after="0" w:line="263" w:lineRule="auto"/>
        <w:rPr>
          <w:sz w:val="20"/>
          <w:szCs w:val="20"/>
          <w:color w:val="auto"/>
        </w:rPr>
      </w:pPr>
      <w:r>
        <w:rPr>
          <w:rFonts w:ascii="Arial" w:cs="Arial" w:eastAsia="Arial" w:hAnsi="Arial"/>
          <w:sz w:val="18"/>
          <w:szCs w:val="18"/>
          <w:color w:val="auto"/>
        </w:rPr>
        <w:t>The Commonwealth of Massachusetts uses the MMJ Online system through the Virtual Gateway portal as the state’s computerized T&amp;T system for seed-to-sale reporting. Individual licensees, whether directly or through third-party integration systems, are required to push data to the state to meet all reporting requirements.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uses an in-house computerized seed-to-sale software, which integrates with the state’s program and captures the required data points for cultivation, manufacturing and retail as required in the Massachusetts marijuana laws and regulations.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(the “</w:t>
      </w:r>
      <w:r>
        <w:rPr>
          <w:rFonts w:ascii="Arial" w:cs="Arial" w:eastAsia="Arial" w:hAnsi="Arial"/>
          <w:sz w:val="18"/>
          <w:szCs w:val="18"/>
          <w:b w:val="1"/>
          <w:bCs w:val="1"/>
          <w:color w:val="auto"/>
        </w:rPr>
        <w:t>DOT</w:t>
      </w:r>
      <w:r>
        <w:rPr>
          <w:rFonts w:ascii="Arial" w:cs="Arial" w:eastAsia="Arial" w:hAnsi="Arial"/>
          <w:sz w:val="18"/>
          <w:szCs w:val="18"/>
          <w:color w:val="auto"/>
        </w:rPr>
        <w:t>”) opened up applications for additional adult use marijuana dispensary licenses. Only those companies that held medical marijuana licenses in the state could apply. In December 2018, 61 additional marijuana dispensary licenses were issued by the DOT.</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The Company is licensed to operate two medical and adult use cultivation facilities, three medical and adult use processing facilities, five medical dispensary licenses and up to 13 adult use retail locations. All licenses are, as of the date hereof, active with the State of Nevada. The licenses are independently issued for each approved activity for use at the Company’s facilities in Nevada.</w:t>
      </w:r>
    </w:p>
    <w:p>
      <w:pPr>
        <w:spacing w:after="0" w:line="187"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Under applicable laws, the licenses permit the Company to cultivate, manufacture, process, package, sell and purchase marijuana pursuant to the terms of the licenses, which are issued by the DOT under the provisions of Nevada Revised Statutes section 453A. If applications contain all required information, establishments are issued a marijuana establishment registration certificate. In a local governmental jurisdiction that issues business licenses, the issuance by DOT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the Nevada DOT shall issue a renewal license within ten days after the receipt of a renewal application and applicable fee if the license is not then under suspension or has not been revoked.</w:t>
      </w:r>
    </w:p>
    <w:p>
      <w:pPr>
        <w:spacing w:after="0" w:line="17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The cultivation licenses permit the Company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The processing license permits the Company to acquire, possess, manufacture, deliver, transfer, transport, supply or sell edible marijuana products or marijuana infused products to other marijuana production facilities or marijuana dispensaries.</w:t>
      </w:r>
    </w:p>
    <w:p>
      <w:pPr>
        <w:spacing w:after="0" w:line="170" w:lineRule="exact"/>
        <w:rPr>
          <w:sz w:val="20"/>
          <w:szCs w:val="20"/>
          <w:color w:val="auto"/>
        </w:rPr>
      </w:pPr>
    </w:p>
    <w:p>
      <w:pPr>
        <w:ind w:left="120" w:right="320" w:firstLine="991"/>
        <w:spacing w:after="0" w:line="342" w:lineRule="auto"/>
        <w:rPr>
          <w:sz w:val="20"/>
          <w:szCs w:val="20"/>
          <w:color w:val="auto"/>
        </w:rPr>
      </w:pPr>
      <w:r>
        <w:rPr>
          <w:rFonts w:ascii="Arial" w:cs="Arial" w:eastAsia="Arial" w:hAnsi="Arial"/>
          <w:sz w:val="16"/>
          <w:szCs w:val="16"/>
          <w:color w:val="auto"/>
        </w:rPr>
        <w:t>The retail dispensary licenses permit the Company to purchase marijuana from cultivation facilities, marijuana and marijuana products from product manufacturing facilities and marijuana from other retail stores, as well as allow the sale of marijuana and marijuana products.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Appendix A to this Annual Report for a list of the licenses issued to the Company with respect to its operations in Nevada.</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Nevada Reporting Requirements</w:t>
      </w:r>
    </w:p>
    <w:p>
      <w:pPr>
        <w:spacing w:after="0" w:line="113" w:lineRule="exact"/>
        <w:rPr>
          <w:sz w:val="20"/>
          <w:szCs w:val="20"/>
          <w:color w:val="auto"/>
        </w:rPr>
      </w:pPr>
    </w:p>
    <w:p>
      <w:pPr>
        <w:ind w:left="120" w:right="340" w:firstLine="991"/>
        <w:spacing w:after="0" w:line="282" w:lineRule="auto"/>
        <w:rPr>
          <w:sz w:val="20"/>
          <w:szCs w:val="20"/>
          <w:color w:val="auto"/>
        </w:rPr>
      </w:pPr>
      <w:r>
        <w:rPr>
          <w:rFonts w:ascii="Arial" w:cs="Arial" w:eastAsia="Arial" w:hAnsi="Arial"/>
          <w:sz w:val="18"/>
          <w:szCs w:val="18"/>
          <w:color w:val="auto"/>
        </w:rPr>
        <w:t>The state of Nevada uses Marijuana Enforcement Tracking Regulation and Compliance (“</w:t>
      </w:r>
      <w:r>
        <w:rPr>
          <w:rFonts w:ascii="Arial" w:cs="Arial" w:eastAsia="Arial" w:hAnsi="Arial"/>
          <w:sz w:val="18"/>
          <w:szCs w:val="18"/>
          <w:b w:val="1"/>
          <w:bCs w:val="1"/>
          <w:color w:val="auto"/>
        </w:rPr>
        <w:t>METRC</w:t>
      </w:r>
      <w:r>
        <w:rPr>
          <w:rFonts w:ascii="Arial" w:cs="Arial" w:eastAsia="Arial" w:hAnsi="Arial"/>
          <w:sz w:val="18"/>
          <w:szCs w:val="18"/>
          <w:color w:val="auto"/>
        </w:rPr>
        <w:t>”) as the state’s computerized T&amp;T system for seed-to-sale reporting. Individual licensees, whether directly or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through third-party integration systems, are required to push data to the state to meet all reporting requirements. The Company has designated an in-house computerized seed-to-sale software that integrates with METRC via API, which captures the required data points for cultivation, manufacturing and retail as required in Nevada Revised Statutes section 453A.</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New Jersey</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January 18, 2010, the governor of New Jersey signed into law S.119, the Compassionate Use Medical Marijuana Act (the “</w:t>
      </w:r>
      <w:r>
        <w:rPr>
          <w:rFonts w:ascii="Arial" w:cs="Arial" w:eastAsia="Arial" w:hAnsi="Arial"/>
          <w:sz w:val="17"/>
          <w:szCs w:val="17"/>
          <w:b w:val="1"/>
          <w:bCs w:val="1"/>
          <w:color w:val="auto"/>
        </w:rPr>
        <w:t>NJ Act</w:t>
      </w:r>
      <w:r>
        <w:rPr>
          <w:rFonts w:ascii="Arial" w:cs="Arial" w:eastAsia="Arial" w:hAnsi="Arial"/>
          <w:sz w:val="17"/>
          <w:szCs w:val="17"/>
          <w:color w:val="auto"/>
        </w:rPr>
        <w: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permitting the use of medical cannabis for persons with certain debilitating conditions. The law permits the New Jersey Department of Health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NJDOH</w:t>
      </w:r>
      <w:r>
        <w:rPr>
          <w:rFonts w:ascii="Arial" w:cs="Arial" w:eastAsia="Arial" w:hAnsi="Arial"/>
          <w:sz w:val="16"/>
          <w:szCs w:val="16"/>
          <w:color w:val="auto"/>
        </w:rPr>
        <w:t>”) to create rules to add other illnesses to the permitted conditions. The NJ Act mandates that cannabis must be acquired through Alternative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Treatment Centers (each an “</w:t>
      </w:r>
      <w:r>
        <w:rPr>
          <w:rFonts w:ascii="Arial" w:cs="Arial" w:eastAsia="Arial" w:hAnsi="Arial"/>
          <w:sz w:val="18"/>
          <w:szCs w:val="18"/>
          <w:b w:val="1"/>
          <w:bCs w:val="1"/>
          <w:color w:val="auto"/>
        </w:rPr>
        <w:t>ATC</w:t>
      </w:r>
      <w:r>
        <w:rPr>
          <w:rFonts w:ascii="Arial" w:cs="Arial" w:eastAsia="Arial" w:hAnsi="Arial"/>
          <w:sz w:val="18"/>
          <w:szCs w:val="18"/>
          <w:color w:val="auto"/>
        </w:rPr>
        <w:t>”) licensed by the State.</w:t>
      </w:r>
    </w:p>
    <w:p>
      <w:pPr>
        <w:spacing w:after="0" w:line="21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 xml:space="preserve">A single ATC license allows for the cultivation, processing and dispensing of medical marijuana products. Originally, each ATC was permitted to open one dispensary. With the </w:t>
      </w:r>
      <w:r>
        <w:rPr>
          <w:rFonts w:ascii="Arial" w:cs="Arial" w:eastAsia="Arial" w:hAnsi="Arial"/>
          <w:sz w:val="17"/>
          <w:szCs w:val="17"/>
          <w:i w:val="1"/>
          <w:iCs w:val="1"/>
          <w:color w:val="auto"/>
        </w:rPr>
        <w:t>Executive Order 6 Report</w:t>
      </w:r>
      <w:r>
        <w:rPr>
          <w:rFonts w:ascii="Arial" w:cs="Arial" w:eastAsia="Arial" w:hAnsi="Arial"/>
          <w:sz w:val="17"/>
          <w:szCs w:val="17"/>
          <w:color w:val="auto"/>
        </w:rPr>
        <w:t>, each ATC can now open two additional satellite dispensaries within their NJDOH-designated region for a total of three dispensaries each, as well as satellite production facilities, subject to regulatory approval.</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March 27, 2018 through executive order No. 6 (2018), Governor Phil Murphy expanded the medical marijuana program, announcing the 20-plus recommendations presented by the NJDOH on March 23, 2018. The NJDOH’s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83"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7"/>
          <w:szCs w:val="17"/>
          <w:color w:val="auto"/>
        </w:rPr>
        <w:t>On July 2, 2019, Governor Phil Murphy signed the Jake Honig Compassionate Use Medical Cannabis Act into law (“</w:t>
      </w:r>
      <w:r>
        <w:rPr>
          <w:rFonts w:ascii="Arial" w:cs="Arial" w:eastAsia="Arial" w:hAnsi="Arial"/>
          <w:sz w:val="17"/>
          <w:szCs w:val="17"/>
          <w:b w:val="1"/>
          <w:bCs w:val="1"/>
          <w:color w:val="auto"/>
        </w:rPr>
        <w:t>CUMCA</w:t>
      </w:r>
      <w:r>
        <w:rPr>
          <w:rFonts w:ascii="Arial" w:cs="Arial" w:eastAsia="Arial" w:hAnsi="Arial"/>
          <w:sz w:val="17"/>
          <w:szCs w:val="17"/>
          <w:color w:val="auto"/>
        </w:rPr>
        <w:t>”), which amended the NJ Act. Previously, New Jersey law only permitted applicants to apply for vertically-integrated licenses. Under CUMCA, the permit process includes three different permit types. The new permit types are medical cannabis cultivator, dispensary and manufacturer permits, which are to be applied for individually. The vertically-integrated ATC will continue to be able to cultivate, manufacture and dispense medical cannabis. These new permit types are still in the application stage and have not yet been awarded.</w:t>
      </w:r>
    </w:p>
    <w:p>
      <w:pPr>
        <w:spacing w:after="0" w:line="28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ATC license. The Company is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the Company facilities in New Jersey.</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NJDOH is responsible for issuing permits and administering the NJ Act to ensure qualifying patients’ access to safe cannabis for medical use in New Jersey.</w:t>
      </w:r>
    </w:p>
    <w:p>
      <w:pPr>
        <w:spacing w:after="0" w:line="170"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ATC permits expire annually on December 31. A permit renewal application must be submitted at least 60 days prior to the expiration date. An ATC that seeks to renew its permit shall submit to the permitting authority an application for renewal with all required documentation and the required fees. Prior to the issuance of any permit, the Company must certify that it submits to the jurisdiction of the courts of the State of New Jersey and agrees to comply with all the requirements of the laws of New Jersey pertaining to New Jersey’s Medicinal Marijuana Program.</w:t>
      </w:r>
    </w:p>
    <w:p>
      <w:pPr>
        <w:spacing w:after="0" w:line="157" w:lineRule="exact"/>
        <w:rPr>
          <w:sz w:val="20"/>
          <w:szCs w:val="20"/>
          <w:color w:val="auto"/>
        </w:rPr>
      </w:pPr>
    </w:p>
    <w:p>
      <w:pPr>
        <w:jc w:val="center"/>
        <w:ind w:left="840" w:right="580"/>
        <w:spacing w:after="0" w:line="449" w:lineRule="auto"/>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New Jersey. 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New Jersey Reporting Requirements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New Jersey does not have a unified T&amp;T system. All information is forwarded to the medical marijuana program through email. The ATC collects and submits to the NJDOH for each calendar year statistical data on (a) the number of registered qualified patients and registered primary caregivers,</w:t>
      </w:r>
    </w:p>
    <w:p>
      <w:pPr>
        <w:ind w:left="120" w:right="140" w:hanging="4"/>
        <w:spacing w:after="0" w:line="253"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debilitating medical conditions of the qualified patients, (c) patient demographic data, (d) summary of the patient surveys and evaluation of services and (e) other information as the NJDOH may require. The ATC must retain records for at least two years. The Company also uses an in-house computerized seed-to-sale software, which captures the required data points for cultivation, manufacturing and retail as required in the New Jersey marijuana laws and regulations.</w:t>
      </w:r>
    </w:p>
    <w:p>
      <w:pPr>
        <w:spacing w:after="0" w:line="30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New York</w:t>
      </w:r>
    </w:p>
    <w:p>
      <w:pPr>
        <w:spacing w:after="0" w:line="113" w:lineRule="exact"/>
        <w:rPr>
          <w:sz w:val="20"/>
          <w:szCs w:val="20"/>
          <w:color w:val="auto"/>
        </w:rPr>
      </w:pPr>
    </w:p>
    <w:p>
      <w:pPr>
        <w:ind w:left="120" w:right="260" w:firstLine="440"/>
        <w:spacing w:after="0" w:line="303" w:lineRule="auto"/>
        <w:rPr>
          <w:sz w:val="20"/>
          <w:szCs w:val="20"/>
          <w:color w:val="auto"/>
        </w:rPr>
      </w:pPr>
      <w:r>
        <w:rPr>
          <w:rFonts w:ascii="Arial" w:cs="Arial" w:eastAsia="Arial" w:hAnsi="Arial"/>
          <w:sz w:val="16"/>
          <w:szCs w:val="16"/>
          <w:color w:val="auto"/>
        </w:rPr>
        <w:t>In July 2014, the New York Legislature and Governor enacted the Compassionate Care Act (the “</w:t>
      </w:r>
      <w:r>
        <w:rPr>
          <w:rFonts w:ascii="Arial" w:cs="Arial" w:eastAsia="Arial" w:hAnsi="Arial"/>
          <w:sz w:val="16"/>
          <w:szCs w:val="16"/>
          <w:b w:val="1"/>
          <w:bCs w:val="1"/>
          <w:color w:val="auto"/>
        </w:rPr>
        <w:t>CCA</w:t>
      </w:r>
      <w:r>
        <w:rPr>
          <w:rFonts w:ascii="Arial" w:cs="Arial" w:eastAsia="Arial" w:hAnsi="Arial"/>
          <w:sz w:val="16"/>
          <w:szCs w:val="16"/>
          <w:color w:val="auto"/>
        </w:rPr>
        <w:t>”) to provide a comprehensive, safe and effective medical marijuana program. The CCA provides access to the program for those who suffer from qualifying serious conditions including: cancer, HIV/AIDS, ALS and PTSD. The program allows ten “</w:t>
      </w:r>
      <w:r>
        <w:rPr>
          <w:rFonts w:ascii="Arial" w:cs="Arial" w:eastAsia="Arial" w:hAnsi="Arial"/>
          <w:sz w:val="16"/>
          <w:szCs w:val="16"/>
          <w:b w:val="1"/>
          <w:bCs w:val="1"/>
          <w:color w:val="auto"/>
        </w:rPr>
        <w:t>Registered Organizations</w:t>
      </w:r>
      <w:r>
        <w:rPr>
          <w:rFonts w:ascii="Arial" w:cs="Arial" w:eastAsia="Arial" w:hAnsi="Arial"/>
          <w:sz w:val="16"/>
          <w:szCs w:val="16"/>
          <w:color w:val="auto"/>
        </w:rPr>
        <w:t>” to hold vertically-integrated licenses and service qualified patients and caregivers. Each Registered Organization has one cultivation/processing license and four dispensary licenses.</w:t>
      </w:r>
    </w:p>
    <w:p>
      <w:pPr>
        <w:spacing w:after="0" w:line="15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Under the terms of licenses in the state of New York, licensees are permitted to sell NYSDOH-approved medical marijuana manufactured products to any qualified patient who possesses a physician’s recommendation, provided that the patient presents a valid government-issued photo identification and NYSDOH-issued Registry Identification Card proving that the patient or designated caregiver meets the statutory conditions to be a qualified patient or designated caregiver. The card contains the recommendation from the physician and the limitation on form or dosage of medical marijuana.</w:t>
      </w:r>
    </w:p>
    <w:p>
      <w:pPr>
        <w:spacing w:after="0" w:line="188"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In order for a patient or registered caregiver to receive dispensed marijuana, they must be logged into the Prescription Monitoring Program (“</w:t>
      </w:r>
      <w:r>
        <w:rPr>
          <w:rFonts w:ascii="Arial" w:cs="Arial" w:eastAsia="Arial" w:hAnsi="Arial"/>
          <w:sz w:val="17"/>
          <w:szCs w:val="17"/>
          <w:b w:val="1"/>
          <w:bCs w:val="1"/>
          <w:color w:val="auto"/>
        </w:rPr>
        <w:t>PMP</w:t>
      </w:r>
      <w:r>
        <w:rPr>
          <w:rFonts w:ascii="Arial" w:cs="Arial" w:eastAsia="Arial" w:hAnsi="Arial"/>
          <w:sz w:val="17"/>
          <w:szCs w:val="17"/>
          <w:color w:val="auto"/>
        </w:rPr>
        <w:t>”) registry. The PMP registry is monitored by the NYSDOH and contains controlled substance prescription dispensing history and medical marijuana dispensing history to ensure that patients only receive a maximum of 30 days’ worth of dispensed product from one Registered Organization. Only registered pharmacists can dispense medical marijuana to approved patients and caregivers.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Appendix A to this Annual Report for a list of the licenses issued to the Company with respect to its operations in New York.</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120" w:right="140" w:firstLine="991"/>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The Company is licensed to operate one medical marijuana cultivation/manufacturing facility and up to four medical marijuana dispensaries. All licenses are, as of the date hereof, active with the State of New York. The licenses are independently issued for each approved activity for use at the Company’s facilities in New York.</w:t>
      </w:r>
    </w:p>
    <w:p>
      <w:pPr>
        <w:spacing w:after="0" w:line="161" w:lineRule="exact"/>
        <w:rPr>
          <w:sz w:val="20"/>
          <w:szCs w:val="20"/>
          <w:color w:val="auto"/>
        </w:rPr>
      </w:pPr>
    </w:p>
    <w:p>
      <w:pPr>
        <w:ind w:left="120" w:right="180" w:firstLine="991"/>
        <w:spacing w:after="0" w:line="303" w:lineRule="auto"/>
        <w:rPr>
          <w:sz w:val="20"/>
          <w:szCs w:val="20"/>
          <w:color w:val="auto"/>
        </w:rPr>
      </w:pPr>
      <w:r>
        <w:rPr>
          <w:rFonts w:ascii="Arial" w:cs="Arial" w:eastAsia="Arial" w:hAnsi="Arial"/>
          <w:sz w:val="16"/>
          <w:szCs w:val="16"/>
          <w:color w:val="auto"/>
        </w:rPr>
        <w:t>The New York State Department of Health (“</w:t>
      </w:r>
      <w:r>
        <w:rPr>
          <w:rFonts w:ascii="Arial" w:cs="Arial" w:eastAsia="Arial" w:hAnsi="Arial"/>
          <w:sz w:val="16"/>
          <w:szCs w:val="16"/>
          <w:b w:val="1"/>
          <w:bCs w:val="1"/>
          <w:color w:val="auto"/>
        </w:rPr>
        <w:t>NYSDOH</w:t>
      </w:r>
      <w:r>
        <w:rPr>
          <w:rFonts w:ascii="Arial" w:cs="Arial" w:eastAsia="Arial" w:hAnsi="Arial"/>
          <w:sz w:val="16"/>
          <w:szCs w:val="16"/>
          <w:color w:val="auto"/>
        </w:rPr>
        <w:t>”) is the regulatory agency that oversees the medical marijuana program in New York. New York is a vertically-integrated system; however, the state does allow Registered Organizations to wholesale manufactured products to one another. As such, the Company has the ability to be vertically-integrated and cultivate, harvest, process, transport, sell and dispense cannabis products. Delivery is allowed from dispensaries to patients, however the delivery plan must be pre-approved by the NYSDOH.</w:t>
      </w:r>
    </w:p>
    <w:p>
      <w:pPr>
        <w:spacing w:after="0" w:line="26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New York Reporting Requirements</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State of New York has selected BioTrackTHC’s system as the state’s T&amp;T system used to track commercial cannabis activity and seed-to-sale. The BioTrackTHC system must serve as all Registered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Organizations’ patient verification system but is optional as Registered Organizations’ tracking system. The Company currently uses BioTrackTHC as its seed-to-sale tracking system, but GTI also integrates its in-house seed-to-sale tracking system with BioTrackTHC.</w:t>
      </w:r>
    </w:p>
    <w:p>
      <w:pPr>
        <w:spacing w:after="0" w:line="170"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Every month the NYSDOH requests a dispensing report in Excel format, via email, showing all products dispensed for the month. This is the only report that the Company is required to submit to the NYSDOH. All other data is pulled by the NYSDOH directly from the Company’s seed-to-sale tracking system.</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In November 2018, the state issued 12 ‘Level I’ cultivation licenses, which permit up to 25,000 square feet of canopy, and 12 ‘Level II’ cultivation licenses, which permit up to 3,000 square feet of canopy. In June 2018, the state issued 56 dispensary licenses. In August 2018, the state issued seven processing licenses and, over the next few months, issued seven additional processing licenses. In January 2019, the state issued an additional 26 processing licenses for a total of 40 across Ohio. On December 3, 2019, the State of Ohio Board of Pharmacy awarded one additional medical marijuana provisional dispensary license. The licenses were awarded after an extensive review of 376 submitted dispensary applications.</w:t>
      </w:r>
    </w:p>
    <w:p>
      <w:pPr>
        <w:spacing w:after="0" w:line="192" w:lineRule="exact"/>
        <w:rPr>
          <w:sz w:val="20"/>
          <w:szCs w:val="20"/>
          <w:color w:val="auto"/>
        </w:rPr>
      </w:pPr>
    </w:p>
    <w:p>
      <w:pPr>
        <w:ind w:left="120" w:right="540" w:firstLine="991"/>
        <w:spacing w:after="0" w:line="311" w:lineRule="auto"/>
        <w:rPr>
          <w:sz w:val="20"/>
          <w:szCs w:val="20"/>
          <w:color w:val="auto"/>
        </w:rPr>
      </w:pPr>
      <w:r>
        <w:rPr>
          <w:rFonts w:ascii="Arial" w:cs="Arial" w:eastAsia="Arial" w:hAnsi="Arial"/>
          <w:sz w:val="16"/>
          <w:szCs w:val="16"/>
          <w:color w:val="auto"/>
        </w:rPr>
        <w:t>By rule, the State of Ohio Board of Pharmacy is currently limited to issuing up to 60 dispensary licenses across the state. Under the program rules, the Board will consider, on at least a biennial basis, whether enough medical marijuana dispensaries exist, considering the state population, the number of patients seeking to use medical marijuana and the geographic distribution of dispensary sites.</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The Company is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the Company facilities in Ohio.</w:t>
      </w:r>
    </w:p>
    <w:p>
      <w:pPr>
        <w:spacing w:after="0" w:line="187" w:lineRule="exact"/>
        <w:rPr>
          <w:sz w:val="20"/>
          <w:szCs w:val="20"/>
          <w:color w:val="auto"/>
        </w:rPr>
      </w:pPr>
    </w:p>
    <w:p>
      <w:pPr>
        <w:ind w:left="120" w:right="260" w:firstLine="991"/>
        <w:spacing w:after="0" w:line="296" w:lineRule="auto"/>
        <w:rPr>
          <w:sz w:val="20"/>
          <w:szCs w:val="20"/>
          <w:color w:val="auto"/>
        </w:rPr>
      </w:pPr>
      <w:r>
        <w:rPr>
          <w:rFonts w:ascii="Arial" w:cs="Arial" w:eastAsia="Arial" w:hAnsi="Arial"/>
          <w:sz w:val="16"/>
          <w:szCs w:val="16"/>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6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Certificates of operation for dispensaries carry two year terms, while certificates of operation for cultivators and processors must be renewed annually. A certificate of operation will expire on the date identified on the certificate. A dispensary licensee will receive written or electronic notice 90 days before the expiration of its certificate of operation. The dispensary licensee must submit the renewal information at least 45 days prior to the date the existing certificate expires. A processor or cultivator licensee must submit the renewal application at least 30 days prior to the expiration date of the certificate of operation. If a licensee’s renewal application is not filed prior to the expiration date of the certificate of operation, the certificate of operation will be suspended for a maximum of 30 days. After 30 days, if the licensee has not successfully renewed the certificate of operation, including the payment of all applicable fees, the certificate of operations will be deemed expired.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medical cultivation licenses permit the Company to acquire, possess, cultivate, manufacture/process into medical marijuana products, deliver, transfer, have tested, transport, supply or sell marijuana and related supplies to medical marijuana dispensaries.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medical processor license permits the Company to manufacture and produce medical marijuana products.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dispensary licenses will permit the Company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the Company with respect to its operations in Ohio.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Reporting Requirements</w:t>
      </w:r>
    </w:p>
    <w:p>
      <w:pPr>
        <w:spacing w:after="0" w:line="117"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Ohio uses METRC as its seed-to-sale tracking system. Licensees are required to use METRC in Ohio to push data to the state to meet all of the reporting requirements. The Company integrates its in-house seed-to-sale tracking system with METRC to capture the required data points as required in the Ohio medical marijuana laws and regulations.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The Pennsylvania medical marijuana program was signed into law on April 17, 2016 under Act 16 and provided access to state residents with one or more of 17 qualifying conditions, including: epilepsy, chronic pain and PTSD. The state originally awarded only 12 licenses to cultivate/process and 27 licenses to operate retail dispensaries (which entitled holders to up to three medical dispensary locations per retail license).</w:t>
      </w:r>
    </w:p>
    <w:p>
      <w:pPr>
        <w:spacing w:after="0" w:line="149"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from 17 to 21.</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There are two principal license categories in Pennsylvania: (1) cultivation/processing and (2) dispensary. The Company’s subsidiary GTI Pennsylvania, LLC is licensed to operate a medical cultivation/processing facility and is also licensed to operate medical retail locations. The Company’s subsidiary KW Ventures Holdings, LLC is also licensed to operate medical retail locations. All licenses are, as of the date hereof, active with the Commonwealth of Pennsylvania. The licenses are independently issued for each approved activity for use at the Company facilities in Pennsylvania.</w:t>
      </w:r>
    </w:p>
    <w:p>
      <w:pPr>
        <w:spacing w:after="0" w:line="157"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All cultivation/processing establishments and dispensaries must register with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marijuana program.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95"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The medical cultivation/processing licenses permit the Company to acquire, possess, cultivate, manufacture/process into medical marijuana products and/or medical marijuana-infused products, deliver, transfer, have tested, transport, supply or sell marijuana and related supplies to medical marijuana dispensaries.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retail dispensary licenses permit the Company to purchase marijuana and marijuana products from cultivation/processing facilities, as well as allow the sale of marijuana and marijuana products.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Appendix A to this Annual Report for a list of the licenses issued to the Company with respect to its operations in Pennsylvania.</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Pennsylvania Reporting Requirements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Pennsylvania uses MJ Freeway as the state’s computerized T&amp;T system for seed-to-sale reporting. Individual licensees are required to use MJ Freeway to push data to the state to meet all reporting requirements. The Company uses MJ Freeway as its in-house computerized seed-to-sale software, which integrates with the state’s MJ Freeway program and captures the required data points for cultivation, manufacturing and retail as required in the Pennsylvania medical marijuana laws and regulations.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jc w:val="both"/>
        <w:ind w:left="120" w:right="320" w:firstLine="991"/>
        <w:spacing w:after="0" w:line="311" w:lineRule="auto"/>
        <w:rPr>
          <w:sz w:val="20"/>
          <w:szCs w:val="20"/>
          <w:color w:val="auto"/>
        </w:rPr>
      </w:pPr>
      <w:r>
        <w:rPr>
          <w:rFonts w:ascii="Arial" w:cs="Arial" w:eastAsia="Arial" w:hAnsi="Arial"/>
          <w:sz w:val="16"/>
          <w:szCs w:val="16"/>
          <w:color w:val="auto"/>
        </w:rPr>
        <w:t>The Company is in compliance with applicable cannabis licensing requirements and the regulatory framework enacted by each state in which it operates. The Company is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149" w:lineRule="exact"/>
        <w:rPr>
          <w:sz w:val="20"/>
          <w:szCs w:val="20"/>
          <w:color w:val="auto"/>
        </w:rPr>
      </w:pPr>
    </w:p>
    <w:p>
      <w:pPr>
        <w:jc w:val="both"/>
        <w:ind w:left="120" w:right="620" w:firstLine="991"/>
        <w:spacing w:after="0" w:line="263" w:lineRule="auto"/>
        <w:rPr>
          <w:sz w:val="20"/>
          <w:szCs w:val="20"/>
          <w:color w:val="auto"/>
        </w:rPr>
      </w:pPr>
      <w:r>
        <w:rPr>
          <w:rFonts w:ascii="Arial" w:cs="Arial" w:eastAsia="Arial" w:hAnsi="Arial"/>
          <w:sz w:val="18"/>
          <w:szCs w:val="18"/>
          <w:color w:val="auto"/>
        </w:rPr>
        <w:t>The Company has in place a detailed compliance program and an internal legal and compliance department and is building out its operational compliance team across all states in which it operates. The Company also has external state and local regulatory/compliance counsel engaged in every jurisdiction in which it operates.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provides training for all employees, including on the following topics:</w:t>
      </w:r>
    </w:p>
    <w:p>
      <w:pPr>
        <w:spacing w:after="0" w:line="131" w:lineRule="exact"/>
        <w:rPr>
          <w:sz w:val="20"/>
          <w:szCs w:val="20"/>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The Company emphasizes security and inventory control to ensure strict monitoring of cannabis and inventory, from delivery by a licensed distributor to sale or disposal. Only authorized, properly trained employees are allowed to access the Company’s computerized seed-to-sale system.</w:t>
      </w:r>
    </w:p>
    <w:p>
      <w:pPr>
        <w:spacing w:after="0" w:line="12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Company monitors all compliance notifications from the regulators and inspectors in each market and timely resolves any issues identified. The Company keeps records of all compliance notifications received from the state regulators or inspectors, as well as how and when an issue was resolved. Moreover, the Company monitors news sources for information regarding developments at the state and federal level relating to the regulation and criminalization of cannabis.</w:t>
      </w:r>
    </w:p>
    <w:p>
      <w:pPr>
        <w:spacing w:after="0" w:line="187"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Further, the Company has created comprehensive standard operating procedures that include detailed descriptions and instructions for receiving shipments of inventory, inventory tracking, recordkeeping and record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retention practices related to inventory. The Company also has comprehensive standard operating procedures in place for performing inventory reconciliation, and ensuring the accuracy of inventory tracking and recordkeeping. The Company maintains accurate records of its inventory at all licensed facilities. Adherence to the Company’s standard operating procedures is mandatory and ensures that the Company’s operations are compliant with the rules set forth by the applicable state and local laws, regulations, ordinances, licenses and other requirements. The Company ensures adherence to standard operating procedures by regularly conducting internal inspections and ensures that any issues identified are resolved quickly and thoroughly.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(the “</w:t>
      </w:r>
      <w:r>
        <w:rPr>
          <w:rFonts w:ascii="Arial" w:cs="Arial" w:eastAsia="Arial" w:hAnsi="Arial"/>
          <w:sz w:val="17"/>
          <w:szCs w:val="17"/>
          <w:b w:val="1"/>
          <w:bCs w:val="1"/>
          <w:color w:val="auto"/>
        </w:rPr>
        <w:t>Cole Memorandum</w:t>
      </w:r>
      <w:r>
        <w:rPr>
          <w:rFonts w:ascii="Arial" w:cs="Arial" w:eastAsia="Arial" w:hAnsi="Arial"/>
          <w:sz w:val="17"/>
          <w:szCs w:val="17"/>
          <w:color w:val="auto"/>
        </w:rPr>
        <w:t>”) outlining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 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78" w:lineRule="exact"/>
        <w:rPr>
          <w:sz w:val="20"/>
          <w:szCs w:val="20"/>
          <w:color w:val="auto"/>
        </w:rPr>
      </w:pPr>
    </w:p>
    <w:p>
      <w:pPr>
        <w:ind w:left="120" w:right="160" w:firstLine="991"/>
        <w:spacing w:after="0" w:line="289" w:lineRule="auto"/>
        <w:rPr>
          <w:sz w:val="20"/>
          <w:szCs w:val="20"/>
          <w:color w:val="auto"/>
        </w:rPr>
      </w:pPr>
      <w:r>
        <w:rPr>
          <w:rFonts w:ascii="Arial" w:cs="Arial" w:eastAsia="Arial" w:hAnsi="Arial"/>
          <w:sz w:val="16"/>
          <w:szCs w:val="16"/>
          <w:color w:val="auto"/>
        </w:rPr>
        <w:t>On January 4, 2018, former U.S. Attorney General Jeff Sessions issued a new memorandum (the “</w:t>
      </w:r>
      <w:r>
        <w:rPr>
          <w:rFonts w:ascii="Arial" w:cs="Arial" w:eastAsia="Arial" w:hAnsi="Arial"/>
          <w:sz w:val="16"/>
          <w:szCs w:val="16"/>
          <w:b w:val="1"/>
          <w:bCs w:val="1"/>
          <w:color w:val="auto"/>
        </w:rPr>
        <w:t>Sessions Memorandum</w:t>
      </w:r>
      <w:r>
        <w:rPr>
          <w:rFonts w:ascii="Arial" w:cs="Arial" w:eastAsia="Arial" w:hAnsi="Arial"/>
          <w:sz w:val="16"/>
          <w:szCs w:val="16"/>
          <w:color w:val="auto"/>
        </w:rPr>
        <w:t>”),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The Company is not aware of any prosecutions of investment companies doing routine business with licensed marijuana related businesses in light of the new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70"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the Company believes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DOJ and the current administration. It is also possible that the revocation of the Cole Memorandum could motivate Congress to reconcile federal and state laws. Indeed, the U.S. House Judiciary Committee approved a bill on November 20, 2019 that removes cannabis from Schedule I of the CSA.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On June 7, 2018, the Strengthening the Tenth Amendment Through Entrusting States Act (the “</w:t>
      </w:r>
      <w:r>
        <w:rPr>
          <w:rFonts w:ascii="Arial" w:cs="Arial" w:eastAsia="Arial" w:hAnsi="Arial"/>
          <w:sz w:val="17"/>
          <w:szCs w:val="17"/>
          <w:b w:val="1"/>
          <w:bCs w:val="1"/>
          <w:color w:val="auto"/>
        </w:rPr>
        <w:t>STATES Act</w:t>
      </w:r>
      <w:r>
        <w:rPr>
          <w:rFonts w:ascii="Arial" w:cs="Arial" w:eastAsia="Arial" w:hAnsi="Arial"/>
          <w:sz w:val="17"/>
          <w:szCs w:val="17"/>
          <w:color w:val="auto"/>
        </w:rPr>
        <w: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CSA, as applied to marijuana, “</w:t>
      </w:r>
      <w:r>
        <w:rPr>
          <w:rFonts w:ascii="Arial" w:cs="Arial" w:eastAsia="Arial" w:hAnsi="Arial"/>
          <w:sz w:val="17"/>
          <w:szCs w:val="17"/>
          <w:i w:val="1"/>
          <w:iCs w:val="1"/>
          <w:color w:val="auto"/>
        </w:rPr>
        <w:t>shall not apply to any person acting in compliance with state law relating to the manufacture, production, possession, 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dispensation, administration, or delivery of marihuana</w:t>
      </w:r>
      <w:r>
        <w:rPr>
          <w:rFonts w:ascii="Arial" w:cs="Arial" w:eastAsia="Arial" w:hAnsi="Arial"/>
          <w:sz w:val="17"/>
          <w:szCs w:val="17"/>
          <w:color w:val="auto"/>
        </w:rPr>
        <w:t>.” Even though marijuana will remain within Schedule I of the CSA under the STATES Act, the</w:t>
      </w:r>
      <w:r>
        <w:rPr>
          <w:rFonts w:ascii="Arial" w:cs="Arial" w:eastAsia="Arial" w:hAnsi="Arial"/>
          <w:sz w:val="17"/>
          <w:szCs w:val="17"/>
          <w:i w:val="1"/>
          <w:iCs w:val="1"/>
          <w:color w:val="auto"/>
        </w:rPr>
        <w:t xml:space="preserve"> </w:t>
      </w:r>
      <w:r>
        <w:rPr>
          <w:rFonts w:ascii="Arial" w:cs="Arial" w:eastAsia="Arial" w:hAnsi="Arial"/>
          <w:sz w:val="17"/>
          <w:szCs w:val="17"/>
          <w:color w:val="auto"/>
        </w:rPr>
        <w:t>bill makes the CSA unenforceable to the extent it conflicts with state law. In essence, the bill extends the limitations afforded by the protection within the federal budget – which prevents the DOJ and the DEA from using funds to enforce federal law against state-legal medical cannabis commercial activity – 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7"/>
          <w:szCs w:val="17"/>
          <w:i w:val="1"/>
          <w:iCs w:val="1"/>
          <w:color w:val="auto"/>
        </w:rPr>
        <w:t>the powers not delegated to the United States by the Constitution, nor prohibited by it to the States, 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reserved to the States respectively, or to the people.” </w:t>
      </w:r>
      <w:r>
        <w:rPr>
          <w:rFonts w:ascii="Arial" w:cs="Arial" w:eastAsia="Arial" w:hAnsi="Arial"/>
          <w:sz w:val="17"/>
          <w:szCs w:val="17"/>
          <w:color w:val="auto"/>
        </w:rPr>
        <w:t>Under the STATES Act companies operating legal cannabis businesses would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“trafficking” under the CSA,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86"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w:t>
      </w:r>
      <w:r>
        <w:rPr>
          <w:rFonts w:ascii="Arial" w:cs="Arial" w:eastAsia="Arial" w:hAnsi="Arial"/>
          <w:sz w:val="17"/>
          <w:szCs w:val="17"/>
          <w:b w:val="1"/>
          <w:bCs w:val="1"/>
          <w:color w:val="auto"/>
        </w:rPr>
        <w:t>Rohrabacher-Blumenauer</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to prevent the federal government from using congressionally appropriated funds to enforce federal cannabis laws against regulated</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82"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Despite the rescission of the Cole Memorandum, the DOJ appears to continue to adhere to the enforcement priorities set forth in the Core Memorandum. Accordingly, as an industry best practice, the Company continues to employ the following policies to ensure compliance with the guidance provided by the Cole Memorandum:</w:t>
      </w:r>
    </w:p>
    <w:p>
      <w:pPr>
        <w:spacing w:after="0" w:line="89" w:lineRule="exact"/>
        <w:rPr>
          <w:sz w:val="20"/>
          <w:szCs w:val="20"/>
          <w:color w:val="auto"/>
        </w:rPr>
      </w:pPr>
    </w:p>
    <w:p>
      <w:pPr>
        <w:ind w:left="2200" w:right="40" w:hanging="545"/>
        <w:spacing w:after="0" w:line="259" w:lineRule="auto"/>
        <w:tabs>
          <w:tab w:leader="none" w:pos="2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compliant with all licensing requirements as established by the applicable state, county, municipality, town, township, borough and other political/administrative divisions; to this end, the Company retains appropriately experienced legal counsel to conduct the necessary due diligence to ensure compliance of such operations with all applicable state and local laws;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right="20" w:hanging="545"/>
        <w:spacing w:after="0" w:line="259" w:lineRule="auto"/>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cannabis-related activities adhere to the scope of the licensing obtained – 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92" w:lineRule="exact"/>
        <w:rPr>
          <w:rFonts w:ascii="Arial" w:cs="Arial" w:eastAsia="Arial" w:hAnsi="Arial"/>
          <w:sz w:val="18"/>
          <w:szCs w:val="18"/>
          <w:color w:val="auto"/>
        </w:rPr>
      </w:pPr>
    </w:p>
    <w:p>
      <w:pPr>
        <w:ind w:left="2200" w:right="300" w:hanging="545"/>
        <w:spacing w:after="0" w:line="263" w:lineRule="auto"/>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only works through licensed operators, which must pass a range of requirements, adhere to strict business practice standards and be subject to strict regulatory oversight to ensure that no revenue is distributed to criminal enterprises, gangs or cartels;</w:t>
      </w:r>
    </w:p>
    <w:p>
      <w:pPr>
        <w:spacing w:after="0" w:line="89" w:lineRule="exact"/>
        <w:rPr>
          <w:rFonts w:ascii="Arial" w:cs="Arial" w:eastAsia="Arial" w:hAnsi="Arial"/>
          <w:sz w:val="18"/>
          <w:szCs w:val="18"/>
          <w:color w:val="auto"/>
        </w:rPr>
      </w:pPr>
    </w:p>
    <w:p>
      <w:pPr>
        <w:ind w:left="2200" w:right="100" w:hanging="545"/>
        <w:spacing w:after="0" w:line="263" w:lineRule="auto"/>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9" w:lineRule="exact"/>
        <w:rPr>
          <w:rFonts w:ascii="Arial" w:cs="Arial" w:eastAsia="Arial" w:hAnsi="Arial"/>
          <w:sz w:val="18"/>
          <w:szCs w:val="18"/>
          <w:color w:val="auto"/>
        </w:rPr>
      </w:pPr>
    </w:p>
    <w:p>
      <w:pPr>
        <w:ind w:left="2200" w:right="20" w:hanging="545"/>
        <w:spacing w:after="0" w:line="263" w:lineRule="auto"/>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state-authorized cannabis business activity is not used as a cover or pretense for trafficking of other illegal drugs, and the Company is not engaged in any other illegal activity or any activities that are contrary to any applicable anti-money laundering statutes; and</w:t>
      </w:r>
    </w:p>
    <w:p>
      <w:pPr>
        <w:spacing w:after="0" w:line="89" w:lineRule="exact"/>
        <w:rPr>
          <w:rFonts w:ascii="Arial" w:cs="Arial" w:eastAsia="Arial" w:hAnsi="Arial"/>
          <w:sz w:val="18"/>
          <w:szCs w:val="18"/>
          <w:color w:val="auto"/>
        </w:rPr>
      </w:pPr>
    </w:p>
    <w:p>
      <w:pPr>
        <w:ind w:left="2200" w:right="440" w:hanging="545"/>
        <w:spacing w:after="0" w:line="263" w:lineRule="auto"/>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conducts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4"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The Cole Memorandum and the Rohrabacher-Blumenauer Amendment gave licensed cannabis operators (particularly medical cannabis operators) and investors in states with legal regimes greater certainty regarding the DOJ’s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 growers of marijuana for research and acknowledged that the Farm Bill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CSA with respect to cannabis (and as to the timing or scope of any such potential amendments there can be no assurance), there is a risk that federal authorities may enforce current U.S. federal law criminalizing cannabis.</w:t>
      </w:r>
    </w:p>
    <w:p>
      <w:pPr>
        <w:spacing w:after="0" w:line="182"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Company will continue to monitor compliance on an ongoing basis in accordance with its compliance program and standard operating procedures. While the Company’s operations are in full compliance with all applicable state laws, regulations and licensing requirements, such activities remain illegal under federal law. For the reasons described above and the risks further described in Item 1A—“Risk Factors,” there are significant risks associated with the business of the Company. Readers of this Form are strongly encouraged to carefully read all of the risk factors contained in Item 1A —“Risk Factors.”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120" w:right="440" w:firstLine="991"/>
        <w:spacing w:after="0" w:line="263" w:lineRule="auto"/>
        <w:rPr>
          <w:sz w:val="20"/>
          <w:szCs w:val="20"/>
          <w:color w:val="auto"/>
        </w:rPr>
      </w:pPr>
      <w:r>
        <w:rPr>
          <w:rFonts w:ascii="Arial" w:cs="Arial" w:eastAsia="Arial" w:hAnsi="Arial"/>
          <w:sz w:val="18"/>
          <w:szCs w:val="18"/>
          <w:color w:val="auto"/>
        </w:rPr>
        <w:t>Due to the present state of the laws and regulations governing financial institutions in the U.S., banks often refuse to provide banking services to businesses involved in the marijuana industry. Consequently, it may be difficult for the Company to obtain financing from large U.S. financial institutions.</w:t>
      </w:r>
    </w:p>
    <w:p>
      <w:pPr>
        <w:spacing w:after="0" w:line="184"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The Company has historically, and continues to have, access to equity and debt financing from non-public (i.e., private placement) markets. The Company’s executive team and Board of Directors (the “Board”) have extensive relationships with sources of capital (such as funds and high net worth individuals).</w:t>
      </w:r>
    </w:p>
    <w:p>
      <w:pPr>
        <w:spacing w:after="0" w:line="18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In addition to the Company’s working capital, the Company continues to generate adequate cash to fund its operations from capital raising transactions, including:</w:t>
      </w:r>
    </w:p>
    <w:p>
      <w:pPr>
        <w:spacing w:after="0" w:line="76" w:lineRule="exact"/>
        <w:rPr>
          <w:sz w:val="20"/>
          <w:szCs w:val="20"/>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and</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$39.6 million sale and lease back transaction with IIP for the Danville, Pennsylvania facility in November 2019.</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$7.2 million sale and leaseback transaction with IIP for the Toledo, Ohio facility in January 2020.</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$50.0 million sale and lease back transaction with IIP for the Oglesby, Illinois facility in March 2020.</w:t>
      </w:r>
    </w:p>
    <w:p>
      <w:pPr>
        <w:spacing w:after="0" w:line="225"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The Company’s business plan continues to include aggressive growth, both in the form of additional acquisitions and through facility expansion and improvements. Accordingly, the Company expects to raise additional capital, both in the form of debt and new equity offerings during the next few years.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However, there can be no assurance that additional financing will be available to the Company when needed or on terms which 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acceptable.</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3"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The U.S. Department of the Treasury’s Financial Crimes Enforcement Network (“</w:t>
      </w:r>
      <w:r>
        <w:rPr>
          <w:rFonts w:ascii="Arial" w:cs="Arial" w:eastAsia="Arial" w:hAnsi="Arial"/>
          <w:sz w:val="17"/>
          <w:szCs w:val="17"/>
          <w:b w:val="1"/>
          <w:bCs w:val="1"/>
          <w:color w:val="auto"/>
        </w:rPr>
        <w:t>FinCEN</w:t>
      </w:r>
      <w:r>
        <w:rPr>
          <w:rFonts w:ascii="Arial" w:cs="Arial" w:eastAsia="Arial" w:hAnsi="Arial"/>
          <w:sz w:val="17"/>
          <w:szCs w:val="17"/>
          <w:color w:val="auto"/>
        </w:rPr>
        <w:t>”) issued a memorandum on February 14, 2014 (the “</w:t>
      </w:r>
      <w:r>
        <w:rPr>
          <w:rFonts w:ascii="Arial" w:cs="Arial" w:eastAsia="Arial" w:hAnsi="Arial"/>
          <w:sz w:val="17"/>
          <w:szCs w:val="17"/>
          <w:b w:val="1"/>
          <w:bCs w:val="1"/>
          <w:color w:val="auto"/>
        </w:rPr>
        <w:t>FinCEN Memorandum</w:t>
      </w:r>
      <w:r>
        <w:rPr>
          <w:rFonts w:ascii="Arial" w:cs="Arial" w:eastAsia="Arial" w:hAnsi="Arial"/>
          <w:sz w:val="17"/>
          <w:szCs w:val="17"/>
          <w:color w:val="auto"/>
        </w:rPr>
        <w:t>”)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w:t>
      </w:r>
      <w:r>
        <w:rPr>
          <w:rFonts w:ascii="Arial" w:cs="Arial" w:eastAsia="Arial" w:hAnsi="Arial"/>
          <w:sz w:val="17"/>
          <w:szCs w:val="17"/>
          <w:b w:val="1"/>
          <w:bCs w:val="1"/>
          <w:color w:val="auto"/>
        </w:rPr>
        <w:t>SAR</w:t>
      </w:r>
      <w:r>
        <w:rPr>
          <w:rFonts w:ascii="Arial" w:cs="Arial" w:eastAsia="Arial" w:hAnsi="Arial"/>
          <w:sz w:val="17"/>
          <w:szCs w:val="17"/>
          <w:color w:val="auto"/>
        </w:rPr>
        <w:t>”) in connection with all cannabis-related banking activities by any client of such financial institution, in accordance with federal money laundering laws. These cannabis-related SARs are divided into three categories – cannabis limited, cannabis priority, and cannabis terminated – based on the financial institution’s belief that the business in question follows state law, is operating outside of compliance with state law, or where the banking relationship has been terminated,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96"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61"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Company may have limited or no access to banking or other financial services in the United States. In addition, federal money laundering statutes and regulations under the U.S. Currency and Foreign Transactions Reporting Act of 1970 (commonly known as the “</w:t>
      </w:r>
      <w:r>
        <w:rPr>
          <w:rFonts w:ascii="Arial" w:cs="Arial" w:eastAsia="Arial" w:hAnsi="Arial"/>
          <w:sz w:val="16"/>
          <w:szCs w:val="16"/>
          <w:b w:val="1"/>
          <w:bCs w:val="1"/>
          <w:color w:val="auto"/>
        </w:rPr>
        <w:t>Bank Secrecy Act</w:t>
      </w:r>
      <w:r>
        <w:rPr>
          <w:rFonts w:ascii="Arial" w:cs="Arial" w:eastAsia="Arial" w:hAnsi="Arial"/>
          <w:sz w:val="16"/>
          <w:szCs w:val="16"/>
          <w:color w:val="auto"/>
        </w:rPr>
        <w:t>”), as amended by Title III of the Uniting and Strengthening America by Providing Appropriate Tools Required to Intercept and Obstruct Terrorism Act of 2001 (the “</w:t>
      </w:r>
      <w:r>
        <w:rPr>
          <w:rFonts w:ascii="Arial" w:cs="Arial" w:eastAsia="Arial" w:hAnsi="Arial"/>
          <w:sz w:val="16"/>
          <w:szCs w:val="16"/>
          <w:b w:val="1"/>
          <w:bCs w:val="1"/>
          <w:color w:val="auto"/>
        </w:rPr>
        <w:t>USA Patriot Act</w:t>
      </w:r>
      <w:r>
        <w:rPr>
          <w:rFonts w:ascii="Arial" w:cs="Arial" w:eastAsia="Arial" w:hAnsi="Arial"/>
          <w:sz w:val="16"/>
          <w:szCs w:val="16"/>
          <w:color w:val="auto"/>
        </w:rPr>
        <w:t>”), discourage financial institutions from working with any organization that sells a controlled substance, regardless of whether the state it operates in permits cannabis sales. The inability or limitation of the Company’s ability to open or maintain bank accounts, obtain other banking services and/or accept credit card and debit card payments may make it difficult for the Company to operate and conduct its business as planned or to operate efficiently.</w:t>
      </w:r>
    </w:p>
    <w:p>
      <w:pPr>
        <w:spacing w:after="0" w:line="172"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Secure and Fair Enforcement (SAFE) Banking Act of 2019 (the “</w:t>
      </w:r>
      <w:r>
        <w:rPr>
          <w:rFonts w:ascii="Arial" w:cs="Arial" w:eastAsia="Arial" w:hAnsi="Arial"/>
          <w:sz w:val="16"/>
          <w:szCs w:val="16"/>
          <w:b w:val="1"/>
          <w:bCs w:val="1"/>
          <w:color w:val="auto"/>
        </w:rPr>
        <w:t>SAFE Banking Act</w:t>
      </w:r>
      <w:r>
        <w:rPr>
          <w:rFonts w:ascii="Arial" w:cs="Arial" w:eastAsia="Arial" w:hAnsi="Arial"/>
          <w:sz w:val="16"/>
          <w:szCs w:val="16"/>
          <w:color w:val="auto"/>
        </w:rPr>
        <w: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The Company’s business activities rely on newly established and/or developing laws and regulations in the states in which it operates. These laws and regulations are rapidly evolving and subject to change with minimal notice. Regulatory changes may adversely affect the Company’s profitability or cause it to cease operations entirely. The cannabis industry may come under further scrutiny by the FDA, the SEC, the DOJ,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the business and operations of the Company, including without limitation, the costs to remain compliant with applicable laws and the impairment of its business or the ability to raise additional capital.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Marijuana remains illegal under federal law, and enforcement of cannabis laws could change.</w:t>
      </w:r>
    </w:p>
    <w:p>
      <w:pPr>
        <w:spacing w:after="0" w:line="113"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b w:val="1"/>
          <w:bCs w:val="1"/>
          <w:color w:val="auto"/>
        </w:rPr>
        <w:t>Cannabis is illegal under U.S. federal law</w:t>
      </w:r>
      <w:r>
        <w:rPr>
          <w:rFonts w:ascii="Arial" w:cs="Arial" w:eastAsia="Arial" w:hAnsi="Arial"/>
          <w:sz w:val="18"/>
          <w:szCs w:val="18"/>
          <w:color w:val="auto"/>
        </w:rPr>
        <w:t>. In those states in which the use of cannabis has been legalized, its use remains a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federal law pursuant to the CSA. The CSA classifies cannabis as a Schedule I controlled substance, and as such, medical and adult use cannabis use is illegal under U.S. federal law. Unless and until Congress amends the CSA with respect to cannabis (and the President approves such amendment), there is a risk that federal authorities may enforce current federal law. If that occurs, the Company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8"/>
          <w:szCs w:val="18"/>
          <w:b w:val="1"/>
          <w:bCs w:val="1"/>
          <w:color w:val="auto"/>
        </w:rPr>
        <w:t xml:space="preserve">enforcement of federal law regarding cannabis is a significant risk </w:t>
      </w:r>
      <w:r>
        <w:rPr>
          <w:rFonts w:ascii="Arial" w:cs="Arial" w:eastAsia="Arial" w:hAnsi="Arial"/>
          <w:sz w:val="18"/>
          <w:szCs w:val="18"/>
          <w:color w:val="auto"/>
        </w:rPr>
        <w:t>and would greatly harm the Company’s business, prospects, revenue,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financial condition.</w:t>
      </w:r>
    </w:p>
    <w:p>
      <w:pPr>
        <w:spacing w:after="0" w:line="193" w:lineRule="exact"/>
        <w:rPr>
          <w:sz w:val="20"/>
          <w:szCs w:val="20"/>
          <w:color w:val="auto"/>
        </w:rPr>
      </w:pPr>
    </w:p>
    <w:p>
      <w:pPr>
        <w:ind w:left="120" w:right="180" w:firstLine="991"/>
        <w:spacing w:after="0" w:line="301" w:lineRule="auto"/>
        <w:rPr>
          <w:sz w:val="20"/>
          <w:szCs w:val="20"/>
          <w:color w:val="auto"/>
        </w:rPr>
      </w:pPr>
      <w:r>
        <w:rPr>
          <w:rFonts w:ascii="Arial" w:cs="Arial" w:eastAsia="Arial" w:hAnsi="Arial"/>
          <w:sz w:val="16"/>
          <w:szCs w:val="16"/>
          <w:color w:val="auto"/>
        </w:rPr>
        <w:t>The activities of the Company are, and will continue to be, subject to evolving regulation by governmental authorities. The Company is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57" w:lineRule="exact"/>
        <w:rPr>
          <w:sz w:val="20"/>
          <w:szCs w:val="20"/>
          <w:color w:val="auto"/>
        </w:rPr>
      </w:pPr>
    </w:p>
    <w:p>
      <w:pPr>
        <w:ind w:left="120" w:right="20" w:firstLine="991"/>
        <w:spacing w:after="0" w:line="301" w:lineRule="auto"/>
        <w:rPr>
          <w:sz w:val="20"/>
          <w:szCs w:val="20"/>
          <w:color w:val="auto"/>
        </w:rPr>
      </w:pPr>
      <w:r>
        <w:rPr>
          <w:rFonts w:ascii="Arial" w:cs="Arial" w:eastAsia="Arial" w:hAnsi="Arial"/>
          <w:sz w:val="16"/>
          <w:szCs w:val="16"/>
          <w:color w:val="auto"/>
        </w:rPr>
        <w:t>As of December 31, 2019, there are 33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Alaska, California, Colorado, Illinois (beginning on January 1, 2020), Maine, Massachusetts, Michigan, Nevada, Oregon, Vermont, Washington and the District of Columbia have legalized cannabis for adult use.</w:t>
      </w:r>
    </w:p>
    <w:p>
      <w:pPr>
        <w:spacing w:after="0" w:line="157"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The Company’s activities in the medical and adult use cannabis industry may be illegal under the applicable federal laws of the United States. There can be no assurances that the federal government of the United States will not seek to enforce the applicable laws against the Company. The consequences of such enforcement would be materially adverse to the Company and the Company’s business, including its reputation, profitability and the market price of its publicly traded shares, and could result in the forfeiture or seizure of all or substantially all of the Company’s assets.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71" w:lineRule="auto"/>
        <w:rPr>
          <w:sz w:val="20"/>
          <w:szCs w:val="20"/>
          <w:color w:val="auto"/>
        </w:rPr>
      </w:pPr>
      <w:r>
        <w:rPr>
          <w:rFonts w:ascii="Arial" w:cs="Arial" w:eastAsia="Arial" w:hAnsi="Arial"/>
          <w:sz w:val="17"/>
          <w:szCs w:val="17"/>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the Cole Memorandum that Deputy Attorney General James Cole sent to all U.S. Attorneys in August 2013, which outlined certain priorities for the DOJ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78"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On January 4, 2018, former U.S. Attorney General Jeff Sessions formally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71" w:lineRule="exact"/>
        <w:rPr>
          <w:sz w:val="20"/>
          <w:szCs w:val="20"/>
          <w:color w:val="auto"/>
        </w:rPr>
      </w:pPr>
    </w:p>
    <w:p>
      <w:pPr>
        <w:ind w:left="120" w:right="340" w:firstLine="991"/>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Jeff Sessions resigned as U.S. Attorney General on November 7, 2018. On February 14, 2019, William Barr was confirmed as U.S. Attorney General. It is unclear what impact this development will have on U.S. federal government enforcement policy.</w:t>
      </w:r>
    </w:p>
    <w:p>
      <w:pPr>
        <w:spacing w:after="0" w:line="187"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the Company or third parties and divert the attention of key executives. Such proceedings could also have a material adverse effect on the Company’s business, prospects, revenue, results of operation and financial condition, as well as the Company’s reputation, even if such proceedings were concluded successfully in favor of the Company. Further, there is no guarantee that draft legislation such as the STATES Act will become law in its current form.</w:t>
      </w:r>
    </w:p>
    <w:p>
      <w:pPr>
        <w:spacing w:after="0" w:line="177"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the Company.</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subject to action by the U.S. federal government.</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Since the cultivation, processing, production, distribution and sale of cannabis for any purpose, medical, adult use or otherwise, remain illegal under U.S. federal law, it is possible that the Company may be forced to cease activities. The U.S. federal government, through, among others, the DOJ, its sub-agency the Drug Enforcement Administration (“</w:t>
      </w:r>
      <w:r>
        <w:rPr>
          <w:rFonts w:ascii="Arial" w:cs="Arial" w:eastAsia="Arial" w:hAnsi="Arial"/>
          <w:sz w:val="16"/>
          <w:szCs w:val="16"/>
          <w:b w:val="1"/>
          <w:bCs w:val="1"/>
          <w:color w:val="auto"/>
        </w:rPr>
        <w:t>DEA</w:t>
      </w:r>
      <w:r>
        <w:rPr>
          <w:rFonts w:ascii="Arial" w:cs="Arial" w:eastAsia="Arial" w:hAnsi="Arial"/>
          <w:sz w:val="16"/>
          <w:szCs w:val="16"/>
          <w:color w:val="auto"/>
        </w:rPr>
        <w:t>”) and the U.S.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has the right to actively investigate, audit and shut down cannabis growing facilities, processors and retailers. The U.S. federal government may also attempt to seize the property of the Company. Any action taken by the DOJ, the DEA and/or the IRS to interfere with, seize or shut down the operations of the Company will have an adverse effect on the Company’s business, prospects, revenue, results of operation and financial condition.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marijuana related businesses that are operating in compliance with state law, the stated position of the current administration is hostile to legal cannabis. As the recession of the Cole Memorandum and the implementation of the Sessions Memorandum demonstrate, the DOJ may at any time issue additional guidance that directs federal prosecutors to devote more resources to prosecuting marijuana related businesses. In the event that the DOJ under U.S. Attorney General Barr aggressively pursues financiers or equity owners of cannabis-related businesses, and U.S. Attorneys follow the DOJ policies through pursuing prosecutions, then the Company could face:</w:t>
      </w:r>
    </w:p>
    <w:p>
      <w:pPr>
        <w:spacing w:after="0" w:line="72" w:lineRule="exact"/>
        <w:rPr>
          <w:sz w:val="20"/>
          <w:szCs w:val="20"/>
          <w:color w:val="auto"/>
        </w:rPr>
      </w:pPr>
    </w:p>
    <w:p>
      <w:pPr>
        <w:ind w:left="1740" w:hanging="531"/>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seizure of its cash and other assets used to support or derived from its cannabis subsidiaries;</w:t>
      </w:r>
    </w:p>
    <w:p>
      <w:pPr>
        <w:spacing w:after="0" w:line="130" w:lineRule="exact"/>
        <w:rPr>
          <w:rFonts w:ascii="Arial" w:cs="Arial" w:eastAsia="Arial" w:hAnsi="Arial"/>
          <w:sz w:val="18"/>
          <w:szCs w:val="18"/>
          <w:color w:val="auto"/>
        </w:rPr>
      </w:pPr>
    </w:p>
    <w:p>
      <w:pPr>
        <w:ind w:left="1740" w:hanging="531"/>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arrest of its employees, directors, officers, managers and investors; and</w:t>
      </w:r>
    </w:p>
    <w:p>
      <w:pPr>
        <w:spacing w:after="0" w:line="130" w:lineRule="exact"/>
        <w:rPr>
          <w:rFonts w:ascii="Arial" w:cs="Arial" w:eastAsia="Arial" w:hAnsi="Arial"/>
          <w:sz w:val="18"/>
          <w:szCs w:val="18"/>
          <w:color w:val="auto"/>
        </w:rPr>
      </w:pPr>
    </w:p>
    <w:p>
      <w:pPr>
        <w:ind w:left="1740" w:hanging="531"/>
        <w:spacing w:after="0" w:line="263"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ancillary criminal violations of the CSA for aiding and abetting, and conspiracy to violate the CSA by providing financial support to cannabis companies that service or provide goods to state-licensed or permitted cultivators, processors, distributors and/or retailers of cannabis.</w:t>
      </w:r>
    </w:p>
    <w:p>
      <w:pPr>
        <w:spacing w:after="0" w:line="184"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Because the Cole Memorandum was rescinded, the DOJ under the current administration or an aggressive federal prosecutor could allege that the Company, its Board and it’s executive officers and, potentially, its shareholders, “aided and abetted” violations of federal law by providing finances and services to its portfolio cannabis companies. Under these circumstances, federal prosecutors could seek to seize the assets of the Company, and to recover the “illicit profits” previously distributed to shareholders resulting from any of the Company’s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Additionally, there can be no assurance as to the position any new administration may take on marijuana, and a new administration could decide to enforce the federal laws strongly. Any enforcement of current federal marijuana laws could cause significant financial damage to the Company and its shareholders. Further, future presidential administrations may choose to treat marijuana differently and potentially enforce the federal laws more aggressively.</w:t>
      </w:r>
    </w:p>
    <w:p>
      <w:pPr>
        <w:spacing w:after="0" w:line="187"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the Company, including its reputation and ability to conduct business, its holding (directly or indirectly) of cannabis licenses in the United States, the listing of its securities on various stock exchanges, its financial position, operating results, profitability or liquidity or the market price of its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Federal actions against any individual or entity engaged in the cannabis industry or a substantial repeal of cannabis related legislation could adversely affect the Company, its business and its assets or investments.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regulatory approvals can be costly and time-consuming. No assurance can be given that the Company will receive the requisite licenses, permits or cards to continue operating its businesses.</w:t>
      </w:r>
    </w:p>
    <w:p>
      <w:pPr>
        <w:spacing w:after="0" w:line="192"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7"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49"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The Company currently operates in California, Colorado, Connecticut, Florida, Illinois, Maryland, Massachusetts, Nevada, New Jersey, New York, Ohio and Pennsylvania and intends to operate in other states as deemed appropriate by management.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State regulatory agencies may require the Company to post bonds or significant fees.</w:t>
      </w:r>
    </w:p>
    <w:p>
      <w:pPr>
        <w:spacing w:after="0" w:line="117"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Company is not able to quantify at this time the potential scope of such bonds or fees in the states in which it currently operates or may in the future operate. Any bonds or fees of material amounts could have a negative impact on the ultimate success of the Company’s business.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subject to heightened scrutiny by Canadian regulatory authorities.</w:t>
      </w:r>
    </w:p>
    <w:p>
      <w:pPr>
        <w:spacing w:after="0" w:line="117" w:lineRule="exact"/>
        <w:rPr>
          <w:sz w:val="20"/>
          <w:szCs w:val="20"/>
          <w:color w:val="auto"/>
        </w:rPr>
      </w:pPr>
    </w:p>
    <w:p>
      <w:pPr>
        <w:ind w:left="120" w:right="60" w:firstLine="991"/>
        <w:spacing w:after="0" w:line="296" w:lineRule="auto"/>
        <w:rPr>
          <w:sz w:val="20"/>
          <w:szCs w:val="20"/>
          <w:color w:val="auto"/>
        </w:rPr>
      </w:pPr>
      <w:r>
        <w:rPr>
          <w:rFonts w:ascii="Arial" w:cs="Arial" w:eastAsia="Arial" w:hAnsi="Arial"/>
          <w:sz w:val="16"/>
          <w:szCs w:val="16"/>
          <w:color w:val="auto"/>
        </w:rPr>
        <w:t>Currently, the Company is traded on the CSE and on over-the-counter markets in the United States. The business, operations and investments of the Company in the United States, and any future business, operations or investments, may become the subject of heightened scrutiny by regulators, stock exchanges and other authorities in Canada and the United States.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61" w:lineRule="exact"/>
        <w:rPr>
          <w:sz w:val="20"/>
          <w:szCs w:val="20"/>
          <w:color w:val="auto"/>
        </w:rPr>
      </w:pPr>
    </w:p>
    <w:p>
      <w:pPr>
        <w:jc w:val="both"/>
        <w:ind w:left="120" w:right="280" w:firstLine="991"/>
        <w:spacing w:after="0" w:line="311"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t>
      </w:r>
      <w:r>
        <w:rPr>
          <w:rFonts w:ascii="Arial" w:cs="Arial" w:eastAsia="Arial" w:hAnsi="Arial"/>
          <w:sz w:val="16"/>
          <w:szCs w:val="16"/>
          <w:b w:val="1"/>
          <w:bCs w:val="1"/>
          <w:color w:val="auto"/>
        </w:rPr>
        <w:t>CDS</w:t>
      </w:r>
      <w:r>
        <w:rPr>
          <w:rFonts w:ascii="Arial" w:cs="Arial" w:eastAsia="Arial" w:hAnsi="Arial"/>
          <w:sz w:val="16"/>
          <w:szCs w:val="16"/>
          <w:color w:val="auto"/>
        </w:rPr>
        <w:t>”),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9"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0"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t>
      </w:r>
      <w:r>
        <w:rPr>
          <w:rFonts w:ascii="Arial" w:cs="Arial" w:eastAsia="Arial" w:hAnsi="Arial"/>
          <w:sz w:val="16"/>
          <w:szCs w:val="16"/>
          <w:b w:val="1"/>
          <w:bCs w:val="1"/>
          <w:color w:val="auto"/>
        </w:rPr>
        <w:t>MOU</w:t>
      </w:r>
      <w:r>
        <w:rPr>
          <w:rFonts w:ascii="Arial" w:cs="Arial" w:eastAsia="Arial" w:hAnsi="Arial"/>
          <w:sz w:val="16"/>
          <w:szCs w:val="16"/>
          <w:color w:val="auto"/>
        </w:rPr>
        <w:t>”) with Aequitas NEO Exchange Inc., the CSE, the Toronto Stock Exchange and the TSX Venture Exchange (“</w:t>
      </w:r>
      <w:r>
        <w:rPr>
          <w:rFonts w:ascii="Arial" w:cs="Arial" w:eastAsia="Arial" w:hAnsi="Arial"/>
          <w:sz w:val="16"/>
          <w:szCs w:val="16"/>
          <w:b w:val="1"/>
          <w:bCs w:val="1"/>
          <w:color w:val="auto"/>
        </w:rPr>
        <w:t>TSXV</w:t>
      </w:r>
      <w:r>
        <w:rPr>
          <w:rFonts w:ascii="Arial" w:cs="Arial" w:eastAsia="Arial" w:hAnsi="Arial"/>
          <w:sz w:val="16"/>
          <w:szCs w:val="16"/>
          <w:color w:val="auto"/>
        </w:rPr>
        <w:t>”).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face limitations on ownership of cannabis licenses.</w:t>
      </w:r>
    </w:p>
    <w:p>
      <w:pPr>
        <w:spacing w:after="0" w:line="117" w:lineRule="exact"/>
        <w:rPr>
          <w:sz w:val="20"/>
          <w:szCs w:val="20"/>
          <w:color w:val="auto"/>
        </w:rPr>
      </w:pPr>
    </w:p>
    <w:p>
      <w:pPr>
        <w:ind w:left="120" w:right="120" w:firstLine="991"/>
        <w:spacing w:after="0" w:line="273" w:lineRule="auto"/>
        <w:rPr>
          <w:sz w:val="20"/>
          <w:szCs w:val="20"/>
          <w:color w:val="auto"/>
        </w:rPr>
      </w:pPr>
      <w:r>
        <w:rPr>
          <w:rFonts w:ascii="Arial" w:cs="Arial" w:eastAsia="Arial" w:hAnsi="Arial"/>
          <w:sz w:val="17"/>
          <w:szCs w:val="17"/>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 The Company employs joint ventures from time to time to ensure continued compliance with the applicable regulatory guidelines. Currently, the Company has joint ventures with third parties in Connecticut, Illinois, Massachusetts and Ohio. The Company structures its joint ventures on a case-by-case basis but generally maintains operational control over the joint venture business and a variable economic interest through the applicable governing documents.</w:t>
      </w: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become subject to FDA or ATF regulation.</w:t>
      </w:r>
    </w:p>
    <w:p>
      <w:pPr>
        <w:spacing w:after="0" w:line="117"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FDA, it may have an adverse effect on the Company’s business, prospects, revenue, results of operation and financial condition.</w:t>
      </w:r>
    </w:p>
    <w:p>
      <w:pPr>
        <w:spacing w:after="0" w:line="165"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w:t>
      </w:r>
      <w:r>
        <w:rPr>
          <w:rFonts w:ascii="Arial" w:cs="Arial" w:eastAsia="Arial" w:hAnsi="Arial"/>
          <w:sz w:val="18"/>
          <w:szCs w:val="18"/>
          <w:b w:val="1"/>
          <w:bCs w:val="1"/>
          <w:color w:val="auto"/>
        </w:rPr>
        <w:t>ATF</w:t>
      </w:r>
      <w:r>
        <w:rPr>
          <w:rFonts w:ascii="Arial" w:cs="Arial" w:eastAsia="Arial" w:hAnsi="Arial"/>
          <w:sz w:val="18"/>
          <w:szCs w:val="18"/>
          <w:color w:val="auto"/>
        </w:rPr>
        <w:t>”). The ATF may issue rules and regulations related to the use, transporting, sale and advertising of cannabis or cannabis products, including smokeless cannabis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jc w:val="both"/>
        <w:ind w:left="120" w:right="100" w:firstLine="991"/>
        <w:spacing w:after="0" w:line="257" w:lineRule="auto"/>
        <w:rPr>
          <w:sz w:val="20"/>
          <w:szCs w:val="20"/>
          <w:color w:val="auto"/>
        </w:rPr>
      </w:pPr>
      <w:r>
        <w:rPr>
          <w:rFonts w:ascii="Arial" w:cs="Arial" w:eastAsia="Arial" w:hAnsi="Arial"/>
          <w:sz w:val="18"/>
          <w:szCs w:val="18"/>
          <w:color w:val="auto"/>
        </w:rPr>
        <w:t>The Company is subject to a variety of laws and regulations in the United States that involve money laundering, financial record-keeping and proceeds of crime, including the Bank Secrecy Act, as amended by Title III of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FinCEN issued the FinCEN Memorandum on February 14, 2014,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4"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8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If the Company’s operations, or proceeds thereof, dividend distributions or profits or revenues derived from the Company’s operations were found to be in violation of money laundering legislation or otherwise, such transactions may be viewed as proceeds from a crime (the sale of a Schedule I drug) under the Bank Secrecy Act’s money laundering provisions. This may restrict the ability of the Company to declare or pay dividends or effect other distributions.</w:t>
      </w:r>
    </w:p>
    <w:p>
      <w:pPr>
        <w:spacing w:after="0" w:line="187"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Company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The inability or limitation of the Company’s ability to open or maintain bank accounts, obtain other banking services and/or accept credit card and debit card payments may make it difficult for the Company to operate and conduct its business as planned or to operate efficiently.</w:t>
      </w:r>
    </w:p>
    <w:p>
      <w:pPr>
        <w:spacing w:after="0" w:line="166"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face difficulties acquiring additional financing.</w:t>
      </w:r>
    </w:p>
    <w:p>
      <w:pPr>
        <w:spacing w:after="0" w:line="11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Company may require equity and/or debt financing to support on-going operations, to undertake capital expenditures or to undertake acquisitions and/or other business combination transactions. There can be no assurance that additional financing will be available to the Company when needed or on terms which are acceptable. The Company’s inability to raise financing through traditional banking to fund on-going operations, capital expenditures or acquisitions could limit its growth and may have a material adverse effect upon the Company’s business, prospects, revenue, results of operation and financial condition.</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lacks access to U.S. bankruptcy protections.</w:t>
      </w:r>
    </w:p>
    <w:p>
      <w:pPr>
        <w:spacing w:after="0" w:line="117"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the Company, which would have a material adverse effect on the Company.</w:t>
      </w:r>
    </w:p>
    <w:p>
      <w:pPr>
        <w:spacing w:after="0" w:line="295"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2"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color w:val="auto"/>
        </w:rPr>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8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face difficulties in enforcing its contracts.</w:t>
      </w:r>
    </w:p>
    <w:p>
      <w:pPr>
        <w:spacing w:after="0" w:line="117"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Because the Company’s contracts involve cannabis and other activities that are not legal under federal law and in some state jurisdictions, the Company may face difficulties in enforcing its contracts in federal courts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and certain state courts. The Company cannot be assured that it will have a remedy for breach of contract, which could have a material adverse effect on the Company.</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has limited trademark protection.</w:t>
      </w:r>
    </w:p>
    <w:p>
      <w:pPr>
        <w:spacing w:after="0" w:line="117"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The Company will not be able to register any federal trademarks for its cannabis products. Because producing, manufacturing, processing, possessing, distributing, selling and using cannabis is a crime under the CSA, the Patent and Trademark Office will not permit the registration of any trademark that identifies cannabis products. As a result, the Company likely will be unable to protect its cannabis product trademarks beyond the geographic areas in which it conducts business. The use of the Company’s trademarks outside the states in which it operates by one or more other persons could have a material adverse effect on the value of such trademarks.</w:t>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subject to constraints on marketing its products.</w:t>
      </w:r>
    </w:p>
    <w:p>
      <w:pPr>
        <w:spacing w:after="0" w:line="11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the Company’s ability to compete for market share in a manner similar to other industries. If the Company is unable to effectively market its products and compete for market share, or if the costs of compliance with government legislation and regulation cannot be absorbed through increased selling prices for its products, the Company’s sales and operating results could be adversely affected.</w:t>
      </w: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risks related to the results of future clinical research.</w:t>
      </w:r>
    </w:p>
    <w:p>
      <w:pPr>
        <w:spacing w:after="0" w:line="117"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Although the Company believes that various articles, reports and studies support its beliefs regarding the medical benefits, viability, safety, efficacy, dosing and social acceptance of cannabis, future research and clinical trials may prove such statements to be incorrect, or could raise concerns regarding, and perceptions relating to, cannabis. Given these risks, uncertainties and assumptions, holders and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the Company’s products, with the potential to have a material adverse effect on the Company’s business, prospects, revenue, results of operation and financial condition.</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subject to taxation in Canada and the United States.</w:t>
      </w:r>
    </w:p>
    <w:p>
      <w:pPr>
        <w:spacing w:after="0" w:line="117" w:lineRule="exact"/>
        <w:rPr>
          <w:sz w:val="20"/>
          <w:szCs w:val="20"/>
          <w:color w:val="auto"/>
        </w:rPr>
      </w:pPr>
    </w:p>
    <w:p>
      <w:pPr>
        <w:ind w:left="120" w:right="280" w:firstLine="991"/>
        <w:spacing w:after="0" w:line="275" w:lineRule="auto"/>
        <w:rPr>
          <w:sz w:val="20"/>
          <w:szCs w:val="20"/>
          <w:color w:val="auto"/>
        </w:rPr>
      </w:pPr>
      <w:r>
        <w:rPr>
          <w:rFonts w:ascii="Arial" w:cs="Arial" w:eastAsia="Arial" w:hAnsi="Arial"/>
          <w:sz w:val="17"/>
          <w:szCs w:val="17"/>
          <w:color w:val="auto"/>
        </w:rPr>
        <w:t>The Company is and will continue to be a Canadian corporation as of the date of this Annual Report on Form 10-K. The Company is treated as a Canadian resident company (as defined in the Income Tax Act (Canada) (the “</w:t>
      </w:r>
      <w:r>
        <w:rPr>
          <w:rFonts w:ascii="Arial" w:cs="Arial" w:eastAsia="Arial" w:hAnsi="Arial"/>
          <w:sz w:val="17"/>
          <w:szCs w:val="17"/>
          <w:b w:val="1"/>
          <w:bCs w:val="1"/>
          <w:color w:val="auto"/>
        </w:rPr>
        <w:t>ITA</w:t>
      </w:r>
      <w:r>
        <w:rPr>
          <w:rFonts w:ascii="Arial" w:cs="Arial" w:eastAsia="Arial" w:hAnsi="Arial"/>
          <w:sz w:val="17"/>
          <w:szCs w:val="17"/>
          <w:color w:val="auto"/>
        </w:rPr>
        <w:t>”)) subject to Canadian income taxes. The Company is also treated as a U.S. corporation subject to U.S. federal income tax pursuant to Section 7874 of the Internal Revenue Code (“</w:t>
      </w:r>
      <w:r>
        <w:rPr>
          <w:rFonts w:ascii="Arial" w:cs="Arial" w:eastAsia="Arial" w:hAnsi="Arial"/>
          <w:sz w:val="17"/>
          <w:szCs w:val="17"/>
          <w:b w:val="1"/>
          <w:bCs w:val="1"/>
          <w:color w:val="auto"/>
        </w:rPr>
        <w:t>IRC</w:t>
      </w:r>
      <w:r>
        <w:rPr>
          <w:rFonts w:ascii="Arial" w:cs="Arial" w:eastAsia="Arial" w:hAnsi="Arial"/>
          <w:sz w:val="17"/>
          <w:szCs w:val="17"/>
          <w:color w:val="auto"/>
        </w:rPr>
        <w:t>”) and is subject to U.S. federal income tax on its worldwide income. As a result, the Company is subject to taxation both in Canada and the United States, which could have a material adverse effect on its financial condition and results of operations.</w:t>
      </w:r>
    </w:p>
    <w:p>
      <w:pPr>
        <w:spacing w:after="0" w:line="176" w:lineRule="exact"/>
        <w:rPr>
          <w:sz w:val="20"/>
          <w:szCs w:val="20"/>
          <w:color w:val="auto"/>
        </w:rPr>
      </w:pPr>
    </w:p>
    <w:p>
      <w:pPr>
        <w:ind w:left="120" w:right="340" w:firstLine="991"/>
        <w:spacing w:after="0" w:line="259" w:lineRule="auto"/>
        <w:rPr>
          <w:sz w:val="20"/>
          <w:szCs w:val="20"/>
          <w:color w:val="auto"/>
        </w:rPr>
      </w:pPr>
      <w:r>
        <w:rPr>
          <w:rFonts w:ascii="Arial" w:cs="Arial" w:eastAsia="Arial" w:hAnsi="Arial"/>
          <w:sz w:val="18"/>
          <w:szCs w:val="18"/>
          <w:color w:val="auto"/>
        </w:rPr>
        <w:t>It is unlikely that the Company will pay any dividends on the Subordinate Voting Shares in the foreseeable future. However, dividends received by shareholders who are residents of Canada for purposes of the ITA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Dividends received by U.S. shareholders will not be subject to U.S. withholding tax but will be subject to Canadian withholding tax. Dividends paid by the Company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7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a shareholder of the Company, subject to examination of the relevant treaty.</w:t>
      </w:r>
    </w:p>
    <w:p>
      <w:pPr>
        <w:spacing w:after="0" w:line="18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Each shareholder should seek tax advice, based on such shareholder’s particular circumstances, from an independent tax advisor.</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Cannabis businesses are subject to unfavorable tax treatment.</w:t>
      </w:r>
    </w:p>
    <w:p>
      <w:pPr>
        <w:spacing w:after="0" w:line="117" w:lineRule="exact"/>
        <w:rPr>
          <w:sz w:val="20"/>
          <w:szCs w:val="20"/>
          <w:color w:val="auto"/>
        </w:rPr>
      </w:pPr>
    </w:p>
    <w:p>
      <w:pPr>
        <w:ind w:left="120" w:right="100" w:firstLine="991"/>
        <w:spacing w:after="0" w:line="255" w:lineRule="auto"/>
        <w:rPr>
          <w:sz w:val="20"/>
          <w:szCs w:val="20"/>
          <w:color w:val="auto"/>
        </w:rPr>
      </w:pPr>
      <w:r>
        <w:rPr>
          <w:rFonts w:ascii="Arial" w:cs="Arial" w:eastAsia="Arial" w:hAnsi="Arial"/>
          <w:sz w:val="18"/>
          <w:szCs w:val="18"/>
          <w:color w:val="auto"/>
        </w:rPr>
        <w:t>Under Section 280E of the IRC,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subject to proceeds of crime statutes.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Company will be subject to a variety of laws that concern money laundering, financial recordkeeping and proceeds of crime. These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 the Bank Secrecy Act, as amended by Title III of the USA Patriot Act, the Proceeds of Crime (Money Laundering) and Terrorist Financing 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(Canada), the rules and regulations under the Criminal Code of Canada and any related or similar rules, regulations or guidelines, issued, administered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enforced by governmental authorities in the United States and Canada.</w:t>
      </w:r>
    </w:p>
    <w:p>
      <w:pPr>
        <w:spacing w:after="0" w:line="211" w:lineRule="exact"/>
        <w:rPr>
          <w:sz w:val="20"/>
          <w:szCs w:val="20"/>
          <w:color w:val="auto"/>
        </w:rPr>
      </w:pPr>
    </w:p>
    <w:p>
      <w:pPr>
        <w:ind w:left="120" w:right="100" w:firstLine="991"/>
        <w:spacing w:after="0" w:line="301" w:lineRule="auto"/>
        <w:rPr>
          <w:sz w:val="20"/>
          <w:szCs w:val="20"/>
          <w:color w:val="auto"/>
        </w:rPr>
      </w:pPr>
      <w:r>
        <w:rPr>
          <w:rFonts w:ascii="Arial" w:cs="Arial" w:eastAsia="Arial" w:hAnsi="Arial"/>
          <w:sz w:val="16"/>
          <w:szCs w:val="16"/>
          <w:color w:val="auto"/>
        </w:rPr>
        <w:t>In the event that any of the Company’s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the Company and, among other things, could restrict or otherwise jeopardize the ability of the Company to declare or pay dividends, effect other distributions or subsequently repatriate such funds back to Canada.</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 faces security risks.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business premises of the Company’s operating locations are targets for theft. While the Company has implemented security measures at each location and continues to monitor and improve such security measures, its cultivation, processing and dispensary facilities could be subject to break-ins, robberies and other breaches in security. If there was a breach in security and the Company fell victim to a robbery or theft, the loss of cannabis plants, cannabis oils, cannabis flowers and cultivation and processing equipment could have a material adverse impact on the business, prospects, revenue, results of operation and financial condition of the Company.</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the Company’s business involves the movement and transfer of cash which is collected from dispensaries or patients/customers and deposited into its bank, there is a risk of theft or robbery during the transport of cash. The Company has engaged a security firm to provide security in the transport and movement of large amounts of cash. Employees sometimes transport cash and/or products and, if requested, may be escorted by armed guards. While the Company has taken robust steps to prevent theft or robbery of cash during transport, there can be no assurance that there will not be a security breach during the transport and the movement of cash involving the theft of product or cash.</w:t>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exposure to fraudulent or illegal activity.</w:t>
      </w:r>
    </w:p>
    <w:p>
      <w:pPr>
        <w:spacing w:after="0" w:line="117"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The Company faces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the Company to identify and deter misconduct by its employees and other third parties, and the precautions taken by the Company to detect and prevent these activities may not always be effective. As a result, the Company could face potential penalties and litigation.</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a holding company.</w:t>
      </w:r>
    </w:p>
    <w:p>
      <w:pPr>
        <w:spacing w:after="0" w:line="117" w:lineRule="exact"/>
        <w:rPr>
          <w:sz w:val="20"/>
          <w:szCs w:val="20"/>
          <w:color w:val="auto"/>
        </w:rPr>
      </w:pPr>
    </w:p>
    <w:p>
      <w:pPr>
        <w:ind w:left="120" w:right="220" w:firstLine="991"/>
        <w:spacing w:after="0" w:line="289" w:lineRule="auto"/>
        <w:rPr>
          <w:sz w:val="20"/>
          <w:szCs w:val="20"/>
          <w:color w:val="auto"/>
        </w:rPr>
      </w:pPr>
      <w:r>
        <w:rPr>
          <w:rFonts w:ascii="Arial" w:cs="Arial" w:eastAsia="Arial" w:hAnsi="Arial"/>
          <w:sz w:val="16"/>
          <w:szCs w:val="16"/>
          <w:color w:val="auto"/>
        </w:rPr>
        <w:t>The Company is a holding company and essentially all of its assets are the capital stock of its subsidiaries in its 12 markets, including California, Colorado, Connecticut, Florida, Illinois, Maryland, Massachusetts, Nevada, New Jersey, New York, Ohio and Pennsylvania. As a result, investors in the Company are subject to the risks attributable to its subsidiaries. As a holding company, the Company conducts substantially all of its business through its subsidiaries, which generate substantially all of its revenues. Consequently, the Company’s cash flows and ability to complete current or desirable future enhancement opportunities are dependent on the earnings of its subsidiaries and the distribution of those earnings to the Company.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the Company’s material subsidiaries, holders of indebtedness and trade creditors may be entitled to payment of their claims from the assets of those subsidiaries before the Company.</w:t>
      </w:r>
    </w:p>
    <w:p>
      <w:pPr>
        <w:spacing w:after="0" w:line="274"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the Company.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Material acquisitions, dispositions and other strategic transactions involve a number of risks for the Company, including:</w:t>
      </w:r>
    </w:p>
    <w:p>
      <w:pPr>
        <w:spacing w:after="0" w:line="131" w:lineRule="exact"/>
        <w:rPr>
          <w:sz w:val="20"/>
          <w:szCs w:val="20"/>
          <w:color w:val="auto"/>
        </w:rPr>
      </w:pPr>
    </w:p>
    <w:p>
      <w:pPr>
        <w:ind w:left="2080" w:hanging="53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its ongoing business;</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distraction of management;</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financial leverage;</w:t>
      </w:r>
    </w:p>
    <w:p>
      <w:pPr>
        <w:spacing w:after="0" w:line="130" w:lineRule="exact"/>
        <w:rPr>
          <w:rFonts w:ascii="Arial" w:cs="Arial" w:eastAsia="Arial" w:hAnsi="Arial"/>
          <w:sz w:val="18"/>
          <w:szCs w:val="18"/>
          <w:color w:val="auto"/>
        </w:rPr>
      </w:pPr>
    </w:p>
    <w:p>
      <w:pPr>
        <w:ind w:left="2080" w:right="680" w:hanging="533"/>
        <w:spacing w:after="0" w:line="277" w:lineRule="auto"/>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benefits and cost savings of those transactions may not be realized or may take longer to realize than anticipated;</w:t>
      </w:r>
    </w:p>
    <w:p>
      <w:pPr>
        <w:spacing w:after="0" w:line="75" w:lineRule="exact"/>
        <w:rPr>
          <w:rFonts w:ascii="Arial" w:cs="Arial" w:eastAsia="Arial" w:hAnsi="Arial"/>
          <w:sz w:val="18"/>
          <w:szCs w:val="18"/>
          <w:color w:val="auto"/>
        </w:rPr>
      </w:pPr>
    </w:p>
    <w:p>
      <w:pPr>
        <w:ind w:left="2080" w:hanging="53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scope and complexity of the Company’s operations;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reduction of control over certain of the Company’s assets.</w:t>
      </w:r>
    </w:p>
    <w:p>
      <w:pPr>
        <w:spacing w:after="0" w:line="225"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Additionally, the Company may issue additional Subordinate Voting Shares in connection with such transactions, which would dilute a shareholder’s holdings in the Company.</w:t>
      </w:r>
    </w:p>
    <w:p>
      <w:pPr>
        <w:spacing w:after="0" w:line="170"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presence of one or more material liabilities of an acquired company that are known, but believed to be immaterial, or unknown to the Company at the time of acquisition could have a material adverse effect on the business, prospects, revenue, results of operation and financial condition of the Company. A strategic transaction may result in a significant change in the nature of the Company’s business, operations and strategy. In addition, the Company may encounter unforeseen obstacles or costs in implementing a strategic transaction or integrating any acquired business into the Company’s operations.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The Company may invest in pre-revenue companies which may not be able to meet anticipated revenue targets in the future.</w:t>
      </w:r>
    </w:p>
    <w:p>
      <w:pPr>
        <w:spacing w:after="0" w:line="140" w:lineRule="exact"/>
        <w:rPr>
          <w:sz w:val="20"/>
          <w:szCs w:val="20"/>
          <w:color w:val="auto"/>
        </w:rPr>
      </w:pPr>
    </w:p>
    <w:p>
      <w:pPr>
        <w:ind w:left="120" w:right="260" w:firstLine="991"/>
        <w:spacing w:after="0" w:line="296" w:lineRule="auto"/>
        <w:rPr>
          <w:sz w:val="20"/>
          <w:szCs w:val="20"/>
          <w:color w:val="auto"/>
        </w:rPr>
      </w:pPr>
      <w:r>
        <w:rPr>
          <w:rFonts w:ascii="Arial" w:cs="Arial" w:eastAsia="Arial" w:hAnsi="Arial"/>
          <w:sz w:val="16"/>
          <w:szCs w:val="16"/>
          <w:color w:val="auto"/>
        </w:rPr>
        <w:t>The Company may make investments in companies with no significant sources of operating cash flow and no revenue from operations. The Company’s investments in such companies will be subject to risks and uncertainties that new companies with no operating history may face. In particular, there is a risk that the Company’s investment in these pre-revenue companies will not be able to meet anticipated revenue targets or will generate no revenue at all. The risk is that underperforming pre-revenue companies may lead to these businesses failing, which could have a material adverse effect on the business, prospects, revenue, results of operation and financial condition of the Company.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ind w:left="120" w:right="240" w:firstLine="991"/>
        <w:spacing w:after="0" w:line="291" w:lineRule="auto"/>
        <w:rPr>
          <w:sz w:val="20"/>
          <w:szCs w:val="20"/>
          <w:color w:val="auto"/>
        </w:rPr>
      </w:pPr>
      <w:r>
        <w:rPr>
          <w:rFonts w:ascii="Arial" w:cs="Arial" w:eastAsia="Arial" w:hAnsi="Arial"/>
          <w:sz w:val="16"/>
          <w:szCs w:val="16"/>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w:t>
      </w:r>
    </w:p>
    <w:p>
      <w:pPr>
        <w:ind w:left="120" w:right="120" w:hanging="4"/>
        <w:spacing w:after="0" w:line="26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control the joint ventures; (ii) our joint venture partners may not agree to distributions that we believe are appropriate; (iii) where we do not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30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120" w:right="40" w:firstLine="991"/>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3"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6"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agents.</w:t>
      </w:r>
    </w:p>
    <w:p>
      <w:pPr>
        <w:spacing w:after="0" w:line="103"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87"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risks related to its products.</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As a relatively new industry, there are not many established players in the adult use cannabis industry whose business model the Company can follow or build on the success of. Similarly, there is no information about comparable companies available for potential investors to review in making a decision about whether to invest in the Company.</w:t>
      </w:r>
    </w:p>
    <w:p>
      <w:pPr>
        <w:spacing w:after="0" w:line="184"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Shareholders and investors should consider, among other factors, the Company’s prospects for success in light of the risks and uncertainties encountered by companies, like the Company, that are in their early stages. For example, unanticipated expenses and problems or technical difficulties may occur, which may result in material delays in the operation of the Company’s business. The Company may fail to successfully address these risks and uncertainties or successfully implement its operating strategies. If the Company fails to do so, it could materially harm the Company’s business to the point of having to cease operations and could impair the value of the Subordinate Voting Shares to the point where investors may lose their entire investments.</w:t>
      </w:r>
    </w:p>
    <w:p>
      <w:pPr>
        <w:spacing w:after="0" w:line="19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Company has committed and expects to continue committing significant resources and capital to develop and market existing products and new products and services. These products are relatively untested in the marketplace, and the Company cannot assure shareholders and investors that it will achieve market acceptance for these products, or other new products and services that the Company may offer in the future. Moreover, these and other new products and services may be subject to significant competition with offerings by new and existing competitors in the business. In addition, new products and services may pose a variety of challenges and require the Company to attract additional qualified employees. The failure to successfully develop and market these new products and services could seriously harm the Company’s business, prospects, revenue, results of operation and financial condition.</w:t>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dependent on the popularity of consumer acceptance of the Company’s brand portfolio.</w:t>
      </w:r>
    </w:p>
    <w:p>
      <w:pPr>
        <w:spacing w:after="0" w:line="11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Company’s ability to generate revenue and be successful in the implementation of the Company’s business plan is dependent on consumer acceptance of and demand for the Company’s products. Acceptance of the Company’s products depends on several factors, including availability, cost, ease of use, familiarity of use, convenience, effectiveness, safety and reliability. If these customers do not accept the Company’s products, or if such products fail to adequately meet customers’ needs and expectations, the Company’s ability to continue generating revenues could be reduced.</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Company’s business is subject to the risks inherent in agricultural operations.</w:t>
      </w:r>
    </w:p>
    <w:p>
      <w:pPr>
        <w:spacing w:after="0" w:line="117" w:lineRule="exact"/>
        <w:rPr>
          <w:sz w:val="20"/>
          <w:szCs w:val="20"/>
          <w:color w:val="auto"/>
        </w:rPr>
      </w:pPr>
    </w:p>
    <w:p>
      <w:pPr>
        <w:ind w:left="120" w:right="620" w:firstLine="991"/>
        <w:spacing w:after="0" w:line="277" w:lineRule="auto"/>
        <w:rPr>
          <w:sz w:val="20"/>
          <w:szCs w:val="20"/>
          <w:color w:val="auto"/>
        </w:rPr>
      </w:pPr>
      <w:r>
        <w:rPr>
          <w:rFonts w:ascii="Arial" w:cs="Arial" w:eastAsia="Arial" w:hAnsi="Arial"/>
          <w:sz w:val="18"/>
          <w:szCs w:val="18"/>
          <w:color w:val="auto"/>
        </w:rPr>
        <w:t>The Company’s business involves the growing of cannabis, an agricultural product. The Company’s business is subject to the risks inherent in the agricultural business, such as insects, plant diseases and similar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2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adversely impacted by rising or volatile energy costs.</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The Company’s cannabis growing operations consume considerable energy, which makes it vulnerable to rising energy costs. Accordingly, rising or volatile energy costs may adversely affect the business of the Company and its ability to operate profitably.</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encounter unknown environmental risks.</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There can be no assurance that the Company will not encounter hazardous conditions, such as asbestos or lead, at the sites of the real estate used to operate its businesses, which may delay the development of its businesses.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The Company faces risks related to its information technology systems, and potential cyber-attacks and security breaches.</w:t>
      </w:r>
    </w:p>
    <w:p>
      <w:pPr>
        <w:spacing w:after="0" w:line="129"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color w:val="auto"/>
        </w:rPr>
        <w:t>The Company’s operations depend, in part, on how well the Company and its suppliers protect networks, equipment, information technology (“</w:t>
      </w:r>
      <w:r>
        <w:rPr>
          <w:rFonts w:ascii="Arial" w:cs="Arial" w:eastAsia="Arial" w:hAnsi="Arial"/>
          <w:sz w:val="17"/>
          <w:szCs w:val="17"/>
          <w:b w:val="1"/>
          <w:bCs w:val="1"/>
          <w:color w:val="auto"/>
        </w:rPr>
        <w:t>IT</w:t>
      </w:r>
      <w:r>
        <w:rPr>
          <w:rFonts w:ascii="Arial" w:cs="Arial" w:eastAsia="Arial" w:hAnsi="Arial"/>
          <w:sz w:val="17"/>
          <w:szCs w:val="17"/>
          <w:color w:val="auto"/>
        </w:rPr>
        <w:t>”) systems and software against damage and threats, including, but not limited to, cable cuts, damage to physical plants, natural disasters, intentional damage and destruction, fire, power loss, hacking, computer viruses, vandalism and theft. The Company’s operations also depend on the timely maintenance and replacement of network equipment, IT systems and software, as well as pre-emptive expenses to mitigate associated risks. Given the nature of the Company’s products and the lack of legal availability outside of channels approved by the federal government, as well as the concentration of inventory in its facilities, there remains a risk of shrinkages, as well as theft. If there was a breach in security and the Company fell victim to theft or robbery, the loss of cannabis plants, cannabis oils, cannabis flowers and cultivations and processing equipment, or if there was a failure in information systems, it could adversely affect the Company’s reputation and business continuity.</w:t>
      </w:r>
    </w:p>
    <w:p>
      <w:pPr>
        <w:spacing w:after="0" w:line="178" w:lineRule="exact"/>
        <w:rPr>
          <w:sz w:val="20"/>
          <w:szCs w:val="20"/>
          <w:color w:val="auto"/>
        </w:rPr>
      </w:pPr>
    </w:p>
    <w:p>
      <w:pPr>
        <w:ind w:left="120" w:right="160" w:firstLine="991"/>
        <w:spacing w:after="0" w:line="311" w:lineRule="auto"/>
        <w:rPr>
          <w:sz w:val="20"/>
          <w:szCs w:val="20"/>
          <w:color w:val="auto"/>
        </w:rPr>
      </w:pPr>
      <w:r>
        <w:rPr>
          <w:rFonts w:ascii="Arial" w:cs="Arial" w:eastAsia="Arial" w:hAnsi="Arial"/>
          <w:sz w:val="16"/>
          <w:szCs w:val="16"/>
          <w:color w:val="auto"/>
        </w:rPr>
        <w:t>Additionally, the Company may store and collect personal information about customers and is responsible for protecting that information from privacy breaches that may occur through procedural or process failure, IT malfunction or deliberate unauthorized intrusions. Any such theft or privacy breach would have a material adverse effect on the Company’s business, prospects, revenue, results of operation and financial condition.</w:t>
      </w:r>
    </w:p>
    <w:p>
      <w:pPr>
        <w:spacing w:after="0" w:line="145" w:lineRule="exact"/>
        <w:rPr>
          <w:sz w:val="20"/>
          <w:szCs w:val="20"/>
          <w:color w:val="auto"/>
        </w:rPr>
      </w:pPr>
    </w:p>
    <w:p>
      <w:pPr>
        <w:ind w:left="120" w:right="60" w:firstLine="991"/>
        <w:spacing w:after="0" w:line="292"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 which will become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CCPA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risks related to its insurance coverage and uninsurable risks.</w:t>
      </w:r>
    </w:p>
    <w:p>
      <w:pPr>
        <w:spacing w:after="0" w:line="117"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The Company’s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84"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Although the Company intends to continue to maintain insurance to protect against certain risks in such amounts as it considers to be reasonable, its insurance will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the Company is not generally available on acceptable terms. The Company might also become subject to liability for pollution or other hazards which it may not be insured against or which the Company may elect not to insure against because of premium costs or other reasons. Losses from these events may cause the Company to incur significant costs that could have a material adverse effect upon its financial performance and results of operations.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dependent on key inputs, suppliers and skilled labor.</w:t>
      </w:r>
    </w:p>
    <w:p>
      <w:pPr>
        <w:spacing w:after="0" w:line="117"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could materially impact the business, financial condition, results of operations or prospects of the Company. Some of these inputs may only be available from a single supplier or a limited group of suppliers. If a sole source supplier was to go out of business, the Company might be unable to find a replacement for such source in a timely manner, or at all. If a sole source supplier were to be acquired by a competitor, that competitor may elect not to sell to the Company in the future. Any inability to secure required supplies and services, or to do so on appropriate terms, could have a materially adverse impact on the business, prospects, revenue, results of operation and financial condition of the Company. The Company provides its vendor base with annual projections so that its vendors can aim to ensure a steady supply of raw materials and packaging. It checks in with its vendors at least once quarterly to update them to relevant real time changes in its annual plan. For most important raw materials and packaging, the Company has both a primary vendor supplier and a secondary vendor supplier to ensure redundancy.</w:t>
      </w:r>
    </w:p>
    <w:p>
      <w:pPr>
        <w:spacing w:after="0" w:line="182"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The ability of the Company to compete and grow will be dependent on it having access, at a reasonable cost and in a timely manner, to skilled labor, equipment, parts and components. No assurances can be given that the Company will be successful in maintaining its required supply of skilled labor, equipment, parts and components. This could have an adverse effect on the financial results of the Company.</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must attract and maintain key personnel or our business will fail.</w:t>
      </w:r>
    </w:p>
    <w:p>
      <w:pPr>
        <w:spacing w:after="0" w:line="117"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Success of the Company is dependent upon the ability, expertise, judgment, discretion and good faith of its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effected.</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Company’s sales are difficult to forecast.</w:t>
      </w:r>
    </w:p>
    <w:p>
      <w:pPr>
        <w:spacing w:after="0" w:line="117"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As a result of recent and ongoing regulatory and policy changes in the medical and adult use cannabis industries, the market data available is limited and unreliable. The Company must rely largely on its own market research to forecast sales, as detailed forecasts are not generally obtainable from other sources in the states in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which the Company’s business operates. Additionally, any market research and projections by the Company of estimated total retail sales, demographics, demand and similar consumer research, are based on assumptions from limited and unreliable market data. A failure in the demand for its products to materialize as a result of competition, technological change or other factors could have a material adverse effect on the business, results of operations and financial condition of the Company.</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subject to growth-related risks.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prospects, revenue, results of operation and financial condition.</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subject to litigation.</w:t>
      </w:r>
    </w:p>
    <w:p>
      <w:pPr>
        <w:spacing w:after="0" w:line="117"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The Company may become party to litigation from time to time in the ordinary course of business, which could adversely affect its business. Should any litigation in which the Company becomes involved be determined against the Company, such a decision could adversely affect the Company’s ability to continue operating and the market price for the Subordinate Voting Shares and could potentially use significant resources of the Company. Even if the Company is involved in litigation and wins, litigation can redirect significant resources of the Company and/or its subsidiaries.</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an inherent risk of product liability claims.</w:t>
      </w:r>
    </w:p>
    <w:p>
      <w:pPr>
        <w:spacing w:after="0" w:line="11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As a distributor of products designed to be ingested by humans, the Company faces an inherent risk of exposure to product liability claims, regulatory action and litigation if its products are alleged to have caused significant loss or injury. In addition, the sale of the Company’s products involves the risk of injury to consumers due to tampering by unauthorized third parties or product contamination. Previously unknown adverse reactions resulting from human consumption of the Company’s products alone or in combination with other medications or substances could occur. The Company may be subject to various product liability claims, including, among others, that the Company’s products caused injury, illness or death, include inadequate instructions for use or include inadequate warnings concerning possible side effects or interactions with other substances. A product liability claim or regulatory action against the Company could result in increased costs, could adversely affect the Company’s reputation with its clients and consumers generally and could have a material adverse effect on the business, results of operations and financial condition of the Company. There can be no assurances that the Company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the Company’s potential products.</w:t>
      </w:r>
    </w:p>
    <w:p>
      <w:pPr>
        <w:spacing w:after="0" w:line="287"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b w:val="1"/>
          <w:bCs w:val="1"/>
          <w:i w:val="1"/>
          <w:iCs w:val="1"/>
          <w:color w:val="auto"/>
        </w:rPr>
        <w:t>The Company may be exposed to infringement or misappropriation claims by third parties, which, if determined adversely to the Company, could subject the Company to significant liabilities and other costs.</w:t>
      </w:r>
    </w:p>
    <w:p>
      <w:pPr>
        <w:spacing w:after="0" w:line="62"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The Company’s success may depend on its ability to use and develop new extraction technologies, recipes, know-how and new strains of marijuana without infringing the intellectual property rights of third parties. The Company cannot assure that third parties will not assert intellectual property claims against it. The Company is subject to additional risks if entities licensing intellectual property to the Company do not have adequate rights to the licensed materials. If third parties assert copyright or patent infringement or violation of other intellectual property rights against the Company, the Company will be required to defend itself in litigation or administrative proceedings, which can be both costly and time consuming and may significantly divert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efforts and resources of management personnel. An adverse determination in any such litigation or proceedings to which the Company may become a party could subject the Company to significant liability to third parties, require the Company to seek licenses from third parties, require the Company to pay ongoing royalties or subject the Company to injunctions that may prohibit the development and operation of its applications.</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Company’s products may be subject to product recalls.</w:t>
      </w:r>
    </w:p>
    <w:p>
      <w:pPr>
        <w:spacing w:after="0" w:line="117"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if at all. In addition, a product recall may require significant management attention. Although the Company has detailed procedures in place for testing its products, there can be no assurance that any quality, potency or contamination problems will be detected in time to avoid unforeseen product recalls, regulatory action or lawsuits. Additionally, if one of the Company’s significant brands were subject to recall, the image of that brand and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the FDA, or other regulatory agencies, requiring further management attention and potential legal fees and other expenses.</w:t>
      </w:r>
    </w:p>
    <w:p>
      <w:pPr>
        <w:spacing w:after="0" w:line="28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face unfavorable publicity or consumer perception.</w:t>
      </w:r>
    </w:p>
    <w:p>
      <w:pPr>
        <w:spacing w:after="0" w:line="117"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6"/>
          <w:szCs w:val="16"/>
          <w:color w:val="auto"/>
        </w:rPr>
        <w:t>Management believes the adult use cannabis industry is highly dependent upon consumer perception regarding the safety, efficacy and quality of the adult use cannabis produced. Consumer perception of the Company’s products may be significantly influenced by scientific research or findings, regulatory investigations, litigation, media attention and other publicity regarding the consumption of adult use cannabis products. There can be no assurance that future scientific research, findings, regulatory proceedings, litigation, media attention or other research findings or publicity will be favorable to the adult use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the Company’s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products and the business, results of operations, financial condition and cash flows of the Company. Further, adverse publicity reports or other media attention regarding the safety, efficacy and quality of adult use cannabis in general, or the Company’s products specifically, or associating the consumption of adult use cannabis with illness or other negative effects or events, could have such a material adverse effect. Adverse publicity reports or other media attention could arise even if the adverse effects associated with such products resulted from consumers’ failure to consume such products appropriately or as directed.</w:t>
      </w:r>
    </w:p>
    <w:p>
      <w:pPr>
        <w:spacing w:after="0" w:line="17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Coronavirus Disease 2019, or COVID 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intense competition.</w:t>
      </w:r>
    </w:p>
    <w:p>
      <w:pPr>
        <w:spacing w:after="0" w:line="117" w:lineRule="exact"/>
        <w:rPr>
          <w:sz w:val="20"/>
          <w:szCs w:val="20"/>
          <w:color w:val="auto"/>
        </w:rPr>
      </w:pPr>
    </w:p>
    <w:p>
      <w:pPr>
        <w:ind w:left="120" w:right="520" w:firstLine="991"/>
        <w:spacing w:after="0" w:line="286" w:lineRule="auto"/>
        <w:rPr>
          <w:sz w:val="20"/>
          <w:szCs w:val="20"/>
          <w:color w:val="auto"/>
        </w:rPr>
      </w:pPr>
      <w:r>
        <w:rPr>
          <w:rFonts w:ascii="Arial" w:cs="Arial" w:eastAsia="Arial" w:hAnsi="Arial"/>
          <w:sz w:val="17"/>
          <w:szCs w:val="17"/>
          <w:color w:val="auto"/>
        </w:rPr>
        <w:t>The Company faces intense competition from other companies, some of which have longer operating histories and more financial resources and manufacturing and marketing experience than the Company. Increased competition by larger and better financed competitors could materially and adversely affect the business, financial condition and results of operations of the Company.</w:t>
      </w:r>
    </w:p>
    <w:p>
      <w:pPr>
        <w:spacing w:after="0" w:line="165"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Because of the early stage of the industry in which the Company operates, the Company faces additional competition from new entrants. If the number of consumers of cannabis in the states in which the Company operates its business increases, the demand for products will increase and the Company expects that competition will become more intense, as current and future competitors begin to offer an increasing number of diversified products.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6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A decline in the price of the Subordinate Voting Shares could affect the Company’s ability to raise further working capital and adversely impact its ability to continue operations.</w:t>
      </w:r>
    </w:p>
    <w:p>
      <w:pPr>
        <w:spacing w:after="0" w:line="170"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A prolonged decline in the price of the Subordinate Voting Shares could result in a reduction in the liquidity of the Subordinate Voting Shares and a reduction in its ability to raise capital. Because a significant portion of the Company’s operations have been and will be financed through the sale of equity securities, a decline in the price of its common stock could be especially detrimental to the Company’s liquidity and its operations. Such reductions may force the Company to reallocate funds from other planned uses and may have a significant negative effect on the Company’s business plan and operations, including its ability to develop new products and continue its current operations. If the Company’s stock price declines, there can be no assurance that the Company will be able to raise additional capital or generate funds from operations sufficient to meet its obligations. If the Company is unable to raise sufficient capital in the future, the Company may not be able to have the resources to continue its normal operations.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have increased labor costs based on union activity.</w:t>
      </w:r>
    </w:p>
    <w:p>
      <w:pPr>
        <w:spacing w:after="0" w:line="117" w:lineRule="exact"/>
        <w:rPr>
          <w:sz w:val="20"/>
          <w:szCs w:val="20"/>
          <w:color w:val="auto"/>
        </w:rPr>
      </w:pPr>
    </w:p>
    <w:p>
      <w:pPr>
        <w:ind w:left="120" w:right="20" w:firstLine="991"/>
        <w:spacing w:after="0" w:line="293" w:lineRule="auto"/>
        <w:rPr>
          <w:sz w:val="20"/>
          <w:szCs w:val="20"/>
          <w:color w:val="auto"/>
        </w:rPr>
      </w:pPr>
      <w:r>
        <w:rPr>
          <w:rFonts w:ascii="Arial" w:cs="Arial" w:eastAsia="Arial" w:hAnsi="Arial"/>
          <w:sz w:val="16"/>
          <w:szCs w:val="16"/>
          <w:color w:val="auto"/>
        </w:rPr>
        <w:t>Labor unions are working to organize workforces in the cannabis industry in general. Currently, there is no labor organization that has been recognized as a representative of GTI employees. However, it is possible that certain retail and/or manufacturing locations will be organized in the future, which could lead to work stoppages or increased labor costs and adversely affect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7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subject to general economic risks.</w:t>
      </w:r>
    </w:p>
    <w:p>
      <w:pPr>
        <w:spacing w:after="0" w:line="117"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The Company’s operations could be affected by the economic context should the unemployment level, interest rates or inflation reach levels that influence consumer trends and spending and, consequently, impact the Company’s sales and profitability.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negatively impacted by challenging global economic conditions.</w:t>
      </w:r>
    </w:p>
    <w:p>
      <w:pPr>
        <w:spacing w:after="0" w:line="117"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The Company’s business, financial condition, results of operations and cash flow may be negatively impacted by challenging global economic conditions.</w:t>
      </w:r>
    </w:p>
    <w:p>
      <w:pPr>
        <w:spacing w:after="0" w:line="170"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the Company’s business, which depends on the general economic environment and levels of consumer spending. As a result, the Company may not be able to maintain its existing customers or attract new customers, or it may be forced to reduce the price of its products. The Company is unable to predict the likelihood of the occurrence, duration or severity of such disruptions in the credit and financial markets or adverse global economic conditions. Any general or market-specific economic downturn could have a material adverse effect on the business, financial condition, results of operations and cash flow of the Company.</w:t>
      </w:r>
    </w:p>
    <w:p>
      <w:pPr>
        <w:spacing w:after="0" w:line="17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 is subject to risks arising from epidemic diseases, such as the recent outbreak of the COVID-19 illness.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recent outbreak of COVID-19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 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the Company would not be eligible to participate in any government relief programs (such as federal loans or access to capital) resulting from COVID-19 or any other actual or potential pandemic.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return on the Company’s securities is not guaranteed.</w:t>
      </w:r>
    </w:p>
    <w:p>
      <w:pPr>
        <w:spacing w:after="0" w:line="117"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There is no guarantee that the Company’s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7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may be affected by currency fluctuations.</w:t>
      </w:r>
    </w:p>
    <w:p>
      <w:pPr>
        <w:spacing w:after="0" w:line="117"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The Company faces exposure to significant currency fluctuations because of its present operations in the U.S. Recent events in the global financial markets have been coupled with increased volatility in the currency markets. All or substantially all of the Company’s revenue is earned in U.S. dollars, but a portion of its operating expenses are incurred in Canadian dollars. The Company does not have currency hedging arrangements in place and there is no expectation that the Company will put any currency hedging arrangements in place in the future. Fluctuations in the exchange rate between the U.S. dollar and the Canadian dollar may have a material adverse effect on the Company’s business, financial position or results of operations.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Company’s voting control is concentrated.</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Company’s senior executives exercise a significant majority of the voting power with respect to the Company’s outstanding shares because of the Super Voting Shares that they hold. These officials include Benjamin Kovler, the Company’s Founder, Chairman and Chief Executive Officer, Andrew Grossman, the Company’s Head of Capital Markets, and Anthony Georgiadis, the Company’s Chief Financial Officer. Subordinate Voting Shares are entitled to one vote per share, Multiple Voting Shares are entitled to 100 votes per share, and Super Voting Shares are entitled to up to 1,000 votes per share. As a result, Mr. Kovler, Mr. Grossman and Mr. Georgiadis potentially have the ability to control the outcome of matters submitted to the Company’s shareholders for approval, including the election and removal of directors and any arrangement or sale of all or substantially all of the assets of the Company.</w:t>
      </w:r>
    </w:p>
    <w:p>
      <w:pPr>
        <w:spacing w:after="0" w:line="195"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This concentrated control could delay, defer or prevent a change of control of the Company, arrangement or merger involving the Company or sale of all or substantially all of the assets of the Company that its other shareholders may support. Conversely, this concentrated control could allow the holders of the Super Voting Shares to consummate such a transaction that the Company’s other shareholders do not support. In addition, the holders of the Super Voting Shares may make long-term strategic investment decisions and take risks that may not be successful and/or may seriously harm the Company’s business.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Company’s capital structure and voting control may cause unpredictability.</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Although other Canadian-based companies have dual class or multiple voting share structures, given the unique capital structure in respect of the Company and the concentration of voting control that is held by the holders of the Super Voting Shares, this structure and control could result in a lower trading price for or greater fluctuations in the trading price of the Company’s Subordinate Voting Shares, adverse publicity to the Company or other adverse consequences.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Additional issuances of Super Voting Shares, Multiple Voting Shares or Subordinate Voting Shares may result in dilution.</w:t>
      </w:r>
    </w:p>
    <w:p>
      <w:pPr>
        <w:spacing w:after="0" w:line="12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Corporation may issue additional equity or convertible debt securities in the future, which may dilute an existing shareholder’s holdings in the Corporation. The Corporation’s articles permit the issuance of an unlimited number of Super Voting Shares, Multiple Voting Shares and Subordinate Voting Shares, and existing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shareholders will have no pre-emptive rights in connection with such further issuances. The Corporation’s Board has discretion to determine the price and the terms of further issuances, and such terms could include rights, preferences and privileges superior to those existing holders of Subordinate Voting Shares. Moreover, additional Subordinate Voting Shares will be issued by the Corporation on the conversion of the Multiple Voting Shares and Super Voting Shares in accordance with their terms. To the extent holders of the Corporation’s options or other convertible securities convert or exercise their securities and sell Subordinate Voting Shares they receive, the trading price of the Subordinate Voting Shares may decrease due to the additional amount of Subordinate Voting Shares available in the market. The Corporation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the Corporation.</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Sales of substantial amounts of Subordinate Voting Shares may have an adverse effect on the market price of the Subordinate Voting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w:t>
      </w:r>
    </w:p>
    <w:p>
      <w:pPr>
        <w:spacing w:after="0" w:line="103"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the Company’s ability to raise additional capital through the sale of securities should it desire to do so.</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market price for the Subordinate Voting Shares may be volatile.</w:t>
      </w:r>
    </w:p>
    <w:p>
      <w:pPr>
        <w:spacing w:after="0" w:line="117"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 market price for securities of cannabis companies generally are likely to be volatile. In addition, the market price for the Subordinate Voting Shares has been and may be subject to wide fluctuations in response to numerous factors beyond the Company’s control, including, but not limited to:</w:t>
      </w:r>
    </w:p>
    <w:p>
      <w:pPr>
        <w:spacing w:after="0" w:line="89" w:lineRule="exact"/>
        <w:rPr>
          <w:sz w:val="20"/>
          <w:szCs w:val="20"/>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results of operations;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the economic performance or market valuations of companies in the industry in which the Company operates;</w:t>
      </w:r>
    </w:p>
    <w:p>
      <w:pPr>
        <w:spacing w:after="0" w:line="153" w:lineRule="exact"/>
        <w:rPr>
          <w:rFonts w:ascii="Arial" w:cs="Arial" w:eastAsia="Arial" w:hAnsi="Arial"/>
          <w:sz w:val="16"/>
          <w:szCs w:val="16"/>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 or departure of the Company’s executive officers and other key personnel;</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and financial performance that varies from the expectations of management, securities analysts and investors;</w:t>
      </w:r>
    </w:p>
    <w:p>
      <w:pPr>
        <w:spacing w:after="0" w:line="153" w:lineRule="exact"/>
        <w:rPr>
          <w:rFonts w:ascii="Arial" w:cs="Arial" w:eastAsia="Arial" w:hAnsi="Arial"/>
          <w:sz w:val="16"/>
          <w:szCs w:val="16"/>
          <w:color w:val="auto"/>
        </w:rPr>
      </w:pPr>
    </w:p>
    <w:p>
      <w:pPr>
        <w:ind w:left="2200" w:right="480" w:hanging="545"/>
        <w:spacing w:after="0" w:line="277" w:lineRule="auto"/>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changes affecting the Company’s industry generally and its business and operations both domestically and abroad;</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the Company or its competitors;</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2200" w:right="900" w:hanging="545"/>
        <w:spacing w:after="0" w:line="277" w:lineRule="auto"/>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global financial markets,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2200" w:right="520" w:hanging="545"/>
        <w:spacing w:after="0" w:line="277" w:lineRule="auto"/>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the Company or its competitors;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right="160" w:hanging="545"/>
        <w:spacing w:after="0" w:line="277" w:lineRule="auto"/>
        <w:tabs>
          <w:tab w:leader="none" w:pos="2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the Company or from a lack of market comparable companies; and</w:t>
      </w:r>
    </w:p>
    <w:p>
      <w:pPr>
        <w:spacing w:after="0" w:line="75" w:lineRule="exact"/>
        <w:rPr>
          <w:rFonts w:ascii="Arial" w:cs="Arial" w:eastAsia="Arial" w:hAnsi="Arial"/>
          <w:sz w:val="18"/>
          <w:szCs w:val="18"/>
          <w:color w:val="auto"/>
        </w:rPr>
      </w:pPr>
    </w:p>
    <w:p>
      <w:pPr>
        <w:ind w:left="2200" w:right="120" w:hanging="545"/>
        <w:spacing w:after="0" w:line="277" w:lineRule="auto"/>
        <w:tabs>
          <w:tab w:leader="none" w:pos="2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the Company’s industry or target markets.</w:t>
      </w:r>
    </w:p>
    <w:p>
      <w:pPr>
        <w:spacing w:after="0" w:line="170"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the Company’s operating results, underlying asset values or prospects have not changed. Additionally, these factors, as well as other related factors, may cause decreases in asset values that may result in impairment losses to the Company. There can be no assurance that further fluctuations in price and volume of equity securities will not occur. If increased levels of volatility and market turmoil continue, the Company’s operations could be adversely impacted, and the trading price of the Subordinate Voting Shares may be materially adversely affected.</w:t>
      </w:r>
    </w:p>
    <w:p>
      <w:pPr>
        <w:spacing w:after="0" w:line="285"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faces liquidity risks.</w:t>
      </w:r>
    </w:p>
    <w:p>
      <w:pPr>
        <w:spacing w:after="0" w:line="117" w:lineRule="exact"/>
        <w:rPr>
          <w:sz w:val="20"/>
          <w:szCs w:val="20"/>
          <w:color w:val="auto"/>
        </w:rPr>
      </w:pPr>
    </w:p>
    <w:p>
      <w:pPr>
        <w:ind w:left="120" w:right="160" w:firstLine="991"/>
        <w:spacing w:after="0" w:line="342" w:lineRule="auto"/>
        <w:rPr>
          <w:sz w:val="20"/>
          <w:szCs w:val="20"/>
          <w:color w:val="auto"/>
        </w:rPr>
      </w:pPr>
      <w:r>
        <w:rPr>
          <w:rFonts w:ascii="Arial" w:cs="Arial" w:eastAsia="Arial" w:hAnsi="Arial"/>
          <w:sz w:val="16"/>
          <w:szCs w:val="16"/>
          <w:color w:val="auto"/>
        </w:rPr>
        <w:t>The Company’s Subordinate Voting Shares currently trade on the CSE and on over-the-counter markets in the U.S. The Company cannot predict at what prices the Subordinate Voting Shares will continue to trade, and there is no assurance that an active trading market will be sustained.</w:t>
      </w:r>
    </w:p>
    <w:p>
      <w:pPr>
        <w:spacing w:after="0" w:line="12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Company’s Subordinate Voting Shares do not currently trade on any U.S. securities exchange. In the event the Company’s Subordinate Voting Shares do trade on any U.S. securities exchange, the Company cannot predict at what prices the Subordinate Voting Shares will trade and there is no assurance that an active trading market will develop or be sustained. There is a significant liquidity risk associated with an investment in the Company.</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The Company is subject to increased costs as a result of being a public company in Canada and the United States.</w:t>
      </w:r>
    </w:p>
    <w:p>
      <w:pPr>
        <w:spacing w:after="0" w:line="11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As a public company in Canada and the United States, the Company is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the Company’s legal, accounting and financial compliance costs, make some activities more difficult, time-consuming or costly and may place undue strain on its personnel, systems and resources, which could adversely affect its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 faces costs of maintaining a public listing.</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 public company, there are costs associated with legal, accounting and other expenses related to regulatory compliance. Securities legislation and the rules and policies of the CSE require listed companies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among other things, adopt corporate governance and related practices, and to continuously prepare and disclose material information, all of which add to a company’s legal and financial compliance costs. The Company may also elect to devote greater resources than it otherwise would have on communication and other activities typically considered important by publicly traded companies.</w:t>
      </w:r>
    </w:p>
    <w:p>
      <w:pPr>
        <w:spacing w:after="0" w:line="2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The Company does not intend to pay dividends on our common shares and, consequently, your ability to achieve a return on your investment will depend on appreciation in the price of our common shares.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common shares will depend upon any future appreciation in their value. There is no guarantee that our common shares will appreciate in value or even maintain the price at which you purchased them.</w:t>
      </w:r>
    </w:p>
    <w:p>
      <w:pPr>
        <w:spacing w:after="0" w:line="296"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b w:val="1"/>
          <w:bCs w:val="1"/>
          <w:i w:val="1"/>
          <w:iCs w:val="1"/>
          <w:color w:val="auto"/>
        </w:rPr>
        <w:t>The Company is eligible to be treated as an “emerging growth company” as defined in the JOBS Act, and the Company cannot be certain if the reduced disclosure requirements applicable to emerging growth companies will make the Subordinate Voting Shares less attractive to investors.</w:t>
      </w:r>
    </w:p>
    <w:p>
      <w:pPr>
        <w:spacing w:after="0" w:line="76" w:lineRule="exact"/>
        <w:rPr>
          <w:sz w:val="20"/>
          <w:szCs w:val="20"/>
          <w:color w:val="auto"/>
        </w:rPr>
      </w:pPr>
    </w:p>
    <w:p>
      <w:pPr>
        <w:ind w:left="120" w:right="120" w:firstLine="991"/>
        <w:spacing w:after="0" w:line="286" w:lineRule="auto"/>
        <w:rPr>
          <w:sz w:val="20"/>
          <w:szCs w:val="20"/>
          <w:color w:val="auto"/>
        </w:rPr>
      </w:pPr>
      <w:r>
        <w:rPr>
          <w:rFonts w:ascii="Arial" w:cs="Arial" w:eastAsia="Arial" w:hAnsi="Arial"/>
          <w:sz w:val="16"/>
          <w:szCs w:val="16"/>
          <w:color w:val="auto"/>
        </w:rPr>
        <w:t>The Company is an “emerging growth company,” as defined in the JOBS Act. For as long as the Company continues to be an emerging growth company, it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document and periodic reports and proxy statements, and</w:t>
      </w:r>
    </w:p>
    <w:p>
      <w:pPr>
        <w:spacing w:after="0" w:line="1" w:lineRule="exact"/>
        <w:rPr>
          <w:sz w:val="20"/>
          <w:szCs w:val="20"/>
          <w:color w:val="auto"/>
        </w:rPr>
      </w:pPr>
    </w:p>
    <w:p>
      <w:pPr>
        <w:ind w:left="120" w:right="80" w:hanging="4"/>
        <w:spacing w:after="0" w:line="281" w:lineRule="auto"/>
        <w:tabs>
          <w:tab w:leader="none" w:pos="3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 The Company could be an emerging growth company for up to five years, although circumstances could cause the Company to lose that status earlier, including if the market value of the Subordinate Voting Shares held by non-affiliates exceeds $700 million as of June 30, 2020, or if the Company has total annual gross revenue of $1.07 billion or more during any fiscal year before that time, in which case the Company would no longer be an emerging growth company as of the following December 31. Additionally, if the Company issues more than</w:t>
      </w:r>
    </w:p>
    <w:p>
      <w:pPr>
        <w:spacing w:after="0" w:line="2" w:lineRule="exact"/>
        <w:rPr>
          <w:rFonts w:ascii="Arial" w:cs="Arial" w:eastAsia="Arial" w:hAnsi="Arial"/>
          <w:sz w:val="16"/>
          <w:szCs w:val="16"/>
          <w:color w:val="auto"/>
        </w:rPr>
      </w:pPr>
    </w:p>
    <w:p>
      <w:pPr>
        <w:ind w:left="120" w:right="40"/>
        <w:spacing w:after="0" w:line="253" w:lineRule="auto"/>
        <w:rPr>
          <w:rFonts w:ascii="Arial" w:cs="Arial" w:eastAsia="Arial" w:hAnsi="Arial"/>
          <w:sz w:val="16"/>
          <w:szCs w:val="16"/>
          <w:color w:val="auto"/>
        </w:rPr>
      </w:pPr>
      <w:r>
        <w:rPr>
          <w:rFonts w:ascii="Arial" w:cs="Arial" w:eastAsia="Arial" w:hAnsi="Arial"/>
          <w:sz w:val="18"/>
          <w:szCs w:val="18"/>
          <w:color w:val="auto"/>
        </w:rPr>
        <w:t>$1.0 billion in non-convertible debt during any three-year period before June 30, 2020, it would cease to be an emerging growth company immediately. The Company cannot predict if investors will find the Subordinate Voting Shares less attractive because the Company may rely on these exemptions. If some investors find the Subordinate Voting Shares less attractive as a result, there may be a less active trading market for the Subordinate Voting Shares, and the stock price may be more volatile.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tables set forth the Company’s principal physical properties.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Corporate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Location</w:t>
            </w:r>
          </w:p>
        </w:tc>
        <w:tc>
          <w:tcPr>
            <w:tcW w:w="14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jc w:val="center"/>
              <w:ind w:left="124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Borders>
              <w:top w:val="single" w:sz="8" w:color="auto"/>
            </w:tcBorders>
          </w:tcPr>
          <w:p>
            <w:pPr>
              <w:spacing w:after="0"/>
              <w:rPr>
                <w:sz w:val="12"/>
                <w:szCs w:val="12"/>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39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Headquarters</w:t>
            </w:r>
          </w:p>
        </w:tc>
        <w:tc>
          <w:tcPr>
            <w:tcW w:w="3680" w:type="dxa"/>
            <w:vAlign w:val="bottom"/>
            <w:gridSpan w:val="3"/>
          </w:tcPr>
          <w:p>
            <w:pPr>
              <w:ind w:left="1500"/>
              <w:spacing w:after="0"/>
              <w:rPr>
                <w:sz w:val="20"/>
                <w:szCs w:val="20"/>
                <w:color w:val="auto"/>
              </w:rPr>
            </w:pPr>
            <w:r>
              <w:rPr>
                <w:rFonts w:ascii="Arial" w:cs="Arial" w:eastAsia="Arial" w:hAnsi="Arial"/>
                <w:sz w:val="18"/>
                <w:szCs w:val="18"/>
                <w:color w:val="auto"/>
              </w:rPr>
              <w:t>Chicago, IL</w:t>
            </w:r>
          </w:p>
        </w:tc>
        <w:tc>
          <w:tcPr>
            <w:tcW w:w="13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9"/>
                <w:szCs w:val="19"/>
                <w:color w:val="auto"/>
              </w:rPr>
            </w:pPr>
          </w:p>
        </w:tc>
      </w:tr>
      <w:tr>
        <w:trPr>
          <w:trHeight w:val="350"/>
        </w:trPr>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gridSpan w:val="2"/>
          </w:tcPr>
          <w:p>
            <w:pPr>
              <w:ind w:left="1500"/>
              <w:spacing w:after="0"/>
              <w:rPr>
                <w:sz w:val="20"/>
                <w:szCs w:val="20"/>
                <w:color w:val="auto"/>
              </w:rPr>
            </w:pPr>
            <w:r>
              <w:rPr>
                <w:rFonts w:ascii="Arial" w:cs="Arial" w:eastAsia="Arial" w:hAnsi="Arial"/>
                <w:sz w:val="18"/>
                <w:szCs w:val="18"/>
                <w:color w:val="auto"/>
              </w:rPr>
              <w:t>54</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Production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vMerge w:val="restart"/>
          </w:tcPr>
          <w:p>
            <w:pPr>
              <w:jc w:val="center"/>
              <w:ind w:right="1210"/>
              <w:spacing w:after="0"/>
              <w:rPr>
                <w:sz w:val="20"/>
                <w:szCs w:val="20"/>
                <w:color w:val="auto"/>
              </w:rPr>
            </w:pPr>
            <w:r>
              <w:rPr>
                <w:rFonts w:ascii="Arial" w:cs="Arial" w:eastAsia="Arial" w:hAnsi="Arial"/>
                <w:sz w:val="18"/>
                <w:szCs w:val="18"/>
                <w:color w:val="auto"/>
                <w:w w:val="99"/>
              </w:rPr>
              <w:t>Facility</w:t>
            </w:r>
          </w:p>
        </w:tc>
        <w:tc>
          <w:tcPr>
            <w:tcW w:w="1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80" w:type="dxa"/>
            <w:vAlign w:val="bottom"/>
            <w:gridSpan w:val="2"/>
          </w:tcPr>
          <w:p>
            <w:pPr>
              <w:ind w:left="1200"/>
              <w:spacing w:after="0" w:line="195" w:lineRule="exact"/>
              <w:rPr>
                <w:sz w:val="20"/>
                <w:szCs w:val="20"/>
                <w:color w:val="auto"/>
              </w:rPr>
            </w:pPr>
            <w:r>
              <w:rPr>
                <w:rFonts w:ascii="Arial" w:cs="Arial" w:eastAsia="Arial" w:hAnsi="Arial"/>
                <w:sz w:val="18"/>
                <w:szCs w:val="18"/>
                <w:color w:val="auto"/>
                <w:w w:val="87"/>
              </w:rPr>
              <w:t>West Haven</w:t>
            </w:r>
          </w:p>
        </w:tc>
        <w:tc>
          <w:tcPr>
            <w:tcW w:w="1900" w:type="dxa"/>
            <w:vAlign w:val="bottom"/>
            <w:vMerge w:val="continue"/>
          </w:tcPr>
          <w:p>
            <w:pPr>
              <w:spacing w:after="0"/>
              <w:rPr>
                <w:sz w:val="16"/>
                <w:szCs w:val="16"/>
                <w:color w:val="auto"/>
              </w:rPr>
            </w:pPr>
          </w:p>
        </w:tc>
        <w:tc>
          <w:tcPr>
            <w:tcW w:w="380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1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Homestead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9"/>
              </w:rPr>
              <w:t>Homestead,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Oglesby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4"/>
              </w:rPr>
              <w:t>Oglesby,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4"/>
              </w:rPr>
              <w:t>Rock Island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5"/>
              </w:rPr>
              <w:t>Rock Island,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Centreville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5"/>
              </w:rPr>
              <w:t>Centreville,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6"/>
              </w:rPr>
              <w:t>Holyoke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7"/>
              </w:rPr>
              <w:t>Holyoke, MA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4"/>
              </w:rPr>
              <w:t>Carson City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Carson City,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Las Vegas Facility 1</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Las Vegas Facility 2</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Paterson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6"/>
              </w:rPr>
              <w:t>Paterson, NJ</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Schenectady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8"/>
              </w:rPr>
              <w:t>Glenville,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4"/>
              </w:rPr>
              <w:t>Toledo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Toledo,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7"/>
              </w:rPr>
              <w:t>Danville Facility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Danville, PA</w:t>
            </w:r>
          </w:p>
        </w:tc>
        <w:tc>
          <w:tcPr>
            <w:tcW w:w="1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4"/>
                <w:szCs w:val="14"/>
                <w:b w:val="1"/>
                <w:bCs w:val="1"/>
                <w:color w:val="auto"/>
                <w:w w:val="93"/>
              </w:rPr>
              <w:t>Retail Properties</w:t>
            </w: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Pr>
          <w:p>
            <w:pPr>
              <w:spacing w:after="0"/>
              <w:rPr>
                <w:sz w:val="12"/>
                <w:szCs w:val="12"/>
                <w:color w:val="auto"/>
              </w:rPr>
            </w:pPr>
          </w:p>
        </w:tc>
        <w:tc>
          <w:tcPr>
            <w:tcW w:w="2140" w:type="dxa"/>
            <w:vAlign w:val="bottom"/>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ind w:left="880"/>
              <w:spacing w:after="0"/>
              <w:rPr>
                <w:sz w:val="20"/>
                <w:szCs w:val="20"/>
                <w:color w:val="auto"/>
              </w:rPr>
            </w:pPr>
            <w:r>
              <w:rPr>
                <w:rFonts w:ascii="Arial" w:cs="Arial" w:eastAsia="Arial" w:hAnsi="Arial"/>
                <w:sz w:val="18"/>
                <w:szCs w:val="18"/>
                <w:color w:val="auto"/>
              </w:rPr>
              <w:t>Bluepoint</w:t>
            </w: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8"/>
                <w:szCs w:val="18"/>
                <w:color w:val="auto"/>
              </w:rPr>
              <w:t>CT</w:t>
            </w: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2200" w:type="dxa"/>
            <w:vAlign w:val="bottom"/>
            <w:gridSpan w:val="2"/>
          </w:tcPr>
          <w:p>
            <w:pPr>
              <w:jc w:val="center"/>
              <w:ind w:right="910"/>
              <w:spacing w:after="0" w:line="195" w:lineRule="exact"/>
              <w:rPr>
                <w:sz w:val="20"/>
                <w:szCs w:val="20"/>
                <w:color w:val="auto"/>
              </w:rPr>
            </w:pPr>
            <w:r>
              <w:rPr>
                <w:rFonts w:ascii="Arial" w:cs="Arial" w:eastAsia="Arial" w:hAnsi="Arial"/>
                <w:sz w:val="18"/>
                <w:szCs w:val="18"/>
                <w:color w:val="auto"/>
                <w:w w:val="81"/>
              </w:rPr>
              <w:t>Wellness Branford</w:t>
            </w:r>
          </w:p>
        </w:tc>
        <w:tc>
          <w:tcPr>
            <w:tcW w:w="2140" w:type="dxa"/>
            <w:vAlign w:val="bottom"/>
            <w:gridSpan w:val="2"/>
          </w:tcPr>
          <w:p>
            <w:pPr>
              <w:ind w:left="1380"/>
              <w:spacing w:after="0" w:line="195" w:lineRule="exact"/>
              <w:rPr>
                <w:sz w:val="20"/>
                <w:szCs w:val="20"/>
                <w:color w:val="auto"/>
              </w:rPr>
            </w:pPr>
            <w:r>
              <w:rPr>
                <w:rFonts w:ascii="Arial" w:cs="Arial" w:eastAsia="Arial" w:hAnsi="Arial"/>
                <w:sz w:val="18"/>
                <w:szCs w:val="18"/>
                <w:color w:val="auto"/>
                <w:w w:val="99"/>
              </w:rPr>
              <w:t>Branford,</w:t>
            </w:r>
          </w:p>
        </w:tc>
        <w:tc>
          <w:tcPr>
            <w:tcW w:w="16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Bluepoint Wellness Westport</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Westport, CT</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Bonita Springs</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Bonita Springs,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Rise Deerfield Beach</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Deerfield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Rise Hallandale Beach</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Hallandale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Rise Oviedo</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Oviedo,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8"/>
              </w:rPr>
              <w:t>Rise Pinellas Park</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Pinellas Park,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7"/>
              </w:rPr>
              <w:t>Rise West Palm Beach</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0"/>
              </w:rPr>
              <w:t>West Palm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88"/>
              </w:rPr>
              <w:t>Rise Canton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Canton,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5"/>
              </w:rPr>
              <w:t>The Clinic Effingham</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6"/>
              </w:rPr>
              <w:t>Effingham,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3C Joliet</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8"/>
              </w:rPr>
              <w:t>Joliet,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Joliet</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8"/>
              </w:rPr>
              <w:t>Joliet,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Rise Mundelein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6"/>
              </w:rPr>
              <w:t>Mundelein,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4"/>
              </w:rPr>
              <w:t>3C Naperville</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7"/>
              </w:rPr>
              <w:t>Naperville,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Rise Quincy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6"/>
              </w:rPr>
              <w:t>Quincy,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7"/>
              </w:rPr>
              <w:t>Rise Bethesda</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Bethesda,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6"/>
              </w:rPr>
              <w:t>Rise Joppa</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Joppa,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Rise Silver Spring</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5"/>
              </w:rPr>
              <w:t>Silver Spring,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Rise Amherst</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6"/>
              </w:rPr>
              <w:t>Amherst, MA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6"/>
              </w:rPr>
              <w:t>Rise Paterson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6"/>
              </w:rPr>
              <w:t>Paterson, NJ</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Rise Carson City</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Carson City,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86"/>
              </w:rPr>
              <w:t>Essence Henderson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Henderson,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8"/>
              </w:rPr>
              <w:t>Essence The Strip</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6"/>
              </w:rPr>
              <w:t>Essence Tropicana West</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Rise Spanish Springs</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0"/>
              </w:rPr>
              <w:t>Spanish Springs,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4"/>
              </w:rPr>
              <w:t>Fp WELLNESS Halfmoon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5"/>
              </w:rPr>
              <w:t>Clifton Park,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Fp WELLNESS Manhattan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7"/>
              </w:rPr>
              <w:t>New York,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Fp WELLNESS Rochester</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0"/>
              </w:rPr>
              <w:t>Rochester,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Rise Cleveland</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Cleveland,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Rise Lakewood</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Lakewood,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Rise Lorain</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4"/>
              </w:rPr>
              <w:t>Lorain,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Rise Toledo</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3"/>
              </w:rPr>
              <w:t>Toledo,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Carlisle</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Carlisle,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Rise Erie</w:t>
            </w: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0"/>
              </w:rPr>
              <w:t>Erie, PA</w:t>
            </w:r>
          </w:p>
        </w:tc>
        <w:tc>
          <w:tcPr>
            <w:tcW w:w="1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40" w:type="dxa"/>
            <w:vAlign w:val="bottom"/>
            <w:gridSpan w:val="2"/>
          </w:tcPr>
          <w:p>
            <w:pPr>
              <w:jc w:val="right"/>
              <w:ind w:right="448"/>
              <w:spacing w:after="0"/>
              <w:rPr>
                <w:sz w:val="20"/>
                <w:szCs w:val="20"/>
                <w:color w:val="auto"/>
              </w:rPr>
            </w:pPr>
            <w:r>
              <w:rPr>
                <w:rFonts w:ascii="Arial" w:cs="Arial" w:eastAsia="Arial" w:hAnsi="Arial"/>
                <w:sz w:val="18"/>
                <w:szCs w:val="18"/>
                <w:color w:val="auto"/>
              </w:rPr>
              <w:t>55</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2"/>
          </w:tcPr>
          <w:p>
            <w:pPr>
              <w:jc w:val="center"/>
              <w:ind w:left="110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ind w:left="1360"/>
              <w:spacing w:after="0"/>
              <w:rPr>
                <w:sz w:val="20"/>
                <w:szCs w:val="20"/>
                <w:color w:val="auto"/>
              </w:rPr>
            </w:pPr>
            <w:r>
              <w:rPr>
                <w:rFonts w:ascii="Arial" w:cs="Arial" w:eastAsia="Arial" w:hAnsi="Arial"/>
                <w:sz w:val="18"/>
                <w:szCs w:val="18"/>
                <w:color w:val="auto"/>
              </w:rPr>
              <w:t>Rise</w:t>
            </w: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vMerge w:val="restart"/>
          </w:tcPr>
          <w:p>
            <w:pPr>
              <w:ind w:left="40"/>
              <w:spacing w:after="0"/>
              <w:rPr>
                <w:sz w:val="20"/>
                <w:szCs w:val="20"/>
                <w:color w:val="auto"/>
              </w:rPr>
            </w:pPr>
            <w:r>
              <w:rPr>
                <w:rFonts w:ascii="Arial" w:cs="Arial" w:eastAsia="Arial" w:hAnsi="Arial"/>
                <w:sz w:val="18"/>
                <w:szCs w:val="18"/>
                <w:color w:val="auto"/>
              </w:rPr>
              <w:t>PA</w:t>
            </w: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2120" w:type="dxa"/>
            <w:vAlign w:val="bottom"/>
            <w:gridSpan w:val="2"/>
          </w:tcPr>
          <w:p>
            <w:pPr>
              <w:spacing w:after="0" w:line="195" w:lineRule="exact"/>
              <w:rPr>
                <w:sz w:val="20"/>
                <w:szCs w:val="20"/>
                <w:color w:val="auto"/>
              </w:rPr>
            </w:pPr>
            <w:r>
              <w:rPr>
                <w:rFonts w:ascii="Arial" w:cs="Arial" w:eastAsia="Arial" w:hAnsi="Arial"/>
                <w:sz w:val="18"/>
                <w:szCs w:val="18"/>
                <w:color w:val="auto"/>
              </w:rPr>
              <w:t>Hermitage</w:t>
            </w:r>
          </w:p>
        </w:tc>
        <w:tc>
          <w:tcPr>
            <w:tcW w:w="2220" w:type="dxa"/>
            <w:vAlign w:val="bottom"/>
            <w:gridSpan w:val="2"/>
          </w:tcPr>
          <w:p>
            <w:pPr>
              <w:ind w:left="1420"/>
              <w:spacing w:after="0" w:line="195" w:lineRule="exact"/>
              <w:rPr>
                <w:sz w:val="20"/>
                <w:szCs w:val="20"/>
                <w:color w:val="auto"/>
              </w:rPr>
            </w:pPr>
            <w:r>
              <w:rPr>
                <w:rFonts w:ascii="Arial" w:cs="Arial" w:eastAsia="Arial" w:hAnsi="Arial"/>
                <w:sz w:val="18"/>
                <w:szCs w:val="18"/>
                <w:color w:val="auto"/>
                <w:w w:val="88"/>
              </w:rPr>
              <w:t>Hermitage,</w:t>
            </w:r>
          </w:p>
        </w:tc>
        <w:tc>
          <w:tcPr>
            <w:tcW w:w="16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Rise King of Prussia</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1"/>
              </w:rPr>
              <w:t>King of Prussia, PA</w:t>
            </w: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Rise Latrobe</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Latrobe, PA</w:t>
            </w: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Rise Mechanicsburg</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Mechanicsburg, PA</w:t>
            </w: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Rise New Castle</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New Castle, PA</w:t>
            </w: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Rise Steelton</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89"/>
              </w:rPr>
              <w:t>Steelton, PA</w:t>
            </w: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Rise York</w:t>
            </w: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2"/>
              </w:rPr>
              <w:t>York, PA</w:t>
            </w:r>
          </w:p>
        </w:tc>
        <w:tc>
          <w:tcPr>
            <w:tcW w:w="1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4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As of December 31, 2019, the Oglesby Facility was owned by the Company. On March 6, 2020, the Company closed on a sale and lease back transaction to sell the facility to an unrelated third party. GTI will lease back the facility via a long-term agreement and continue to operate and manage it. See additional discussion in Note 21.</w:t>
      </w:r>
    </w:p>
    <w:p>
      <w:pPr>
        <w:spacing w:after="0" w:line="184" w:lineRule="exact"/>
        <w:rPr>
          <w:sz w:val="20"/>
          <w:szCs w:val="20"/>
          <w:color w:val="auto"/>
        </w:rPr>
      </w:pPr>
    </w:p>
    <w:p>
      <w:pPr>
        <w:ind w:left="120" w:right="40" w:firstLine="436"/>
        <w:spacing w:after="0" w:line="263" w:lineRule="auto"/>
        <w:tabs>
          <w:tab w:leader="none" w:pos="7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2019, the Toledo Processing Facility was owned by the Company. On January 31, 2020, the Company closed on a sale and lease back transaction to sell the facility to an unrelated third party. GTI leased back the facility via a long-term agreement and continues to operate and manage it. See additional discussion in Note 21.</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 xml:space="preserve">Properties Subject to an Encumbrance. </w:t>
      </w:r>
      <w:r>
        <w:rPr>
          <w:rFonts w:ascii="Arial" w:cs="Arial" w:eastAsia="Arial" w:hAnsi="Arial"/>
          <w:sz w:val="18"/>
          <w:szCs w:val="18"/>
          <w:color w:val="auto"/>
        </w:rPr>
        <w:t>Pursuant to the Note Purchase Agreement, the Company collateralized the facilities in (i) Rock Island,</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(ii) and Homestead, Florida.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has no legal proceedings, pending or threatened, which would have a material impact on the operations or financial condition of the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ITEM 5. MARKET PRICE OF AND DIVIDENDS ON THE REGISTRANTS COMMON EQUITY AND RELATED STOCKHOLDER MATTERS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Subordinate Voting Shares of the Company are traded on the CSE under the symbol “GTII.” During fiscal 2018, the common shares of Bayswater traded on the TSXV under the symbol “BYU.H.”</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June 13, 2018, the date of their initial trading on the CSE), as quoted on the CSE.</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Low Trading Price</w:t>
            </w:r>
          </w:p>
        </w:tc>
        <w:tc>
          <w:tcPr>
            <w:tcW w:w="420" w:type="dxa"/>
            <w:vAlign w:val="bottom"/>
          </w:tcPr>
          <w:p>
            <w:pPr>
              <w:spacing w:after="0"/>
              <w:rPr>
                <w:sz w:val="14"/>
                <w:szCs w:val="14"/>
                <w:color w:val="auto"/>
              </w:rPr>
            </w:pPr>
          </w:p>
        </w:tc>
        <w:tc>
          <w:tcPr>
            <w:tcW w:w="19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3"/>
              </w:rPr>
              <w:t>High Trading Price</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3940" w:type="dxa"/>
            <w:vAlign w:val="bottom"/>
            <w:gridSpan w:val="4"/>
            <w:vMerge w:val="continue"/>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(C$)</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First Quarter (March 31, 2019)</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11.60</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20.90</w:t>
            </w: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22,190,482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13.10</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20,904,219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10.55</w:t>
            </w:r>
          </w:p>
        </w:tc>
        <w:tc>
          <w:tcPr>
            <w:tcW w:w="6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14.67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25,325,632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10.26</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13.26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18,498,123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2018</w:t>
            </w:r>
          </w:p>
        </w:tc>
        <w:tc>
          <w:tcPr>
            <w:tcW w:w="16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Fourth Quarter (December 31, 2018)</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10.22</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24.68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12,829,887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2018)</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30.01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13,462,742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June 13, 2018—June 30, 2018</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8.95</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16.04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2,882,771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pre-Transaction common shares of Bayswater for the periods indicated (until June 12, 2018, the date of their delisting on the TSXV), as quoted on the TSXV.</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Low Trading Price</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High Trading Price</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554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3"/>
                <w:szCs w:val="13"/>
                <w:color w:val="auto"/>
              </w:rPr>
            </w:pPr>
          </w:p>
        </w:tc>
        <w:tc>
          <w:tcPr>
            <w:tcW w:w="1720" w:type="dxa"/>
            <w:vAlign w:val="bottom"/>
            <w:gridSpan w:val="2"/>
          </w:tcPr>
          <w:p>
            <w:pPr>
              <w:jc w:val="right"/>
              <w:ind w:right="1260"/>
              <w:spacing w:after="0" w:line="158" w:lineRule="exact"/>
              <w:rPr>
                <w:sz w:val="20"/>
                <w:szCs w:val="20"/>
                <w:color w:val="auto"/>
              </w:rPr>
            </w:pPr>
            <w:r>
              <w:rPr>
                <w:rFonts w:ascii="Arial" w:cs="Arial" w:eastAsia="Arial" w:hAnsi="Arial"/>
                <w:sz w:val="14"/>
                <w:szCs w:val="14"/>
                <w:b w:val="1"/>
                <w:bCs w:val="1"/>
                <w:color w:val="auto"/>
              </w:rPr>
              <w:t>(C$)</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2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3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12.88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14.72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84"/>
        </w:trPr>
        <w:tc>
          <w:tcPr>
            <w:tcW w:w="5540" w:type="dxa"/>
            <w:vAlign w:val="bottom"/>
            <w:gridSpan w:val="4"/>
          </w:tcPr>
          <w:p>
            <w:pPr>
              <w:spacing w:after="0"/>
              <w:rPr>
                <w:sz w:val="20"/>
                <w:szCs w:val="20"/>
                <w:color w:val="auto"/>
              </w:rPr>
            </w:pPr>
            <w:r>
              <w:rPr>
                <w:rFonts w:ascii="Arial" w:cs="Arial" w:eastAsia="Arial" w:hAnsi="Arial"/>
                <w:sz w:val="18"/>
                <w:szCs w:val="18"/>
                <w:color w:val="auto"/>
              </w:rPr>
              <w:t>Year Ended December 31, 2017</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2017)</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14.72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Third Quarter (September 30, 2017)</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7.36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18.40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2017)</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12.88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22.08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First Quarter (March 31, 2017)</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12.88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31.28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19,845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10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Bayswater common shares were halted from trading in connection with the Transaction and subsequently delisted from the TSXV on June 12, 2018.</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Subordinate Voting Shares of the Company are also traded on the OTCQX under the symbol “GTBIF.”</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32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as quoted on the OTCQX.</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Low Trading Price</w:t>
            </w:r>
          </w:p>
        </w:tc>
        <w:tc>
          <w:tcPr>
            <w:tcW w:w="42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3860" w:type="dxa"/>
            <w:vAlign w:val="bottom"/>
            <w:gridSpan w:val="4"/>
            <w:vMerge w:val="continue"/>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35"/>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First Quarter (March 31, 2019)</w:t>
            </w:r>
          </w:p>
        </w:tc>
        <w:tc>
          <w:tcPr>
            <w:tcW w:w="1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15.60</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15,697,374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52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4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16.20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15,817,344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5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11.47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17,225,728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52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440" w:type="dxa"/>
            <w:vAlign w:val="bottom"/>
          </w:tcPr>
          <w:p>
            <w:pPr>
              <w:spacing w:after="0"/>
              <w:rPr>
                <w:sz w:val="20"/>
                <w:szCs w:val="20"/>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9.98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15,167,168</w:t>
            </w:r>
          </w:p>
        </w:tc>
        <w:tc>
          <w:tcPr>
            <w:tcW w:w="0" w:type="dxa"/>
            <w:vAlign w:val="bottom"/>
          </w:tcPr>
          <w:p>
            <w:pPr>
              <w:spacing w:after="0"/>
              <w:rPr>
                <w:sz w:val="1"/>
                <w:szCs w:val="1"/>
                <w:color w:val="auto"/>
              </w:rPr>
            </w:pPr>
          </w:p>
        </w:tc>
      </w:tr>
      <w:tr>
        <w:trPr>
          <w:trHeight w:val="354"/>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Low Trading Price</w:t>
            </w:r>
          </w:p>
        </w:tc>
        <w:tc>
          <w:tcPr>
            <w:tcW w:w="420" w:type="dxa"/>
            <w:vAlign w:val="bottom"/>
          </w:tcPr>
          <w:p>
            <w:pPr>
              <w:spacing w:after="0"/>
              <w:rPr>
                <w:sz w:val="24"/>
                <w:szCs w:val="2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3860" w:type="dxa"/>
            <w:vAlign w:val="bottom"/>
            <w:gridSpan w:val="4"/>
            <w:vMerge w:val="continue"/>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35"/>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2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1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Fourth Quarter (December 31, 2018)</w:t>
            </w:r>
          </w:p>
        </w:tc>
        <w:tc>
          <w:tcPr>
            <w:tcW w:w="152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7.55</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18.96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13,570,767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9, 2018—September 30, 2018</w:t>
            </w:r>
          </w:p>
        </w:tc>
        <w:tc>
          <w:tcPr>
            <w:tcW w:w="152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6.57</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23.16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16,519,410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19, 2020, there are 47,513 holders of record of our Subordinate Voting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has not declared distributions on Subordinate Voting Shares in the past. The Company currently intends to reinvest all future earnings to finance the development and growth of its business.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equity compensation plans, see Item 12 of Part III of the Annual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Peer Performance Table</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following graph compares the cumulative total shareholder return on Green Thumb Industries Inc. Subordinate Voting Shares from June 12, 2018, when Green Thumb Industries Inc. began trading on the Canadian Securities Exchange (CSE), through December 31, 2019, with the comparable cumulative return of the Russell 2000 Index and a selected peer group of companies. The comparison assumes all dividends have been reinvested (if any) and an initial investment of $100 on June 12, 2018.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-5080</wp:posOffset>
            </wp:positionV>
            <wp:extent cx="4431665" cy="2468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3166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Base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Period</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6/30/2018</w:t>
            </w:r>
          </w:p>
        </w:tc>
        <w:tc>
          <w:tcPr>
            <w:tcW w:w="14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89"/>
              </w:rPr>
              <w:t>9/30/2018</w:t>
            </w:r>
          </w:p>
        </w:tc>
        <w:tc>
          <w:tcPr>
            <w:tcW w:w="140" w:type="dxa"/>
            <w:vAlign w:val="bottom"/>
          </w:tcPr>
          <w:p>
            <w:pPr>
              <w:spacing w:after="0"/>
              <w:rPr>
                <w:sz w:val="12"/>
                <w:szCs w:val="12"/>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12/31/2018</w:t>
            </w:r>
          </w:p>
        </w:tc>
        <w:tc>
          <w:tcPr>
            <w:tcW w:w="28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3/31/2019</w:t>
            </w:r>
          </w:p>
        </w:tc>
        <w:tc>
          <w:tcPr>
            <w:tcW w:w="28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6/30/2019</w:t>
            </w:r>
          </w:p>
        </w:tc>
        <w:tc>
          <w:tcPr>
            <w:tcW w:w="28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9/30/2019</w:t>
            </w:r>
          </w:p>
        </w:tc>
        <w:tc>
          <w:tcPr>
            <w:tcW w:w="2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640" w:type="dxa"/>
            <w:vAlign w:val="bottom"/>
            <w:gridSpan w:val="2"/>
          </w:tcPr>
          <w:p>
            <w:pPr>
              <w:jc w:val="center"/>
              <w:ind w:left="976"/>
              <w:spacing w:after="0"/>
              <w:rPr>
                <w:sz w:val="20"/>
                <w:szCs w:val="20"/>
                <w:color w:val="auto"/>
              </w:rPr>
            </w:pPr>
            <w:r>
              <w:rPr>
                <w:rFonts w:ascii="Arial" w:cs="Arial" w:eastAsia="Arial" w:hAnsi="Arial"/>
                <w:sz w:val="14"/>
                <w:szCs w:val="14"/>
                <w:b w:val="1"/>
                <w:bCs w:val="1"/>
                <w:color w:val="auto"/>
                <w:w w:val="93"/>
              </w:rPr>
              <w:t>6/12/2018</w:t>
            </w: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Green Thumb Industries Inc.</w:t>
            </w:r>
          </w:p>
        </w:tc>
        <w:tc>
          <w:tcPr>
            <w:tcW w:w="1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$251.94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161.59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Russell 2000</w:t>
            </w:r>
          </w:p>
        </w:tc>
        <w:tc>
          <w:tcPr>
            <w:tcW w:w="1780" w:type="dxa"/>
            <w:vAlign w:val="bottom"/>
            <w:gridSpan w:val="3"/>
          </w:tcPr>
          <w:p>
            <w:pPr>
              <w:jc w:val="center"/>
              <w:ind w:left="816"/>
              <w:spacing w:after="0"/>
              <w:rPr>
                <w:sz w:val="20"/>
                <w:szCs w:val="20"/>
                <w:color w:val="auto"/>
              </w:rPr>
            </w:pPr>
            <w:r>
              <w:rPr>
                <w:rFonts w:ascii="Arial" w:cs="Arial" w:eastAsia="Arial" w:hAnsi="Arial"/>
                <w:sz w:val="18"/>
                <w:szCs w:val="18"/>
                <w:color w:val="auto"/>
                <w:w w:val="92"/>
              </w:rPr>
              <w:t>$100.00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98.00</w:t>
            </w:r>
          </w:p>
        </w:tc>
        <w:tc>
          <w:tcPr>
            <w:tcW w:w="860" w:type="dxa"/>
            <w:vAlign w:val="bottom"/>
            <w:gridSpan w:val="3"/>
          </w:tcPr>
          <w:p>
            <w:pPr>
              <w:ind w:left="140"/>
              <w:spacing w:after="0"/>
              <w:rPr>
                <w:sz w:val="20"/>
                <w:szCs w:val="20"/>
                <w:color w:val="auto"/>
              </w:rPr>
            </w:pPr>
            <w:r>
              <w:rPr>
                <w:rFonts w:ascii="Arial" w:cs="Arial" w:eastAsia="Arial" w:hAnsi="Arial"/>
                <w:sz w:val="18"/>
                <w:szCs w:val="18"/>
                <w:color w:val="auto"/>
              </w:rPr>
              <w:t>$101.19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80.44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91.84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93.44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90.86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780" w:type="dxa"/>
            <w:vAlign w:val="bottom"/>
            <w:gridSpan w:val="3"/>
            <w:shd w:val="clear" w:color="auto" w:fill="CCEEFF"/>
          </w:tcPr>
          <w:p>
            <w:pPr>
              <w:jc w:val="center"/>
              <w:ind w:left="816"/>
              <w:spacing w:after="0"/>
              <w:rPr>
                <w:sz w:val="20"/>
                <w:szCs w:val="20"/>
                <w:color w:val="auto"/>
              </w:rPr>
            </w:pPr>
            <w:r>
              <w:rPr>
                <w:rFonts w:ascii="Arial" w:cs="Arial" w:eastAsia="Arial" w:hAnsi="Arial"/>
                <w:sz w:val="18"/>
                <w:szCs w:val="18"/>
                <w:color w:val="auto"/>
                <w:w w:val="92"/>
              </w:rPr>
              <w:t>$100.00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92.59</w:t>
            </w:r>
          </w:p>
        </w:tc>
        <w:tc>
          <w:tcPr>
            <w:tcW w:w="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$134.51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151.90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are the specific companies included in the peer group.</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Peer Group Companies</w:t>
            </w:r>
          </w:p>
        </w:tc>
        <w:tc>
          <w:tcPr>
            <w:tcW w:w="55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44"/>
        </w:trPr>
        <w:tc>
          <w:tcPr>
            <w:tcW w:w="1800" w:type="dxa"/>
            <w:vAlign w:val="bottom"/>
          </w:tcPr>
          <w:p>
            <w:pPr>
              <w:spacing w:after="0"/>
              <w:rPr>
                <w:sz w:val="20"/>
                <w:szCs w:val="20"/>
                <w:color w:val="auto"/>
              </w:rPr>
            </w:pPr>
            <w:r>
              <w:rPr>
                <w:rFonts w:ascii="Arial" w:cs="Arial" w:eastAsia="Arial" w:hAnsi="Arial"/>
                <w:sz w:val="18"/>
                <w:szCs w:val="18"/>
                <w:color w:val="auto"/>
                <w:w w:val="92"/>
              </w:rPr>
              <w:t>- Acreage Holdings, Inc.</w:t>
            </w:r>
          </w:p>
        </w:tc>
        <w:tc>
          <w:tcPr>
            <w:tcW w:w="5540" w:type="dxa"/>
            <w:vAlign w:val="bottom"/>
          </w:tcPr>
          <w:p>
            <w:pPr>
              <w:ind w:left="1840"/>
              <w:spacing w:after="0"/>
              <w:rPr>
                <w:sz w:val="20"/>
                <w:szCs w:val="20"/>
                <w:color w:val="auto"/>
              </w:rPr>
            </w:pPr>
            <w:r>
              <w:rPr>
                <w:rFonts w:ascii="Arial" w:cs="Arial" w:eastAsia="Arial" w:hAnsi="Arial"/>
                <w:sz w:val="18"/>
                <w:szCs w:val="18"/>
                <w:color w:val="auto"/>
              </w:rPr>
              <w:t>- Harvest Health and Recreation, Inc.</w:t>
            </w:r>
          </w:p>
        </w:tc>
        <w:tc>
          <w:tcPr>
            <w:tcW w:w="2900" w:type="dxa"/>
            <w:vAlign w:val="bottom"/>
          </w:tcPr>
          <w:p>
            <w:pPr>
              <w:ind w:left="1020"/>
              <w:spacing w:after="0"/>
              <w:rPr>
                <w:sz w:val="20"/>
                <w:szCs w:val="20"/>
                <w:color w:val="auto"/>
              </w:rPr>
            </w:pPr>
            <w:r>
              <w:rPr>
                <w:rFonts w:ascii="Arial" w:cs="Arial" w:eastAsia="Arial" w:hAnsi="Arial"/>
                <w:sz w:val="18"/>
                <w:szCs w:val="18"/>
                <w:color w:val="auto"/>
                <w:w w:val="90"/>
              </w:rPr>
              <w:t>- Trulieve Cannabis Corp.</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 Cresco Labs Inc.</w:t>
            </w:r>
          </w:p>
        </w:tc>
        <w:tc>
          <w:tcPr>
            <w:tcW w:w="5540" w:type="dxa"/>
            <w:vAlign w:val="bottom"/>
          </w:tcPr>
          <w:p>
            <w:pPr>
              <w:ind w:left="1840"/>
              <w:spacing w:after="0"/>
              <w:rPr>
                <w:sz w:val="20"/>
                <w:szCs w:val="20"/>
                <w:color w:val="auto"/>
              </w:rPr>
            </w:pPr>
            <w:r>
              <w:rPr>
                <w:rFonts w:ascii="Arial" w:cs="Arial" w:eastAsia="Arial" w:hAnsi="Arial"/>
                <w:sz w:val="18"/>
                <w:szCs w:val="18"/>
                <w:color w:val="auto"/>
              </w:rPr>
              <w:t>- iAnthus Capital Holdings, Inc.</w:t>
            </w:r>
          </w:p>
        </w:tc>
        <w:tc>
          <w:tcPr>
            <w:tcW w:w="290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94"/>
              </w:rPr>
              <w:t>- Curaleaf Holdings, Inc</w:t>
            </w:r>
          </w:p>
        </w:tc>
        <w:tc>
          <w:tcPr>
            <w:tcW w:w="5540" w:type="dxa"/>
            <w:vAlign w:val="bottom"/>
          </w:tcPr>
          <w:p>
            <w:pPr>
              <w:ind w:left="1840"/>
              <w:spacing w:after="0"/>
              <w:rPr>
                <w:sz w:val="20"/>
                <w:szCs w:val="20"/>
                <w:color w:val="auto"/>
              </w:rPr>
            </w:pPr>
            <w:r>
              <w:rPr>
                <w:rFonts w:ascii="Arial" w:cs="Arial" w:eastAsia="Arial" w:hAnsi="Arial"/>
                <w:sz w:val="18"/>
                <w:szCs w:val="18"/>
                <w:color w:val="auto"/>
              </w:rPr>
              <w:t>- MedMen Enterprises Inc.</w:t>
            </w:r>
          </w:p>
        </w:tc>
        <w:tc>
          <w:tcPr>
            <w:tcW w:w="2900" w:type="dxa"/>
            <w:vAlign w:val="bottom"/>
          </w:tcPr>
          <w:p>
            <w:pPr>
              <w:spacing w:after="0"/>
              <w:rPr>
                <w:sz w:val="20"/>
                <w:szCs w:val="20"/>
                <w:color w:val="auto"/>
              </w:rPr>
            </w:pP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This performance graph and other information furnished under this Part II Item 5 of this Form 10-K shall not be deemed to be “soliciting material” or to be “filed” with the SEC or subject to Regulation 14A or 14C, or to the liabilities of Section 18 of the Exchange Act.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11, 2019, the Company issued 6,539,746 Subordinate Voting Shares for 100% of the membership interest of Advanced Grow Labs,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May 22, 2019 and May 24, 2019, the Company issued 19,875 Subordinate Voting Shares to the lead lender pursuant to a Note Purchase Agreement.</w:t>
      </w:r>
    </w:p>
    <w:p>
      <w:pPr>
        <w:spacing w:after="0" w:line="170"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On June 5, 2019, June 21, 2019 and August 12, 2019, the Company issued, in total, 24,665,193 Subordinate Voting Shares to the owners of Integral Associates, LLC and Integral Associates CA, LLC for 100% of the membership interest of both entities, as well as for certain achieved milestone payments earned pursuant to a Membership Interest Purchase Agreement.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Between July 2, 2019 and November 19, 2019, the Company issued, in total, 1,165,630 Subordinate Voting Shares to holders of the Company’s restricted stock units, which vested over the same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Multiple Voting Shares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Beginning on December 3, 2018 and through December 31, 2018, the shareholders of the Company converted 8,896 Super Voting Shares into 8,896 Multiple Voting Shares and, continuing through November 30, 2019, the shareholders of the Company converted an additional 22,224 Super Voting Shares into 22,224 Multiple Voting Shares.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January 8, 2019, the Company issued 31,000 Multiple Voting Shares to buyout the membership interest of a joint venture partner pursuant to an agreement between the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Super Voting Shares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Beginning on December 3, 2018 and through December 31, 2018, the shareholders of the Company converted 8,896 Super Voting Shares into 8,896 Multiple Voting Shares and, continuing through November 30, 2019, the shareholders of the Company converted an additional 22,224 Super Voting Shares into 22,224 Multiple Voting Shares.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The data set forth below should be read in conjunction with “Management’s Discussion and Analysis of Financial Condition and Results of Operations” and the Consolidated Financial Statements and accompanying notes presented in Item 15 of this Annual Report. The Company’s Consolidated Financial Statements have been prepared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and on a going-concern basis that contemplates continuity of operations and realization of assets and liquidation of liabilities in the ordinary course of business.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216,433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62,494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16,529</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109,402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34,177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107,031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28,317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 Expenses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134,721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54,657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(22,512)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56,091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(59,116)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(5,244)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(4,250)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1,167,537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89"/>
              </w:rPr>
              <w:t>418,349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86,213</w:t>
            </w:r>
          </w:p>
        </w:tc>
        <w:tc>
          <w:tcPr>
            <w:tcW w:w="120" w:type="dxa"/>
            <w:vAlign w:val="bottom"/>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212,961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28,310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 DISCUSSION AND ANALYSIS OF FINANCIAL CONDITION AND RESULTS OF OPERATION</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The following information should be read in conjunction with the consolidated financial statements and related notes thereto included in this Annual Report on Form 10-K.</w:t>
      </w:r>
    </w:p>
    <w:p>
      <w:pPr>
        <w:spacing w:after="0" w:line="170"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i w:val="1"/>
          <w:iCs w:val="1"/>
          <w:color w:val="auto"/>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“Disclosure Regarding Forward-Looking Statements” included at the beginning of this Annual Report on Form 10-K. The risks and uncertainties can cause actual results to differ significantly from those forecast in forward-looking statements or implied in historical results and trends.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This management discussion and analysis (“</w:t>
      </w:r>
      <w:r>
        <w:rPr>
          <w:rFonts w:ascii="Arial" w:cs="Arial" w:eastAsia="Arial" w:hAnsi="Arial"/>
          <w:sz w:val="18"/>
          <w:szCs w:val="18"/>
          <w:b w:val="1"/>
          <w:bCs w:val="1"/>
          <w:color w:val="auto"/>
        </w:rPr>
        <w:t>MD&amp;A</w:t>
      </w:r>
      <w:r>
        <w:rPr>
          <w:rFonts w:ascii="Arial" w:cs="Arial" w:eastAsia="Arial" w:hAnsi="Arial"/>
          <w:sz w:val="18"/>
          <w:szCs w:val="18"/>
          <w:color w:val="auto"/>
        </w:rPr>
        <w:t>”) of the financial condition and results of operations of Green Thumb Industries Inc.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GTI</w:t>
      </w:r>
      <w:r>
        <w:rPr>
          <w:rFonts w:ascii="Arial" w:cs="Arial" w:eastAsia="Arial" w:hAnsi="Arial"/>
          <w:sz w:val="18"/>
          <w:szCs w:val="18"/>
          <w:color w:val="auto"/>
        </w:rPr>
        <w:t>”) is for the years ended December 31, 2019, 2018 and 2017. It is supplemental to, and should be read in conjunction with, the Company’s consolidated financial statements for the years ended December 31, 2019 and 2018 and the combined financial statements for the year ended December 31, 2017 and the accompanying notes for each respective period. The Company’s financial statements are prepared in accordance with accounting principles generally accepted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Financial information presented in this MD&amp;A is presented in United States dollars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unless otherwise indicated.</w:t>
      </w:r>
    </w:p>
    <w:p>
      <w:pPr>
        <w:spacing w:after="0" w:line="19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actual results may differ materially from those anticipated in these forward-looking statements and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THE COMPANY</w:t>
      </w:r>
    </w:p>
    <w:p>
      <w:pPr>
        <w:spacing w:after="0" w:line="121"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March 31, 2020, GTI has operations across 12 U.S. markets, employs approximately 1,700 people and serves hundreds of thousands of patients and customers annually.</w:t>
      </w:r>
    </w:p>
    <w:p>
      <w:pPr>
        <w:spacing w:after="0" w:line="184"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GTI’s core business is manufacturing, distributing and marketing a portfolio of owned cannabis consumer packaged goods brands (which we refer to as our consumer packaged goods business), including Beboe, Dogwalkers, Dr. Solomon’s, incredibles, Rythm and The Feel Collection. We distribute and market these products primarily to third-party licensed retail cannabis stores across the United States as well as to GTI-owned retail stores (which we refer to as our retail business).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Company’s consumer packaged goods portfolio is primarily generated from plant material that GTI grows and processes itself, which we use to produce our consumer packaged goods in 13 manufacturing facilities. This portfolio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cannabis product categories, including flower, pre-rolls, concentrates, vape, capsules, tinctures, edibles, topicals and other cannabis-related products (none of which product categories are individually material to the Company).</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GTI produced products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December 31, 2019, the Company had 39 open and operating retail locations, with state licensed permission to open a total of 96 stores. Our new store opening plans will remain fluid depending on market conditions, obtaining local licensing, construction and other permissions and subject to our capital allocation plans and the evolving situation with respect to the Coronavirus.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Consolidated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the year ended December 31, 2019, GTI has operating revenue in all of its 12 markets (California, Colorado, Connecticut, Florida, Illinois, Maryland, Massachusetts, Nevada, New Jersey, New York, Ohio and Pennsylvania).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Revenue for the year ended December 31, 2019 was $216,433 thousand, up 246% from $62,494 thousand for the year ended December 31, 2018 driven by contribution from both consumer packaged goods and retail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sales across all 12 markets (California, Colorado, Connecticut, Florida, Illinois, Maryland, Massachusetts, Nevada, New Jersey, New York, Ohio and Pennsylvania). Key performance drivers are: distribution expansion of GTI’s branded product portfolio primarily in Illinois, Massachusetts and Pennsylvania; new store openings and increased store traffic to GTI’s 39 open and operating retail stores, particularly in Florida, Illinois, Massachusetts and Pennsylvania; and the addition of revenue from the acquisition of Connecticut-based AGL and Nevada-based Integral Associates.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Cost of goods sold for the year ended December 31, 2019 was $109,402 thousand, up 220% from $34,177 thousand for the year ended December 31, 2018, driven by growth from both Consumer Packaged Goods and Retail sales across all 12 markets (California, Colorado, Connecticut, Florida, Illinois, Maryland, Massachusetts, Nevada, New Jersey, New York, Ohio and Pennsylvania).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Gross profit for the year ended December 31, 2019 was $107,031 thousand, representing a gross margin on the sale of finished cannabis consumer packaged goods of 49%. This is compared to gross profit for the year ended December 31, 2018 of $28,317 thousand or a 45% gross margin driven by increased harvested cannabis and consumer packaged goods shipments, along with incremental contribution from increased volume from Retail sales.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Total expenses for the year ended December 31, 2019 were $134,721 thousand or 62% of Total Revenues, net of discounts, an increase of $80,064 thousand. Total expenses for the year ended December 31, 2018 were $54,657 thousand or 87% of Total Revenues, net of discounts.</w:t>
      </w:r>
    </w:p>
    <w:p>
      <w:pPr>
        <w:spacing w:after="0" w:line="124"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$18,285 thousand, an increase of $6,137 thousand compared to the year ended December 31, 2018. Salaries and benefits also contributed to the increase as a result of new headcount from the Company’s Retail facilities in Florida, Illinois, Nevada, Maryland, Massachusetts and Pennsylvania, along with corporate staff development.</w:t>
      </w:r>
    </w:p>
    <w:p>
      <w:pPr>
        <w:spacing w:after="0" w:line="187" w:lineRule="exact"/>
        <w:rPr>
          <w:sz w:val="20"/>
          <w:szCs w:val="20"/>
          <w:color w:val="auto"/>
        </w:rPr>
      </w:pPr>
    </w:p>
    <w:p>
      <w:pPr>
        <w:ind w:left="120" w:right="300" w:firstLine="991"/>
        <w:spacing w:after="0" w:line="308" w:lineRule="auto"/>
        <w:rPr>
          <w:sz w:val="20"/>
          <w:szCs w:val="20"/>
          <w:color w:val="auto"/>
        </w:rPr>
      </w:pPr>
      <w:r>
        <w:rPr>
          <w:rFonts w:ascii="Arial" w:cs="Arial" w:eastAsia="Arial" w:hAnsi="Arial"/>
          <w:sz w:val="17"/>
          <w:szCs w:val="17"/>
          <w:color w:val="auto"/>
        </w:rPr>
        <w:t>Additionally, the Company had professional fees of $17,714 thousand which represented an increase of $7,025 thousand over the 2018 amount of $10,689 thousand, primarily driven by acquisition related support, and other regulatory and growth-related activities.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jc w:val="both"/>
        <w:ind w:left="120" w:right="80" w:firstLine="991"/>
        <w:spacing w:after="0" w:line="286" w:lineRule="auto"/>
        <w:rPr>
          <w:sz w:val="20"/>
          <w:szCs w:val="20"/>
          <w:color w:val="auto"/>
        </w:rPr>
      </w:pPr>
      <w:r>
        <w:rPr>
          <w:rFonts w:ascii="Arial" w:cs="Arial" w:eastAsia="Arial" w:hAnsi="Arial"/>
          <w:sz w:val="17"/>
          <w:szCs w:val="17"/>
          <w:color w:val="auto"/>
        </w:rPr>
        <w:t>Total other expense for the year ended December 31, 2019 was ($22,512) thousand, compared to income of $56,091 thousand for the year ended December 31, 2018, mainly due to a favorable adjustment to the fair values of the Company’s investments recorded in 2018, as further described in the Liquidity, Financing Activities During the Period, and Capital Resources section of this MD&amp;A.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700" w:firstLine="991"/>
        <w:spacing w:after="0" w:line="27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year ended December 31, 2019, federal and state income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expense totaled $9,344 thousand compared to $7,184 thousand for the year ended December 31, 2018. The net expense of $9,344 thousand for the year ended December 31, 2019 includes current tax expense of $22,761 thousand and deferred tax benefit of $13,417 thousand in the current period. The deferred tax benefit is mainly driven by changes in the fair value of investments and amortization of intangibles.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Operations</w:t>
      </w:r>
    </w:p>
    <w:p>
      <w:pPr>
        <w:spacing w:after="0" w:line="117"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Net operating loss before provision for income taxes and non-controlling interest for the year ended December 31, 2019 was ($50,203) thousand compared to income of $29,751 thousand for the year ended December 31, 2018.</w:t>
      </w:r>
    </w:p>
    <w:p>
      <w:pPr>
        <w:spacing w:after="0" w:line="170"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As presented in the Non-GAAP section, after adjusting for non-cash equity incentive compensation of $18,285 thousand as described above, as well as other non-operating items, adjusted operating EBITDA was $27,762 thousand and ($9,007) thousand for the year ended December 31, 2019 and 2018,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Revenue for the year ended December 31, 2018 was $62,494 thousand, up 278% from $16,529 thousand for the year ended December 31, 2017 due to revenue contribution from Consumer Packaged Goods and Retail sales across Illinois, Maryland, Massachusetts, Nevada and Pennsylvania. Year over year consumer packaged goods growth is driven by expanded distribution to third-party retail customers of GTI’s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jc w:val="both"/>
        <w:ind w:left="120" w:right="500" w:firstLine="991"/>
        <w:spacing w:after="0" w:line="259" w:lineRule="auto"/>
        <w:rPr>
          <w:sz w:val="20"/>
          <w:szCs w:val="20"/>
          <w:color w:val="auto"/>
        </w:rPr>
      </w:pPr>
      <w:r>
        <w:rPr>
          <w:rFonts w:ascii="Arial" w:cs="Arial" w:eastAsia="Arial" w:hAnsi="Arial"/>
          <w:sz w:val="18"/>
          <w:szCs w:val="18"/>
          <w:color w:val="auto"/>
        </w:rPr>
        <w:t>Year ended December 31, 2018 cost of goods sold of $34,177 thousand was up $24,369 thousand or 249% compared to year ended December 31, 2017, driven by expanded production of consumer packaged goods in new markets Maryland and Pennsylvania, as well as material increases from retail sales driven by new store openings and increases in daily transactions across Illinois, Maryland, Massachusetts, Nevada and Pennsylvania.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Gross profit for the year ended December 31, 2018 was $28,317 thousand, representing a gross margin on the sale of branded cannabis flower and processed and packaged products including concentrates, edibles, topicals and other cannabis products, of 45%. This is compared to gross profit for the year ended December 31, 2017 of $6,721 thousand or a 41% gross margin.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Total expenses for year ended December 31, 2018 were $54,657 thousand, an increase of $43,166 thousand, compared to year ended December 31, 2017.</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$12,148 thousand, which is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incremental compared to the prior year. Salaries and benefits also contributed to the increase as a result of new headcount from the Company’s Retail facilities in Illinois, Nevada, Maryland and Pennsylvania along with corporate staff development.</w:t>
      </w:r>
    </w:p>
    <w:p>
      <w:pPr>
        <w:spacing w:after="0" w:line="170" w:lineRule="exact"/>
        <w:rPr>
          <w:sz w:val="20"/>
          <w:szCs w:val="20"/>
          <w:color w:val="auto"/>
        </w:rPr>
      </w:pPr>
    </w:p>
    <w:p>
      <w:pPr>
        <w:ind w:left="120" w:right="300" w:firstLine="991"/>
        <w:spacing w:after="0" w:line="342" w:lineRule="auto"/>
        <w:rPr>
          <w:sz w:val="20"/>
          <w:szCs w:val="20"/>
          <w:color w:val="auto"/>
        </w:rPr>
      </w:pPr>
      <w:r>
        <w:rPr>
          <w:rFonts w:ascii="Arial" w:cs="Arial" w:eastAsia="Arial" w:hAnsi="Arial"/>
          <w:sz w:val="16"/>
          <w:szCs w:val="16"/>
          <w:color w:val="auto"/>
        </w:rPr>
        <w:t>Additionally, the Company had professional fees of $10,689 thousand which represented an increase of $7,171 thousand over the 2017 amount of $3,518 thousand due to the reverse takeover transaction, acquisition related support, and other regulatory and growth related activities.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Total other income for year ended December 31, 2018 was $56,091 thousand, an increase of $55,979 thousand compared to 2017, due to the iAnthus Warrants and other investments recorded at fair value, as further described in the Liquidity, Financing Activities During the Period, and Capital Resources 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w:t>
      </w:r>
    </w:p>
    <w:p>
      <w:pPr>
        <w:spacing w:after="0" w:line="11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2018, Federal and State income tax expense totaled $7,184 thousand compared to $214 thousand provision for income taxes for the year ended December 31, 2017. Deferred tax expense of $4,061 thousand is included in the $7,184 thousand for the current period. This expense is driven by the fair value of Warrants and investments, partially offset by deferred tax benefit related to net operating losses and stock-based compensation.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Operations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operating income before provision for income taxes and non-controlling interest for year ended December 31, 2018 was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$29,751 thousand, compared to a loss of ($4,658) for the year ended December 31, 2017. The increase in net operating income was driven by the fair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 of the iAnthus Warrants and other investments recorded at fair value, partially offset by equity incentive compensation as described above,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 to start-up costs for new markets this year.</w:t>
      </w:r>
    </w:p>
    <w:p>
      <w:pPr>
        <w:spacing w:after="0" w:line="21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As presented in the Non-GAAP section, after adjusting for non-cash equity incentive compensation of $12,148 thousand as described above adjusted operating EBITDA was ($9,007) thousand and ($4,080) thousand for the year ended December 31, 2018 and 2017,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Revenue for the year ended December 31, 2017 was $16,529 thousand, up 129% from $7,214 thousand for the year ended December 31, 2016 due to revenue contribution from Consumer Packaged Goods in Illinois and Retail sales across Illinois and Nevada. Year over year consumer packaged goods growth is driven by expanded distribution to third-party retail customers of GTI’s branded product portfolio including Rythm, The Feel Collection and Dogwalkers. Retail sales growth is driven by increased foot traffic in Illinois and Nevada retail stores and incremental revenue from two Illinois stores which were acquired in October 2017.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Year ended December 31, 2017 cost of goods sold of $9,808 thousand was up $4,259 thousand or 77% compared to year ended December 31, 2016, driven by expanded production of consumer packaged goods in Illinois, as well as increases from retail sales driven by increases in daily transactions in Illinois and Nevada.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80" w:firstLine="991"/>
        <w:spacing w:after="0" w:line="263" w:lineRule="auto"/>
        <w:rPr>
          <w:sz w:val="20"/>
          <w:szCs w:val="20"/>
          <w:color w:val="auto"/>
        </w:rPr>
      </w:pPr>
      <w:r>
        <w:rPr>
          <w:rFonts w:ascii="Arial" w:cs="Arial" w:eastAsia="Arial" w:hAnsi="Arial"/>
          <w:sz w:val="18"/>
          <w:szCs w:val="18"/>
          <w:color w:val="auto"/>
        </w:rPr>
        <w:t>Gross profit for the year ended December 31, 2017 was $6,721 thousand, representing a gross margin on the sale of branded cannabis flower and processed and packaged products including concentrates, edibles, topicals and other cannabis products, of 41%. This is compared to gross profit for the year ended December 31, 2016 of $1,664 thousand or a 23% gross margin.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Total expenses for year ended December 31, 2017 were $11,491 thousand, an increase of $6,827 thousand, compared to year ended December 31, 2016.</w:t>
      </w:r>
    </w:p>
    <w:p>
      <w:pPr>
        <w:spacing w:after="0" w:line="170"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Increase in total expenses was attributable to an increase in general and administrative expenses driven by salaries and benefits as a result of new headcount from the Company’s Retail facilities in Illinois and Nevada, along with corporate staff development and professional fees related to growth related activities.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2017, Federal and State income tax expense totaled $214 thousand compared to zero provision for income taxes for the year ended December 31, 2016.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From Operations</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Net operating loss before provision for income taxes and non-controlling interest for year ended December 31, 2017 was $4,658 thousand, an increase of $1,125 thousand compared to the year ended December 31, 2016. The increase in net operating income was driven by start-up costs for upcoming new markets along with growth related professional fees.</w:t>
      </w:r>
    </w:p>
    <w:p>
      <w:pPr>
        <w:spacing w:after="0" w:line="184"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As presented in the Non-GAAP section, after adjusting for non-operating items, adjusted operating EBITDA was ($4,080) thousand and ($2,506) thousand for the year ended December 31, 2017 and 2016,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by Segment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tables summarize revenues net of sales discounts by segment for the years ended December 31, 2019, 2018 and 2017:</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2019 vs. 2018</w:t>
            </w:r>
          </w:p>
        </w:tc>
        <w:tc>
          <w:tcPr>
            <w:tcW w:w="1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$109,930,160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$25,706,134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8,375,953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84,224,026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17,330,181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Retail</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137,809,904</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41,994,791</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9,924,970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95,815,113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228%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32,069,821</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(31,307,459)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(5,207,245)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(1,772,144)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(26,100,214)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(3,435,101)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4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216,432,605</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62,493,676</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16,528,779</w:t>
            </w:r>
          </w:p>
        </w:tc>
        <w:tc>
          <w:tcPr>
            <w:tcW w:w="20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153,938,929</w:t>
            </w:r>
          </w:p>
        </w:tc>
        <w:tc>
          <w:tcPr>
            <w:tcW w:w="220" w:type="dxa"/>
            <w:vAlign w:val="bottom"/>
            <w:vMerge w:val="continue"/>
          </w:tcPr>
          <w:p>
            <w:pPr>
              <w:spacing w:after="0"/>
              <w:rPr>
                <w:sz w:val="19"/>
                <w:szCs w:val="19"/>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auto"/>
              </w:rPr>
              <w:t>246%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45,964,897</w:t>
            </w:r>
          </w:p>
        </w:tc>
        <w:tc>
          <w:tcPr>
            <w:tcW w:w="220" w:type="dxa"/>
            <w:vAlign w:val="bottom"/>
            <w:vMerge w:val="continue"/>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17"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Revenues, net of discounts for the Consumer Packaged Goods Segment were $109,930,160, an increase of $84,224,026 or 328%, compared to the year ended December 31, 2018. The increase in Consumer Packaged Goods revenues, net of discounts, was primarily driven by increased sales volume in established markets such as Illinois, Massachusetts, Maryland and Pennsylvania as well as the acquisition of Advanced Grow Labs, LLC’s cultivation and processing facility and Integral Associates, LLC’s Desert Grown Farms cultivation and processing facility.</w:t>
      </w:r>
    </w:p>
    <w:p>
      <w:pPr>
        <w:spacing w:after="0" w:line="157"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Revenues, net of discounts for the Retail Segment were $137,809,904, an increase of $95,815,113 or 228%, compared to the year ended December 31, 2018. The increase in Retail revenues, net of discounts, was primarily driven by new store openings, the acquisition of Integral Associates, LLC’s Essence branded dispensaries and increased sales volume at existing stores.</w:t>
      </w:r>
    </w:p>
    <w:p>
      <w:pPr>
        <w:spacing w:after="0" w:line="184"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CPG level while reviewing its operating results on a consolidated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17"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Revenues, net of discounts for the Consumer Packaged Goods Segment were $25,706,134, an increase of $17,330,181 or 207%, compared to the year ended December 31, 2017. The increase in Consumer Packaged Goods revenues, net of discounts, was primarily driven by new markets in Pennsylvania and Massachusetts along with increased sales volume in the established markets of Illinois and Maryland.</w:t>
      </w:r>
    </w:p>
    <w:p>
      <w:pPr>
        <w:spacing w:after="0" w:line="165" w:lineRule="exact"/>
        <w:rPr>
          <w:sz w:val="20"/>
          <w:szCs w:val="20"/>
          <w:color w:val="auto"/>
        </w:rPr>
      </w:pPr>
    </w:p>
    <w:p>
      <w:pPr>
        <w:ind w:left="120" w:right="280" w:firstLine="991"/>
        <w:spacing w:after="0" w:line="259" w:lineRule="auto"/>
        <w:rPr>
          <w:sz w:val="20"/>
          <w:szCs w:val="20"/>
          <w:color w:val="auto"/>
        </w:rPr>
      </w:pPr>
      <w:r>
        <w:rPr>
          <w:rFonts w:ascii="Arial" w:cs="Arial" w:eastAsia="Arial" w:hAnsi="Arial"/>
          <w:sz w:val="18"/>
          <w:szCs w:val="18"/>
          <w:color w:val="auto"/>
        </w:rPr>
        <w:t>Revenues, net of discounts for the Retail Segment were $41,994,791, an increase of $32,069,821 or 323%, compared to the year ended December 31, 2017. The increase in Retail revenues, net of discounts, was primarily driven by new store openings in Pennsylvania and Maryland, increased sales volume at existing stores in the established markets of Illinois and Nevada as well as the revenue from the acquisition of two Illinois stores in October 2017.</w:t>
      </w:r>
    </w:p>
    <w:p>
      <w:pPr>
        <w:spacing w:after="0" w:line="18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CPG level while reviewing its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320" w:firstLine="991"/>
        <w:spacing w:after="0" w:line="301" w:lineRule="auto"/>
        <w:rPr>
          <w:sz w:val="20"/>
          <w:szCs w:val="20"/>
          <w:color w:val="auto"/>
        </w:rPr>
      </w:pPr>
      <w:r>
        <w:rPr>
          <w:rFonts w:ascii="Arial" w:cs="Arial" w:eastAsia="Arial" w:hAnsi="Arial"/>
          <w:sz w:val="16"/>
          <w:szCs w:val="16"/>
          <w:color w:val="auto"/>
        </w:rPr>
        <w:t>The Company derives its revenue from two revenue streams: a Consumer Packaged Good business in which it manufactures, sells and distributes its portfolio of finished consumer packaged goods, including brands Rythm, Dogwalkers, The Feel Collection and Beboe, among others, primarily to third-party retail customers; and a Retail business in which it sells finished goods sourced primarily from third-party cannabis manufacturers direct to the end consumer in its brick and mortar retail stores, as well as direct-to-consumer delivery where applicable by state law.</w:t>
      </w:r>
    </w:p>
    <w:p>
      <w:pPr>
        <w:spacing w:after="0" w:line="157"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For the year ended December 31, 2019, revenue was contributed from consumer packaged goods and retail sales across California, Colorado, Connecticut, Florida, Illinois, Maryland, Massachusetts, Nevada, New Jersey, New York, Ohio and Pennsylvania.</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70"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During the year ended December 31, 2019, the Company continued to be focused on executing sustainable, profitable growth of the Company’s base business while pursuing national expansion. GTI expects to continue its growth strategy for the foreseeable future as the Company expands its consumer packaged goods and retail footprint within its current markets with acquisitions and partnerships, and scales resources into new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00" w:firstLine="991"/>
        <w:spacing w:after="0" w:line="308"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ongoing business.</w:t>
      </w:r>
    </w:p>
    <w:p>
      <w:pPr>
        <w:spacing w:after="0" w:line="146"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Selling costs generally correlate to revenue. As a percentage of sales, the Company expects selling costs to remain relatively flat in the more established operational markets (Connecticut, Illinois, Nevada, Maryland, Massachusetts and Pennsylvania) and increase in the up and coming markets as business continues to grow (Florida, New Jersey, New York and Ohio). The increase is expected to be driven primarily by the growth of our Retail channels and the ramp up from pre-revenue to sustainable market share.</w:t>
      </w:r>
    </w:p>
    <w:p>
      <w:pPr>
        <w:spacing w:after="0" w:line="187" w:lineRule="exact"/>
        <w:rPr>
          <w:sz w:val="20"/>
          <w:szCs w:val="20"/>
          <w:color w:val="auto"/>
        </w:rPr>
      </w:pPr>
    </w:p>
    <w:p>
      <w:pPr>
        <w:ind w:left="120" w:right="220" w:firstLine="991"/>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corporate offices, primarily related to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expects to continue to incur acquisition and transaction costs related to these expansion plans and anticipates an increase in stock compensation expenses related to recruiting and hiring talent, along with legal and professional fees associated with being a publicly traded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140" w:firstLine="991"/>
        <w:spacing w:after="0" w:line="271" w:lineRule="auto"/>
        <w:rPr>
          <w:sz w:val="20"/>
          <w:szCs w:val="20"/>
          <w:color w:val="auto"/>
        </w:rPr>
      </w:pPr>
      <w:r>
        <w:rPr>
          <w:rFonts w:ascii="Arial" w:cs="Arial" w:eastAsia="Arial" w:hAnsi="Arial"/>
          <w:sz w:val="17"/>
          <w:szCs w:val="17"/>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superior to, as a substitute for or as an alternative to, and should be considered in conjunction with, the GAAP financial measures presented.</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tcPr>
          <w:p>
            <w:pPr>
              <w:jc w:val="right"/>
              <w:ind w:right="141"/>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(59,547)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22,568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(1,953)</w:t>
            </w:r>
          </w:p>
        </w:tc>
        <w:tc>
          <w:tcPr>
            <w:tcW w:w="24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13,659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2,279</w:t>
            </w: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7,184</w:t>
            </w:r>
          </w:p>
        </w:tc>
        <w:tc>
          <w:tcPr>
            <w:tcW w:w="900" w:type="dxa"/>
            <w:vAlign w:val="bottom"/>
            <w:gridSpan w:val="3"/>
          </w:tcPr>
          <w:p>
            <w:pPr>
              <w:jc w:val="right"/>
              <w:ind w:right="2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10,319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(56,417)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31,153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5,184</w:t>
            </w:r>
          </w:p>
        </w:tc>
        <w:tc>
          <w:tcPr>
            <w:tcW w:w="900" w:type="dxa"/>
            <w:vAlign w:val="bottom"/>
            <w:gridSpan w:val="3"/>
          </w:tcPr>
          <w:p>
            <w:pPr>
              <w:jc w:val="right"/>
              <w:ind w:right="2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Earnings before interest, taxes, depreciation and amortization (EBITDA) (non-GAAP</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measure)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3,462</w:t>
            </w: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89"/>
              </w:rPr>
              <w:t>(21,155)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non-cash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27,762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(4,080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As of December 31, 2019, and 2018, the Company had total current liabilities of $111,367 thousand and $47,852 thousand, respectively, and cash and cash equivalents of $46,667 thousand and $145,986 thousand, respectively to meet its current obligations. As of December 31, 2019, the Company had working capital of ($2,305) thousand, down $123,515 thousand as compared to December 31, 2018, driven primarily by liabilities arising from the completion of business acquisitions during the year ended December 31, 2019. Contingent consideration payable of $50,391 thousand and liability for acquisition of noncontrolling interest of $5,500 thousand are two such current liabilities, both of which the Company has the ability to settle in cash or Subordinated Voting Shares. In each instance, the Company anticipates settling these liabilities in full with Subordinated Voting Shares, thereby increasing working capital (adjusted for these non-cash liabilities) to $53,587 thousand for the year ended December 31, 2019.</w:t>
      </w:r>
    </w:p>
    <w:p>
      <w:pPr>
        <w:spacing w:after="0" w:line="166"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The Company is an early-stage growth company. It is generating cash from sales and is deploying its capital reserves to acquire and develop assets capable of producing additional revenues and earnings over both the immediate and near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operating activities for the years ended December 31, 2019, 2018 and 2017,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12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6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($18,014)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($17,683)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cash used in investing activities for the years ended December 31, 2019, 2018 and 2017,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6"/>
              </w:rPr>
              <w:t>Years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38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($174,671)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($111,421)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($26,025)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20" w:type="dxa"/>
            <w:vAlign w:val="bottom"/>
          </w:tcPr>
          <w:p>
            <w:pPr>
              <w:spacing w:after="0"/>
              <w:rPr>
                <w:sz w:val="24"/>
                <w:szCs w:val="24"/>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cash provided by financing activities for the years ended December 31, 2019, 2018 and 2017,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4"/>
                <w:szCs w:val="14"/>
                <w:color w:val="auto"/>
              </w:rPr>
            </w:pPr>
          </w:p>
        </w:tc>
        <w:tc>
          <w:tcPr>
            <w:tcW w:w="278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$93,366</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$245,525</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the Company’s future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r>
              <w:rPr>
                <w:rFonts w:ascii="Arial" w:cs="Arial" w:eastAsia="Arial" w:hAnsi="Arial"/>
                <w:sz w:val="15"/>
                <w:szCs w:val="15"/>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$105,466,429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970,957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206,675</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184,913</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188,958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193,092</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197,319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Due on Notes Payable</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30,304,983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12,655,971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12,655,971</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4,993,041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Leases - Third Party</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104,768,501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10,041,583</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10,862,998</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10,261,431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10,039,912</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8,750,062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95"/>
              </w:rPr>
              <w:t>54,812,515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Related Parties</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18,676,425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1,392,233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1,424,852</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1,492,438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1,384,036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11,524,619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Contingent Consideration</w:t>
            </w:r>
            <w:r>
              <w:rPr>
                <w:rFonts w:ascii="Arial" w:cs="Arial" w:eastAsia="Arial" w:hAnsi="Arial"/>
                <w:sz w:val="15"/>
                <w:szCs w:val="15"/>
                <w:color w:val="auto"/>
              </w:rPr>
              <w:t>(b)</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58,936,739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50,391,181</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8,545,558</w:t>
            </w:r>
          </w:p>
        </w:tc>
        <w:tc>
          <w:tcPr>
            <w:tcW w:w="8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Liability for Acquisition of Noncontrolling</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r>
              <w:rPr>
                <w:rFonts w:ascii="Arial" w:cs="Arial" w:eastAsia="Arial" w:hAnsi="Arial"/>
                <w:sz w:val="15"/>
                <w:szCs w:val="15"/>
                <w:color w:val="auto"/>
              </w:rPr>
              <w:t>(b)</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5,500,000</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10,877,000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10,877,000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 of December 31, 2019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335,501,034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91,064,643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33,674,292</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122,368,106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11,725,442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10,331,417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66,337,134</w:t>
            </w: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hanging="244"/>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amount excludes $15,090,517 of unamortized debt discount as of December 31, 2019. See Note 10 - Notes Payable for details.</w:t>
      </w:r>
    </w:p>
    <w:p>
      <w:pPr>
        <w:spacing w:after="0" w:line="23" w:lineRule="exact"/>
        <w:rPr>
          <w:rFonts w:ascii="Arial" w:cs="Arial" w:eastAsia="Arial" w:hAnsi="Arial"/>
          <w:sz w:val="18"/>
          <w:szCs w:val="18"/>
          <w:color w:val="auto"/>
        </w:rPr>
      </w:pPr>
    </w:p>
    <w:p>
      <w:pPr>
        <w:ind w:left="120" w:right="360" w:hanging="4"/>
        <w:spacing w:after="0" w:line="260"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Company has the ability to settle these liabilities in cash or Subordinated Voting Shares. In each instance, the Company anticipates settling these liabilities in full through the issuance of Subordinate Voting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December 31, 2019,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Pending and Subsequent Transactions</w:t>
      </w:r>
    </w:p>
    <w:p>
      <w:pPr>
        <w:spacing w:after="0" w:line="121"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an unrelated third party. GTI will lease back the facility via a long-term agreement and continue to operate and manage it. The purchase price for the property was $2.9 million, excluding transaction costs. GTI is also expected to make certain improvements to the property that will significantly enhance production capacity, for which GTI will be reimbursed up to $4.3 million. Assuming full reimbursement for such improvements, the total investment in the property will be $7.2 million.</w:t>
      </w:r>
    </w:p>
    <w:p>
      <w:pPr>
        <w:spacing w:after="0" w:line="188"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an unrelated third party. GTI will lease back the facility via a long-term agreement and continue to operate and manage it. The purchase price for the property was $9.0 million, excluding transaction costs. GTI is also expected to make certain improvements to the property that will significantly enhance production capacity, for which GTI will be reimbursed up to $41.0 million. Assuming full reimbursement for such improvements, the total investment in the property will be $50.0 million.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The following GAAP standards have been recently issued by the accounting standards board. The Company is assessing the impact of these new standards on future consolidated financial statements.</w:t>
      </w:r>
    </w:p>
    <w:p>
      <w:pPr>
        <w:spacing w:after="0" w:line="76" w:lineRule="exact"/>
        <w:rPr>
          <w:sz w:val="20"/>
          <w:szCs w:val="20"/>
          <w:color w:val="auto"/>
        </w:rPr>
      </w:pPr>
    </w:p>
    <w:p>
      <w:pPr>
        <w:ind w:left="1640" w:right="140" w:hanging="539"/>
        <w:spacing w:after="0" w:line="296" w:lineRule="auto"/>
        <w:tabs>
          <w:tab w:leader="none" w:pos="164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3" w:lineRule="exact"/>
        <w:rPr>
          <w:rFonts w:ascii="Arial" w:cs="Arial" w:eastAsia="Arial" w:hAnsi="Arial"/>
          <w:sz w:val="16"/>
          <w:szCs w:val="16"/>
          <w:i w:val="1"/>
          <w:iCs w:val="1"/>
          <w:color w:val="auto"/>
        </w:rPr>
      </w:pPr>
    </w:p>
    <w:p>
      <w:pPr>
        <w:ind w:left="1660" w:right="20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Upon adoption of ASU 2016-02, the Company recorded right-of-use assets of $11,197,339 and corresponding lease liabilities of $11,695,585 with the difference of $498,246 recorded in opening retained earnings.</w:t>
      </w:r>
    </w:p>
    <w:p>
      <w:pPr>
        <w:spacing w:after="0" w:line="75" w:lineRule="exact"/>
        <w:rPr>
          <w:rFonts w:ascii="Arial" w:cs="Arial" w:eastAsia="Arial" w:hAnsi="Arial"/>
          <w:sz w:val="16"/>
          <w:szCs w:val="16"/>
          <w:i w:val="1"/>
          <w:iCs w:val="1"/>
          <w:color w:val="auto"/>
        </w:rPr>
      </w:pPr>
    </w:p>
    <w:p>
      <w:pPr>
        <w:jc w:val="both"/>
        <w:ind w:left="1640" w:right="120" w:hanging="539"/>
        <w:spacing w:after="0" w:line="287" w:lineRule="auto"/>
        <w:tabs>
          <w:tab w:leader="none" w:pos="164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w:t>
      </w:r>
    </w:p>
    <w:p>
      <w:pPr>
        <w:spacing w:after="0" w:line="2" w:lineRule="exact"/>
        <w:rPr>
          <w:rFonts w:ascii="Arial" w:cs="Arial" w:eastAsia="Arial" w:hAnsi="Arial"/>
          <w:sz w:val="16"/>
          <w:szCs w:val="16"/>
          <w:i w:val="1"/>
          <w:iCs w:val="1"/>
          <w:color w:val="auto"/>
        </w:rPr>
      </w:pPr>
    </w:p>
    <w:p>
      <w:pPr>
        <w:ind w:left="164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67" w:lineRule="exact"/>
        <w:rPr>
          <w:rFonts w:ascii="Arial" w:cs="Arial" w:eastAsia="Arial" w:hAnsi="Arial"/>
          <w:sz w:val="16"/>
          <w:szCs w:val="16"/>
          <w:i w:val="1"/>
          <w:iCs w:val="1"/>
          <w:color w:val="auto"/>
        </w:rPr>
      </w:pPr>
    </w:p>
    <w:p>
      <w:pPr>
        <w:ind w:left="1640" w:right="40" w:hanging="539"/>
        <w:spacing w:after="0" w:line="272" w:lineRule="auto"/>
        <w:tabs>
          <w:tab w:leader="none" w:pos="164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intends to adopt the new standard in the first quarter of 2020.</w:t>
      </w:r>
    </w:p>
    <w:p>
      <w:pPr>
        <w:spacing w:after="0" w:line="82" w:lineRule="exact"/>
        <w:rPr>
          <w:rFonts w:ascii="Arial" w:cs="Arial" w:eastAsia="Arial" w:hAnsi="Arial"/>
          <w:sz w:val="17"/>
          <w:szCs w:val="17"/>
          <w:i w:val="1"/>
          <w:iCs w:val="1"/>
          <w:color w:val="auto"/>
        </w:rPr>
      </w:pPr>
    </w:p>
    <w:p>
      <w:pPr>
        <w:ind w:left="1640" w:right="120" w:hanging="539"/>
        <w:spacing w:after="0" w:line="279" w:lineRule="auto"/>
        <w:tabs>
          <w:tab w:leader="none" w:pos="164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In August 2018, the FASB issued ASU 2018-13, Disclosure Framework—Changes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76" w:lineRule="exact"/>
        <w:rPr>
          <w:rFonts w:ascii="Arial" w:cs="Arial" w:eastAsia="Arial" w:hAnsi="Arial"/>
          <w:sz w:val="17"/>
          <w:szCs w:val="17"/>
          <w:i w:val="1"/>
          <w:iCs w:val="1"/>
          <w:color w:val="auto"/>
        </w:rPr>
      </w:pPr>
    </w:p>
    <w:p>
      <w:pPr>
        <w:ind w:left="1640" w:right="140" w:hanging="539"/>
        <w:spacing w:after="0" w:line="287" w:lineRule="auto"/>
        <w:tabs>
          <w:tab w:leader="none" w:pos="164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In December 2019, the FASB issued ASU 2019-12, Income Taxes (Topic 740)—Simplifying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w:t>
      </w:r>
    </w:p>
    <w:p>
      <w:pPr>
        <w:spacing w:after="0" w:line="2" w:lineRule="exact"/>
        <w:rPr>
          <w:rFonts w:ascii="Arial" w:cs="Arial" w:eastAsia="Arial" w:hAnsi="Arial"/>
          <w:sz w:val="16"/>
          <w:szCs w:val="16"/>
          <w:i w:val="1"/>
          <w:iCs w:val="1"/>
          <w:color w:val="auto"/>
        </w:rPr>
      </w:pPr>
    </w:p>
    <w:p>
      <w:pPr>
        <w:ind w:left="1640" w:right="14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2019-12 is effective for the Company beginning January 1, 2021. The Company is currently evaluating the effect of adopting this ASU on the Company’s financial statements.</w:t>
      </w:r>
    </w:p>
    <w:p>
      <w:pPr>
        <w:spacing w:after="0" w:line="90" w:lineRule="exact"/>
        <w:rPr>
          <w:rFonts w:ascii="Arial" w:cs="Arial" w:eastAsia="Arial" w:hAnsi="Arial"/>
          <w:sz w:val="16"/>
          <w:szCs w:val="16"/>
          <w:i w:val="1"/>
          <w:iCs w:val="1"/>
          <w:color w:val="auto"/>
        </w:rPr>
      </w:pPr>
    </w:p>
    <w:p>
      <w:pPr>
        <w:ind w:left="1640" w:hanging="539"/>
        <w:spacing w:after="0" w:line="263" w:lineRule="auto"/>
        <w:tabs>
          <w:tab w:leader="none" w:pos="16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Investments—Equity Securities (Topic 321), Investments—Equity Method and Joint Ventures (Topic 323), and Derivatives and Hedging (Topic 815) (“ASU 2020-01”), which is intended to clarify the interaction of the accounting for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60" w:right="180"/>
        <w:spacing w:after="0" w:line="259" w:lineRule="auto"/>
        <w:rPr>
          <w:sz w:val="20"/>
          <w:szCs w:val="20"/>
          <w:color w:val="auto"/>
        </w:rPr>
      </w:pPr>
      <w:r>
        <w:rPr>
          <w:rFonts w:ascii="Arial" w:cs="Arial" w:eastAsia="Arial" w:hAnsi="Arial"/>
          <w:sz w:val="18"/>
          <w:szCs w:val="18"/>
          <w:color w:val="auto"/>
        </w:rPr>
        <w:t>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4"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the Corporation the ability to operate in each market. However, some cannabis licenses are subject to renewal and therefore there is some risk of non-renewal for several reasons, including operational, regulatory, legal or economic. To appropriately consider the risk of non-renewal, the Corporation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ind w:left="120" w:right="220" w:firstLine="991"/>
        <w:spacing w:after="0" w:line="257" w:lineRule="auto"/>
        <w:rPr>
          <w:sz w:val="20"/>
          <w:szCs w:val="20"/>
          <w:color w:val="auto"/>
        </w:rPr>
      </w:pPr>
      <w:r>
        <w:rPr>
          <w:rFonts w:ascii="Arial" w:cs="Arial" w:eastAsia="Arial" w:hAnsi="Arial"/>
          <w:sz w:val="18"/>
          <w:szCs w:val="18"/>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See Note 20 - Segment Reporting for additional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jc w:val="both"/>
        <w:ind w:left="120" w:firstLine="991"/>
        <w:spacing w:after="0" w:line="275" w:lineRule="auto"/>
        <w:rPr>
          <w:sz w:val="20"/>
          <w:szCs w:val="20"/>
          <w:color w:val="auto"/>
        </w:rPr>
      </w:pPr>
      <w:r>
        <w:rPr>
          <w:rFonts w:ascii="Arial" w:cs="Arial" w:eastAsia="Arial" w:hAnsi="Arial"/>
          <w:sz w:val="17"/>
          <w:szCs w:val="17"/>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 See Note 14 – Variable Interest Entities for further details.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The individual fair values attributed to the different components of a financing transaction, including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4"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1100" w:right="154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89" w:lineRule="exact"/>
        <w:rPr>
          <w:sz w:val="20"/>
          <w:szCs w:val="20"/>
          <w:color w:val="auto"/>
        </w:rPr>
      </w:pPr>
    </w:p>
    <w:p>
      <w:pPr>
        <w:ind w:left="120" w:right="3880"/>
        <w:spacing w:after="0" w:line="378" w:lineRule="auto"/>
        <w:rPr>
          <w:sz w:val="20"/>
          <w:szCs w:val="20"/>
          <w:color w:val="auto"/>
        </w:rPr>
      </w:pPr>
      <w:r>
        <w:rPr>
          <w:rFonts w:ascii="Arial" w:cs="Arial" w:eastAsia="Arial" w:hAnsi="Arial"/>
          <w:sz w:val="18"/>
          <w:szCs w:val="18"/>
          <w:b w:val="1"/>
          <w:bCs w:val="1"/>
          <w:color w:val="auto"/>
        </w:rPr>
        <w:t>ITEM 7A. QUANTITAVE AND QUALITATIVE DISCLOSURES ABOUT MARKET RISK Financial Risk Management</w:t>
      </w:r>
    </w:p>
    <w:p>
      <w:pPr>
        <w:ind w:left="120" w:right="520" w:firstLine="44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Credit risk is the risk of a potential loss to the Company if a customer or third party to a financial instrument fails to meet its contractual obligations. The maximum credit exposure at December 31, 2019 is the carrying amount of cash and cash equivalents. The Company does not have significant credit risk with respect to its customers. All cash and cash equivalents are placed with major U.S. financial institutions.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The Company provides credit to its customers in the normal course of business. The Company has established credit evaluation and monitoring processes to mitigate credit risk but has limited risk as the majority of its sales are transacted with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raw material and other commodity prices.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operating results and financial position of the Company are reported in U.S. dollars. Some of the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are 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The Company’s financial debts have fixed rates of interest and therefore expose the Company to a limited interest rate fair value risk.</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Commodities Price Risk</w:t>
      </w:r>
      <w:r>
        <w:rPr>
          <w:rFonts w:ascii="Arial" w:cs="Arial" w:eastAsia="Arial" w:hAnsi="Arial"/>
          <w:sz w:val="16"/>
          <w:szCs w:val="16"/>
          <w:color w:val="auto"/>
        </w:rPr>
        <w:t>. Price risk is the risk of variability in fair value due to movements in equity or market prices. The primary raw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information required by Item 8 is located beginning on page F-1 of this report.</w:t>
      </w:r>
    </w:p>
    <w:p>
      <w:pPr>
        <w:spacing w:after="0" w:line="329" w:lineRule="exact"/>
        <w:rPr>
          <w:sz w:val="20"/>
          <w:szCs w:val="20"/>
          <w:color w:val="auto"/>
        </w:rPr>
      </w:pPr>
    </w:p>
    <w:p>
      <w:pPr>
        <w:ind w:left="120" w:right="1040"/>
        <w:spacing w:after="0" w:line="375" w:lineRule="auto"/>
        <w:rPr>
          <w:sz w:val="20"/>
          <w:szCs w:val="20"/>
          <w:color w:val="auto"/>
        </w:rPr>
      </w:pPr>
      <w:r>
        <w:rPr>
          <w:rFonts w:ascii="Arial" w:cs="Arial" w:eastAsia="Arial" w:hAnsi="Arial"/>
          <w:sz w:val="18"/>
          <w:szCs w:val="18"/>
          <w:b w:val="1"/>
          <w:bCs w:val="1"/>
          <w:color w:val="auto"/>
        </w:rPr>
        <w:t>ITEM 9. CHANGES AND DISAGREEMENTS WITH ACCOUNTANTS ON ACCOUNTING AND FINANCIAL DISCLOSURE Prior Independent Registered Accounting Firm</w:t>
      </w:r>
    </w:p>
    <w:p>
      <w:pPr>
        <w:spacing w:after="0" w:line="1"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color w:val="auto"/>
        </w:rPr>
        <w:t>Following the Transaction, the independent registered public accounting firm of the Corporation was MNP LLP (“</w:t>
      </w:r>
      <w:r>
        <w:rPr>
          <w:rFonts w:ascii="Arial" w:cs="Arial" w:eastAsia="Arial" w:hAnsi="Arial"/>
          <w:sz w:val="18"/>
          <w:szCs w:val="18"/>
          <w:b w:val="1"/>
          <w:bCs w:val="1"/>
          <w:color w:val="auto"/>
        </w:rPr>
        <w:t>MNP</w:t>
      </w:r>
      <w:r>
        <w:rPr>
          <w:rFonts w:ascii="Arial" w:cs="Arial" w:eastAsia="Arial" w:hAnsi="Arial"/>
          <w:sz w:val="18"/>
          <w:szCs w:val="18"/>
          <w:color w:val="auto"/>
        </w:rPr>
        <w:t>”) located at 111 Richmond Street W, Suite 300, Toronto, Ontario M5H 2G4, Canada. The Corporation engaged MNP on February 21, 2019, and MNP completed an audit of the Corporation for the year ended December 31, 2018. MNP resigned as the Corporation’s auditor effective October 15, 2019. The resignation of MNP was approved by the Audit Committee and the Board.</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During the year ended December 31, 2018 and the subsequent period through October 15, 2019, the date of MNP’s resignation, there were no (1) disagreements with MNP on any matter of accounting principles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practices, financial statement disclosure or auditing scope or procedure, which, if not resolved to MNP’s satisfaction, would have caused MNP to make reference thereto in its report on the consolidated financial statements of the Corporation (as described in Item 304(a)(1)(iv) of Regulation S-K) or (2) reportable events (as described in Item 304(a)(1)(v) of Regulation S-K).</w:t>
      </w:r>
    </w:p>
    <w:p>
      <w:pPr>
        <w:spacing w:after="0" w:line="184"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MNP’s report on the consolidated financial statements of the Corporation for the year ended December 31, 2018 did not contain an adverse opinion or a disclaimer of opinion and was not qualified or modified as to uncertainty, audit scope or accounting principles.</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provided MNP with a copy of the foregoing disclosures and requested that MNP furnish us with a letter addressed to the SEC stating whether MNP agrees with the statements made herein and, if not, stating the respects in which it does not agree. A copy of the letter is filed as Exhibit 16.1 to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Engagement of Macias Gini &amp; O’Connell LLP</w:t>
      </w:r>
    </w:p>
    <w:p>
      <w:pPr>
        <w:spacing w:after="0" w:line="117"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color w:val="auto"/>
        </w:rPr>
        <w:t>The Corporation appointed Macias Gini &amp; O’Connell LLP (“</w:t>
      </w:r>
      <w:r>
        <w:rPr>
          <w:rFonts w:ascii="Arial" w:cs="Arial" w:eastAsia="Arial" w:hAnsi="Arial"/>
          <w:sz w:val="17"/>
          <w:szCs w:val="17"/>
          <w:b w:val="1"/>
          <w:bCs w:val="1"/>
          <w:color w:val="auto"/>
        </w:rPr>
        <w:t>MGO</w:t>
      </w:r>
      <w:r>
        <w:rPr>
          <w:rFonts w:ascii="Arial" w:cs="Arial" w:eastAsia="Arial" w:hAnsi="Arial"/>
          <w:sz w:val="17"/>
          <w:szCs w:val="17"/>
          <w:color w:val="auto"/>
        </w:rPr>
        <w:t>”) located at 2029 Century Park East, Suite 1500, Los Angeles, California 90067 as its independent registered public accounting firm effective October 17, 2019. The engagement of MGO was approved by the Audit Committee and the Board. MGO will complete an audit of the Corporation for the year ended December 31, 2019. Additionally, in connection with this Annual Report on Form 10-K, MGO provided audits of the Corporation for the years ended December 31, 2016 and 2017.</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period from October 17, 2019 through November 30, 2019, the Company did not consult with MGO regarding any of the following:</w:t>
      </w:r>
    </w:p>
    <w:p>
      <w:pPr>
        <w:spacing w:after="0" w:line="154" w:lineRule="exact"/>
        <w:rPr>
          <w:sz w:val="20"/>
          <w:szCs w:val="20"/>
          <w:color w:val="auto"/>
        </w:rPr>
      </w:pPr>
    </w:p>
    <w:p>
      <w:pPr>
        <w:jc w:val="both"/>
        <w:ind w:left="1080" w:right="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Corporation’s financial statements, and neither a written report nor oral advice was provided to the Corporation that MGO concluded was an important factor considered by the Corporation in reaching a decision as to an accounting, auditing or financial reporting issue; or</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described in Item 304(a)(1)(iv) of Regulation S-K) or a reportable event (as described in Item 304(a)(1)(v) of Regulation S-K).</w:t>
      </w:r>
    </w:p>
    <w:p>
      <w:pPr>
        <w:spacing w:after="0" w:line="170"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MGO’s reports on the combined financial statements of the Corporation for the years ended December 31, 2016 and 2017 did not contain an adverse opinion or a disclaimer of opinion and were not qualified or modified as to uncertainty, audit scope or accounting principle.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EXECUTIVE OFFICERS OF GREEN THUMB INDUSTRIES INC.</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Information regarding directors and executive officers is incorporated herein by reference to the 2020 proxy statement.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information required by this item will be set forth under Executive Compensation in the Green Thumb Industries Inc. Proxy Statement for the 2020 Annual Meeting of Shareholders, which are incorporated herein by reference.</w:t>
      </w:r>
    </w:p>
    <w:p>
      <w:pPr>
        <w:spacing w:after="0" w:line="274"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Information regarding security ownership of certain beneficial owners and management is incorporated herein by reference to the 2020 Proxy Statement.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shareholders and the Board approved the Stock and Incentive Plan on June 11, 2018, and amended it effective August 30, 2019. The granting of awards under the Stock and Incentive Plan is intended to promote the interests of the Company and its shareholders by aiding the Company in attracting and retaining persons capable of assuring the future success of the Company, to offer such persons incentives to put forth maximum efforts for the success of the Company’s business and to compensate such persons through various stock and cash-based arrangements and provide them with opportunities for stock ownership in the Company, thereby aligning the interests of such persons with the Company’s shareholders. Eligible participants under the Stock and Incentive Plan include non-employee directors, officers (including the named executive officers), employees, consultants and advisors of the Company and its subsidiaries. The Stock and Incentive Plan will be administered by the Board or a committee thereof appointed by the Board (the “</w:t>
      </w:r>
      <w:r>
        <w:rPr>
          <w:rFonts w:ascii="Arial" w:cs="Arial" w:eastAsia="Arial" w:hAnsi="Arial"/>
          <w:sz w:val="17"/>
          <w:szCs w:val="17"/>
          <w:b w:val="1"/>
          <w:bCs w:val="1"/>
          <w:color w:val="auto"/>
        </w:rPr>
        <w:t>Stock and Incentive Plan Committee</w:t>
      </w:r>
      <w:r>
        <w:rPr>
          <w:rFonts w:ascii="Arial" w:cs="Arial" w:eastAsia="Arial" w:hAnsi="Arial"/>
          <w:sz w:val="17"/>
          <w:szCs w:val="17"/>
          <w:color w:val="auto"/>
        </w:rPr>
        <w:t>”).</w:t>
      </w:r>
    </w:p>
    <w:p>
      <w:pPr>
        <w:spacing w:after="0" w:line="17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Pursuant to the Stock and Incentive Plan, the Company may issue equity-based compensation (denominated in Subordinate Voting Shares) in the form of stock options, stock appreciation rights, restricted stock awards, restricted stock units, performance shares, performance units and dividend equivalent awards to eligible participants. The Stock and Incentive Plan Committee or its permitted delegates has the power and discretionary authority to determine the amount, terms and conditions of the Stock and Incentive Plan awards, including, without limitation, (i) the exercise price of any stock options or stock appreciation rights, (ii) the method of payment for shares purchased pursuant to any award, (iii) the method for satisfying any tax withholding obligation arising in connection with any award, including by net exercise or the withholding or delivery of shares, (iv) the timing, terms and conditions of the exercisability, vesting or payout of any award or any shares acquired pursuant thereto, (v) 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non-employee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securities authorized for issuance under the Stock and Incentive Plan as of fiscal 2019-year end.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color w:val="auto"/>
              </w:rPr>
              <w:t>(b)</w:t>
            </w:r>
          </w:p>
        </w:tc>
        <w:tc>
          <w:tcPr>
            <w:tcW w:w="1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Number of securities to be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520" w:type="dxa"/>
            <w:vAlign w:val="bottom"/>
          </w:tcPr>
          <w:p>
            <w:pPr>
              <w:spacing w:after="0"/>
              <w:rPr>
                <w:sz w:val="12"/>
                <w:szCs w:val="12"/>
                <w:color w:val="auto"/>
              </w:rPr>
            </w:pPr>
          </w:p>
        </w:tc>
        <w:tc>
          <w:tcPr>
            <w:tcW w:w="286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Weighted-average exercise</w:t>
            </w: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 Category</w:t>
            </w:r>
          </w:p>
        </w:tc>
        <w:tc>
          <w:tcPr>
            <w:tcW w:w="1820" w:type="dxa"/>
            <w:vAlign w:val="bottom"/>
            <w:vMerge w:val="restart"/>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520" w:type="dxa"/>
            <w:vAlign w:val="bottom"/>
          </w:tcPr>
          <w:p>
            <w:pPr>
              <w:spacing w:after="0"/>
              <w:rPr>
                <w:sz w:val="12"/>
                <w:szCs w:val="12"/>
                <w:color w:val="auto"/>
              </w:rPr>
            </w:pPr>
          </w:p>
        </w:tc>
        <w:tc>
          <w:tcPr>
            <w:tcW w:w="286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1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securities reflected in column</w:t>
            </w:r>
          </w:p>
        </w:tc>
        <w:tc>
          <w:tcPr>
            <w:tcW w:w="0" w:type="dxa"/>
            <w:vAlign w:val="bottom"/>
          </w:tcPr>
          <w:p>
            <w:pPr>
              <w:spacing w:after="0"/>
              <w:rPr>
                <w:sz w:val="1"/>
                <w:szCs w:val="1"/>
                <w:color w:val="auto"/>
              </w:rPr>
            </w:pPr>
          </w:p>
        </w:tc>
      </w:tr>
      <w:tr>
        <w:trPr>
          <w:trHeight w:val="178"/>
        </w:trPr>
        <w:tc>
          <w:tcPr>
            <w:tcW w:w="8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1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6"/>
              </w:rPr>
              <w:t>warrants and rights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2"/>
          </w:tcPr>
          <w:p>
            <w:pPr>
              <w:jc w:val="center"/>
              <w:ind w:right="1280"/>
              <w:spacing w:after="0" w:line="158" w:lineRule="exact"/>
              <w:rPr>
                <w:sz w:val="20"/>
                <w:szCs w:val="20"/>
                <w:color w:val="auto"/>
              </w:rPr>
            </w:pPr>
            <w:r>
              <w:rPr>
                <w:rFonts w:ascii="Arial" w:cs="Arial" w:eastAsia="Arial" w:hAnsi="Arial"/>
                <w:sz w:val="14"/>
                <w:szCs w:val="14"/>
                <w:b w:val="1"/>
                <w:bCs w:val="1"/>
                <w:color w:val="auto"/>
                <w:w w:val="96"/>
              </w:rPr>
              <w:t>warrants and rights</w:t>
            </w:r>
          </w:p>
        </w:tc>
        <w:tc>
          <w:tcPr>
            <w:tcW w:w="1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75"/>
        </w:trPr>
        <w:tc>
          <w:tcPr>
            <w:tcW w:w="35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16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shareholders</w:t>
            </w:r>
            <w:r>
              <w:rPr>
                <w:rFonts w:ascii="Arial" w:cs="Arial" w:eastAsia="Arial" w:hAnsi="Arial"/>
                <w:sz w:val="15"/>
                <w:szCs w:val="15"/>
                <w:color w:val="auto"/>
              </w:rPr>
              <w:t>(1)</w:t>
            </w:r>
          </w:p>
        </w:tc>
        <w:tc>
          <w:tcPr>
            <w:tcW w:w="2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5,221,667</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C$</w:t>
            </w:r>
          </w:p>
        </w:tc>
        <w:tc>
          <w:tcPr>
            <w:tcW w:w="26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14.18</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15,434,719</w:t>
            </w:r>
          </w:p>
        </w:tc>
        <w:tc>
          <w:tcPr>
            <w:tcW w:w="0" w:type="dxa"/>
            <w:vAlign w:val="bottom"/>
          </w:tcPr>
          <w:p>
            <w:pPr>
              <w:spacing w:after="0"/>
              <w:rPr>
                <w:sz w:val="1"/>
                <w:szCs w:val="1"/>
                <w:color w:val="auto"/>
              </w:rPr>
            </w:pPr>
          </w:p>
        </w:tc>
      </w:tr>
      <w:tr>
        <w:trPr>
          <w:trHeight w:val="202"/>
        </w:trPr>
        <w:tc>
          <w:tcPr>
            <w:tcW w:w="358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80" w:type="dxa"/>
            <w:vAlign w:val="bottom"/>
            <w:gridSpan w:val="3"/>
          </w:tcPr>
          <w:p>
            <w:pPr>
              <w:ind w:left="180"/>
              <w:spacing w:after="0"/>
              <w:rPr>
                <w:sz w:val="20"/>
                <w:szCs w:val="20"/>
                <w:color w:val="auto"/>
              </w:rPr>
            </w:pPr>
            <w:r>
              <w:rPr>
                <w:rFonts w:ascii="Arial" w:cs="Arial" w:eastAsia="Arial" w:hAnsi="Arial"/>
                <w:sz w:val="18"/>
                <w:szCs w:val="18"/>
                <w:color w:val="auto"/>
              </w:rPr>
              <w:t>approved by shareholders</w:t>
            </w:r>
          </w:p>
        </w:tc>
        <w:tc>
          <w:tcPr>
            <w:tcW w:w="214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2"/>
          </w:tcPr>
          <w:p>
            <w:pPr>
              <w:jc w:val="right"/>
              <w:ind w:right="1060"/>
              <w:spacing w:after="0"/>
              <w:rPr>
                <w:sz w:val="20"/>
                <w:szCs w:val="20"/>
                <w:color w:val="auto"/>
              </w:rPr>
            </w:pPr>
            <w:r>
              <w:rPr>
                <w:rFonts w:ascii="Arial" w:cs="Arial" w:eastAsia="Arial" w:hAnsi="Arial"/>
                <w:sz w:val="18"/>
                <w:szCs w:val="18"/>
                <w:color w:val="auto"/>
              </w:rPr>
              <w:t>Nil</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9"/>
              </w:rPr>
              <w:t>TOTAL</w:t>
            </w:r>
          </w:p>
        </w:tc>
        <w:tc>
          <w:tcPr>
            <w:tcW w:w="162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8"/>
                <w:szCs w:val="18"/>
                <w:color w:val="auto"/>
              </w:rPr>
              <w:t>5,221,667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C$14.18</w:t>
            </w:r>
          </w:p>
        </w:tc>
        <w:tc>
          <w:tcPr>
            <w:tcW w:w="1060" w:type="dxa"/>
            <w:vAlign w:val="bottom"/>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Arial" w:cs="Arial" w:eastAsia="Arial" w:hAnsi="Arial"/>
                <w:sz w:val="18"/>
                <w:szCs w:val="18"/>
                <w:color w:val="auto"/>
              </w:rPr>
              <w:t>15,434,719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w:t>
      </w:r>
    </w:p>
    <w:p>
      <w:pPr>
        <w:spacing w:after="0" w:line="135" w:lineRule="exact"/>
        <w:rPr>
          <w:sz w:val="20"/>
          <w:szCs w:val="20"/>
          <w:color w:val="auto"/>
        </w:rPr>
      </w:pPr>
    </w:p>
    <w:p>
      <w:pPr>
        <w:ind w:left="540" w:right="20" w:hanging="424"/>
        <w:spacing w:after="0" w:line="259"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maximum number of Subordinate Voting Shares issuable under the Stock and Incentive Plan of the Corporation as of December 31, 2019 was 20,656,386, representing 10% of the number of the issued and outstanding Subordinate Voting Shares (including, for these purposes, the number of Subordinate Voting Shares underlying the Multiple Voting Shares and the Super Voting Shares on an “as if converted” basis) (the “</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 Number</w:t>
      </w:r>
      <w:r>
        <w:rPr>
          <w:rFonts w:ascii="Arial" w:cs="Arial" w:eastAsia="Arial" w:hAnsi="Arial"/>
          <w:sz w:val="18"/>
          <w:szCs w:val="18"/>
          <w:color w:val="auto"/>
        </w:rPr>
        <w:t>”).</w:t>
      </w:r>
    </w:p>
    <w:p>
      <w:pPr>
        <w:spacing w:after="0" w:line="18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As at December 31, 2019, the following Awards were outstanding under the Stock and Incentive Plan: (i) a total of 3,821,905 Options, representing approximately 2% of the then Outstanding Share Number; and (ii) a total of 1,399,762 RSUs, representing approximately 1% of the then Outstanding Share Number. As at December 31, 2019, an aggregate of 15,434,719 Subordinate Voting Shares remained available for issuance under the Stock and Incentive Plan, representing approximately 7% of the then Outstanding Share Number.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incorporated herein by reference to the 2020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principal accounting fees and services is incorporated herein by reference to the 2020 Proxy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listed in the accompanying index (page F-1) to the financial statements are filed as part of this Annual Report on Form 10-K.</w:t>
      </w:r>
    </w:p>
    <w:p>
      <w:pPr>
        <w:spacing w:after="0" w:line="7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exhibits listed on the accompanying index on page E-1 are filed as part of this Annual Report on Form 10-K.</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Financial Statements Schedules omitted</w:t>
      </w:r>
    </w:p>
    <w:p>
      <w:pPr>
        <w:spacing w:after="0" w:line="117" w:lineRule="exact"/>
        <w:rPr>
          <w:rFonts w:ascii="Arial" w:cs="Arial" w:eastAsia="Arial" w:hAnsi="Arial"/>
          <w:sz w:val="18"/>
          <w:szCs w:val="18"/>
          <w:b w:val="1"/>
          <w:bCs w:val="1"/>
          <w:color w:val="auto"/>
        </w:rPr>
      </w:pPr>
    </w:p>
    <w:p>
      <w:pPr>
        <w:ind w:left="11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schedules have been omitted because the required information is included in the consolidated financial statements and notes thereto or because they are not applicable or not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Balance Sheets as of December 31, 2019 and 2018</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Statement of Operations for each of the three years in the period ended December 31,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Changes in Shareholders’ Equity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Consolidated Statement of Cash Flows for each of the three years in the period ended December 31,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Notes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color w:val="0000EE"/>
              </w:rPr>
            </w:pPr>
            <w:hyperlink w:anchor="page139">
              <w:r>
                <w:rPr>
                  <w:rFonts w:ascii="Arial" w:cs="Arial" w:eastAsia="Arial" w:hAnsi="Arial"/>
                  <w:sz w:val="18"/>
                  <w:szCs w:val="18"/>
                  <w:u w:val="single" w:color="auto"/>
                  <w:color w:val="0000EE"/>
                </w:rPr>
                <w:t>Reports of Independent Registered Public Accounting Firm</w:t>
              </w:r>
            </w:hyperlink>
            <w:r>
              <w:rPr>
                <w:rFonts w:ascii="Arial" w:cs="Arial" w:eastAsia="Arial" w:hAnsi="Arial"/>
                <w:sz w:val="18"/>
                <w:szCs w:val="18"/>
                <w:color w:val="000000"/>
              </w:rPr>
              <w: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105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 list of exhibits filed with this Annual Report on Form 10-K is included in the Exhibit Index immediately preceding the signature page to this registration statement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7"/>
          </w:tcPr>
          <w:p>
            <w:pPr>
              <w:ind w:left="13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vMerge w:val="restart"/>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Description of Exhibit</w:t>
            </w:r>
          </w:p>
        </w:tc>
        <w:tc>
          <w:tcPr>
            <w:tcW w:w="42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4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Amended and Restated Articles of Green Thumb Industries Inc.</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w w:val="92"/>
              </w:rPr>
            </w:pPr>
            <w:hyperlink r:id="rId99">
              <w:r>
                <w:rPr>
                  <w:rFonts w:ascii="Arial" w:cs="Arial" w:eastAsia="Arial" w:hAnsi="Arial"/>
                  <w:sz w:val="18"/>
                  <w:szCs w:val="18"/>
                  <w:u w:val="single" w:color="auto"/>
                  <w:color w:val="0000EE"/>
                  <w:w w:val="92"/>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Business Combination Agreement, dated June 12, 2018, by and among Bayswater Uranium Corporation, VCP23, LLC, GTI Finco Inc.,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1165318 B.C. Ltd. and GTI23, Inc.</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w:t>
            </w:r>
          </w:p>
        </w:tc>
        <w:tc>
          <w:tcPr>
            <w:tcW w:w="500" w:type="dxa"/>
            <w:vAlign w:val="bottom"/>
          </w:tcPr>
          <w:p>
            <w:pPr>
              <w:spacing w:after="0"/>
              <w:rPr>
                <w:sz w:val="24"/>
                <w:szCs w:val="24"/>
                <w:color w:val="auto"/>
              </w:rPr>
            </w:pPr>
          </w:p>
        </w:tc>
        <w:tc>
          <w:tcPr>
            <w:tcW w:w="9980" w:type="dxa"/>
            <w:vAlign w:val="bottom"/>
            <w:tcBorders>
              <w:bottom w:val="single" w:sz="8" w:color="0000EE"/>
            </w:tcBorders>
            <w:gridSpan w:val="11"/>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Membership Interest Purchase Agreement, dated November 12, 2018, by and among the Seller Parties, GTI Core, LLC and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Industries Inc.</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w:t>
            </w:r>
          </w:p>
        </w:tc>
        <w:tc>
          <w:tcPr>
            <w:tcW w:w="500" w:type="dxa"/>
            <w:vAlign w:val="bottom"/>
          </w:tcPr>
          <w:p>
            <w:pPr>
              <w:spacing w:after="0"/>
              <w:rPr>
                <w:sz w:val="24"/>
                <w:szCs w:val="24"/>
                <w:color w:val="auto"/>
              </w:rPr>
            </w:pPr>
          </w:p>
        </w:tc>
        <w:tc>
          <w:tcPr>
            <w:tcW w:w="9980" w:type="dxa"/>
            <w:vAlign w:val="bottom"/>
            <w:tcBorders>
              <w:bottom w:val="single" w:sz="8" w:color="0000EE"/>
            </w:tcBorders>
            <w:gridSpan w:val="11"/>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Amendment No. 1 to Membership Interest Purchase Agreement, dated June 5, 2019, by and among the Seller Parties, GTI Core, LLC and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Green Thumb Industries Inc.</w:t>
              </w:r>
            </w:hyperlink>
          </w:p>
        </w:tc>
        <w:tc>
          <w:tcPr>
            <w:tcW w:w="79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10.4*#</w:t>
            </w:r>
          </w:p>
        </w:tc>
        <w:tc>
          <w:tcPr>
            <w:tcW w:w="500" w:type="dxa"/>
            <w:vAlign w:val="bottom"/>
          </w:tcPr>
          <w:p>
            <w:pPr>
              <w:spacing w:after="0"/>
              <w:rPr>
                <w:sz w:val="24"/>
                <w:szCs w:val="24"/>
                <w:color w:val="auto"/>
              </w:rPr>
            </w:pPr>
          </w:p>
        </w:tc>
        <w:tc>
          <w:tcPr>
            <w:tcW w:w="9960" w:type="dxa"/>
            <w:vAlign w:val="bottom"/>
            <w:tcBorders>
              <w:bottom w:val="single" w:sz="8" w:color="0000EE"/>
            </w:tcBorders>
            <w:gridSpan w:val="1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Agreement and Plan of Merger and Reorganization, dated January 4, 2019, by and among Green Thumb Industries Inc., GTI Merger Sub,</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LLC and Advanced Grow Labs, LLC.</w:t>
              </w:r>
            </w:hyperlink>
          </w:p>
        </w:tc>
        <w:tc>
          <w:tcPr>
            <w:tcW w:w="7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10.5*#</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First Amendment to the Agreement and Plan of Merger and Reorganization, dated February 11, 2019, by and among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Industries Inc., GTI Merger Sub, LLC and Advanced Grow Labs, LLC.</w:t>
              </w:r>
            </w:hyperlink>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10.6*#</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Note Purchase Agreement, dated May 22, 2019, by and among the Issuers, the Purchasers and the Agents.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10.7*#</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w w:val="91"/>
              </w:rPr>
            </w:pPr>
            <w:hyperlink r:id="rId106">
              <w:r>
                <w:rPr>
                  <w:rFonts w:ascii="Arial" w:cs="Arial" w:eastAsia="Arial" w:hAnsi="Arial"/>
                  <w:sz w:val="18"/>
                  <w:szCs w:val="18"/>
                  <w:u w:val="single" w:color="auto"/>
                  <w:color w:val="0000EE"/>
                  <w:w w:val="91"/>
                </w:rPr>
                <w:t>First Amendment to the Note Purchase Agreement, dated November 9, 2019, by and among the Issuers, the Purchasers and the Agents.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Green Thumb Industries Inc. 2018 Stock and Incentive Plan, dated June 11, 2018.</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10.10#</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Form of Notice of Option Grant.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Form of Option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Notice of RSU Grant and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MNP LLP Letter, dated April 15, 2020.</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r:id="rId112">
              <w:r>
                <w:rPr>
                  <w:rFonts w:ascii="Arial" w:cs="Arial" w:eastAsia="Arial" w:hAnsi="Arial"/>
                  <w:sz w:val="18"/>
                  <w:szCs w:val="18"/>
                  <w:u w:val="single" w:color="auto"/>
                  <w:color w:val="0000EE"/>
                </w:rPr>
                <w:t>List of Subsidiaries of Green Thumb Industries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Consent of Independent Registered Public Accounting Firm (MGO)</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Consent of Independent Registered Public Accounting Firm (MNP)</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Certification of Chief Executive Officer required by Rule 13a-14(a) of the Exchange Act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Certification of Chief Financial Officer required by Rule 13a-14(a) of the Exchange Act.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48">
              <w:r>
                <w:rPr>
                  <w:rFonts w:ascii="Arial" w:cs="Arial" w:eastAsia="Arial" w:hAnsi="Arial"/>
                  <w:sz w:val="18"/>
                  <w:szCs w:val="18"/>
                  <w:u w:val="single" w:color="auto"/>
                  <w:color w:val="0000EE"/>
                </w:rPr>
                <w:t>Certification of Chief Executive Officer pursuant to Section 1350 of Chapter 63 of the United States Code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Certification of the Chief Financial Officer pursuant to Section 1350 of Chapter 63 of the United States Code.</w:t>
              </w:r>
            </w:hyperlink>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40" w:hanging="224"/>
        <w:spacing w:after="0" w:line="25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5500" w:right="3620" w:hanging="5384"/>
        <w:spacing w:after="0" w:line="855" w:lineRule="auto"/>
        <w:tabs>
          <w:tab w:leader="none" w:pos="3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10 filed on December 20, 2019. E-1</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April 15, 2020</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capacity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and Signature</w:t>
            </w: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4"/>
                <w:szCs w:val="14"/>
                <w:color w:val="auto"/>
              </w:rPr>
            </w:pPr>
          </w:p>
        </w:tc>
      </w:tr>
      <w:tr>
        <w:trPr>
          <w:trHeight w:val="426"/>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Benjamin Kovler</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Anthony Georgiadis</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 and Chief Financial Officer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Wendy Berger</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Wendy Berger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William Gruver</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Wes Moore</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Glen Senk</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Alex Yemenidjian</w:t>
            </w:r>
          </w:p>
        </w:tc>
        <w:tc>
          <w:tcPr>
            <w:tcW w:w="45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April 15, 2020</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Alex Yemenidjian</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40" w:type="dxa"/>
            <w:vAlign w:val="bottom"/>
            <w:gridSpan w:val="3"/>
          </w:tcPr>
          <w:p>
            <w:pPr>
              <w:ind w:left="920"/>
              <w:spacing w:after="0"/>
              <w:rPr>
                <w:sz w:val="20"/>
                <w:szCs w:val="20"/>
                <w:color w:val="auto"/>
              </w:rPr>
            </w:pPr>
            <w:r>
              <w:rPr>
                <w:rFonts w:ascii="Arial" w:cs="Arial" w:eastAsia="Arial" w:hAnsi="Arial"/>
                <w:sz w:val="18"/>
                <w:szCs w:val="18"/>
                <w:color w:val="auto"/>
              </w:rPr>
              <w:t>S-1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Balance Sheets as of December 31, 2019 and 2018</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Statement of Operations for each of the three years in the period ended December 31,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Changes in Shareholders’ Equity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Consolidated Statement of Cash Flows for each of the three years in the period ended December 31,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Notes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color w:val="0000EE"/>
              </w:rPr>
            </w:pPr>
            <w:hyperlink w:anchor="page139">
              <w:r>
                <w:rPr>
                  <w:rFonts w:ascii="Arial" w:cs="Arial" w:eastAsia="Arial" w:hAnsi="Arial"/>
                  <w:sz w:val="18"/>
                  <w:szCs w:val="18"/>
                  <w:u w:val="single" w:color="auto"/>
                  <w:color w:val="0000EE"/>
                </w:rPr>
                <w:t>Reports of Independent Registered Public Accounting Firm</w:t>
              </w:r>
            </w:hyperlink>
            <w:r>
              <w:rPr>
                <w:rFonts w:ascii="Arial" w:cs="Arial" w:eastAsia="Arial" w:hAnsi="Arial"/>
                <w:sz w:val="18"/>
                <w:szCs w:val="18"/>
                <w:color w:val="000000"/>
              </w:rPr>
              <w: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364"/>
        </w:trPr>
        <w:tc>
          <w:tcPr>
            <w:tcW w:w="10560" w:type="dxa"/>
            <w:vAlign w:val="bottom"/>
          </w:tcPr>
          <w:p>
            <w:pPr>
              <w:ind w:left="5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ind w:left="4400"/>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145,986,072</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7,530,253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4,574,404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46,034,481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12,359,064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3,500,000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6,780,657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1,501,555</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2,049,886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1,140,926</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109,062,611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169,062,021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155,596,675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65,324,080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63,647,812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14,068,821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40,933,283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5,850,000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815,937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7,424,727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435,246,898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88,365,678</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375,084,991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39,204,360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3,662,879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2,184,417</w:t>
            </w: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1,167,536,624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418,348,566</w:t>
            </w: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9,990,377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8,928,528</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35,939,850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7,326,156</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1,480,660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3,833,268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5,500,000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25,420,009</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50,391,181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Derivative Liability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4,238,701</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5,505,904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457,585</w:t>
            </w:r>
          </w:p>
        </w:tc>
      </w:tr>
      <w:tr>
        <w:trPr>
          <w:trHeight w:val="224"/>
        </w:trPr>
        <w:tc>
          <w:tcPr>
            <w:tcW w:w="7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47,851,639</w:t>
            </w:r>
          </w:p>
        </w:tc>
        <w:tc>
          <w:tcPr>
            <w:tcW w:w="80" w:type="dxa"/>
            <w:vAlign w:val="bottom"/>
          </w:tcPr>
          <w:p>
            <w:pPr>
              <w:spacing w:after="0"/>
              <w:rPr>
                <w:sz w:val="19"/>
                <w:szCs w:val="19"/>
                <w:color w:val="auto"/>
              </w:rPr>
            </w:pPr>
          </w:p>
        </w:tc>
      </w:tr>
      <w:tr>
        <w:trPr>
          <w:trHeight w:val="107"/>
        </w:trPr>
        <w:tc>
          <w:tcPr>
            <w:tcW w:w="7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61,115,737</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91,140,194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5,733,797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8,545,558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9,035,250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15,879,843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36,279,361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13,541,000</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324,327,948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76,161,686</w:t>
            </w:r>
          </w:p>
        </w:tc>
      </w:tr>
      <w:tr>
        <w:trPr>
          <w:trHeight w:val="365"/>
        </w:trPr>
        <w:tc>
          <w:tcPr>
            <w:tcW w:w="7420" w:type="dxa"/>
            <w:vAlign w:val="bottom"/>
          </w:tcPr>
          <w:p>
            <w:pPr>
              <w:ind w:left="5380"/>
              <w:spacing w:after="0"/>
              <w:rPr>
                <w:sz w:val="20"/>
                <w:szCs w:val="20"/>
                <w:color w:val="auto"/>
              </w:rPr>
            </w:pPr>
            <w:r>
              <w:rPr>
                <w:rFonts w:ascii="Arial" w:cs="Arial" w:eastAsia="Arial" w:hAnsi="Arial"/>
                <w:sz w:val="18"/>
                <w:szCs w:val="18"/>
                <w:color w:val="auto"/>
              </w:rPr>
              <w:t>F-2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14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88"/>
        </w:trPr>
        <w:tc>
          <w:tcPr>
            <w:tcW w:w="8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Subordinate Voting Shares (Shares Authorized, Issued and Outstanding at December 31, 2019: Unlimited,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128,999,964 and 128,999,964, respectively at December 31, 2018: Unlimited, 43,920,131, and 43,920,131,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9"/>
              </w:rPr>
              <w:t>Multiple Voting Shares (Shares Authorized, Issued and Outstanding at December 31, 2019: Unlimited,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5"/>
              </w:rPr>
              <w:t>373,350 and 373,350, respectively at December 31, 2018: Unlimited, 677,230 and 677,230, respectively)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Super Voting Shares (Shares Authorized, Issued and Outstanding at December 31, 2019: Unlimited, 402,289</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402,289, respectively at December 31, 2018: Unlimited, 424,513 and 424,513, 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240" w:type="dxa"/>
            <w:vAlign w:val="bottom"/>
          </w:tcPr>
          <w:p>
            <w:pPr>
              <w:jc w:val="right"/>
              <w:spacing w:after="0"/>
              <w:rPr>
                <w:sz w:val="20"/>
                <w:szCs w:val="20"/>
                <w:color w:val="auto"/>
              </w:rPr>
            </w:pPr>
            <w:r>
              <w:rPr>
                <w:rFonts w:ascii="Arial" w:cs="Arial" w:eastAsia="Arial" w:hAnsi="Arial"/>
                <w:sz w:val="18"/>
                <w:szCs w:val="18"/>
                <w:color w:val="auto"/>
              </w:rPr>
              <w:t>980,638,701</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397,590,465</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to be Issued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27,773,234</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1240" w:type="dxa"/>
            <w:vAlign w:val="bottom"/>
          </w:tcPr>
          <w:p>
            <w:pPr>
              <w:jc w:val="right"/>
              <w:spacing w:after="0"/>
              <w:rPr>
                <w:sz w:val="20"/>
                <w:szCs w:val="20"/>
                <w:color w:val="auto"/>
              </w:rPr>
            </w:pPr>
            <w:r>
              <w:rPr>
                <w:rFonts w:ascii="Arial" w:cs="Arial" w:eastAsia="Arial" w:hAnsi="Arial"/>
                <w:sz w:val="18"/>
                <w:szCs w:val="18"/>
                <w:color w:val="auto"/>
              </w:rPr>
              <w:t>3,960,854</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14,202,659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(160,491,590)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(100,876,937)</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840,695,763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338,689,421</w:t>
            </w:r>
          </w:p>
        </w:tc>
        <w:tc>
          <w:tcPr>
            <w:tcW w:w="120" w:type="dxa"/>
            <w:vAlign w:val="bottom"/>
            <w:shd w:val="clear" w:color="auto" w:fill="CCEEFF"/>
          </w:tcPr>
          <w:p>
            <w:pPr>
              <w:spacing w:after="0"/>
              <w:rPr>
                <w:sz w:val="18"/>
                <w:szCs w:val="18"/>
                <w:color w:val="auto"/>
              </w:rPr>
            </w:pP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843,208,676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342,186,880</w:t>
            </w:r>
          </w:p>
        </w:tc>
        <w:tc>
          <w:tcPr>
            <w:tcW w:w="120" w:type="dxa"/>
            <w:vAlign w:val="bottom"/>
            <w:shd w:val="clear" w:color="auto" w:fill="CCEEFF"/>
          </w:tcPr>
          <w:p>
            <w:pPr>
              <w:spacing w:after="0"/>
              <w:rPr>
                <w:sz w:val="18"/>
                <w:szCs w:val="18"/>
                <w:color w:val="auto"/>
              </w:rPr>
            </w:pPr>
          </w:p>
        </w:tc>
      </w:tr>
      <w:tr>
        <w:trPr>
          <w:trHeight w:val="331"/>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w w:val="90"/>
              </w:rPr>
              <w:t>$  1,167,536,624</w:t>
            </w:r>
          </w:p>
        </w:tc>
        <w:tc>
          <w:tcPr>
            <w:tcW w:w="20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418,348,566</w:t>
            </w:r>
          </w:p>
        </w:tc>
      </w:tr>
      <w:tr>
        <w:trPr>
          <w:trHeight w:val="20"/>
        </w:trPr>
        <w:tc>
          <w:tcPr>
            <w:tcW w:w="8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216,432,605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62,493,680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(109,401,914)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(34,177,259)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(9,807,775)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107,030,691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28,316,421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6,721,004</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134,721,393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54,656,579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11,490,772</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134,721,393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54,656,579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(27,690,702)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(26,340,158)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(4,769,768)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(10,318,936)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56,417,421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544,399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1,465,705</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1,952,945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(13,658,904)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(22,512,135)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56,091,532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(50,202,837)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29,751,374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(4,657,817)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9,344,033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(59,546,870)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22,567,779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(4,871,817)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(430,463)</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27,811,696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(59,116,407)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(4,249,775)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Green Thumb Industries Inc.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190,602,400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130,102,523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63,123,183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to</w:t>
            </w:r>
          </w:p>
        </w:tc>
        <w:tc>
          <w:tcPr>
            <w:tcW w:w="1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Issuances</w:t>
            </w:r>
          </w:p>
        </w:tc>
        <w:tc>
          <w:tcPr>
            <w:tcW w:w="1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2017</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Contributions from shareholders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65,385,608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774,468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66,160,076</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 contributions receivable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Initial consolidation of variable interest entities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934,472</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 payable into membership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2,279,452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 payable to shareholders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(279,750)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shareholders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(34,007,599)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(34,007,599)</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(4,871,817)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65,308,240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3,366,350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64,424,815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65,308,240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(4,249,775)</w:t>
            </w:r>
          </w:p>
        </w:tc>
        <w:tc>
          <w:tcPr>
            <w:tcW w:w="2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3,366,350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64,424,815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notes payable into share capital</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3,927,483</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4,686,257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Reverse takeover</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pursuant to private placement, net of issuance costs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issuance of options as settlement of services provided</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58,881,710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906,366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59,788,076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Purchase accounting adjustments for 2017 acquisitions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(2,800,000)</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exchange note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44,140,526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44,140,526</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w w:val="96"/>
              </w:rPr>
              <w:t>Issuance of shares upon fundraise transaction, August 2018, net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58,592,775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58,592,775</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shares upon fundraise transaction, October 2018, net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75,083,480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75,083,480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 from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1,637,479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17,297,494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18,934,973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Issuance of shares under business combinations and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51,151,649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51,151,649</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35,940,000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27,773,234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(90,244,101)</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(10,439,741)</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(36,970,608)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12,148,251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12,148,251</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1,395,733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906,296</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Control acquired through management service agreement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(164,635)</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(164,635)</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under business combination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1,896,546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(2,266,627)</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(14,821,657)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(17,088,284)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(26,134,851)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(26,134,851)</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(5,243,917)</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27,811,696</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22,567,779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397,590,465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27,773,234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14,202,659</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(100,876,937)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3,497,459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342,186,880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Shares to</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Issuances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$ 397,590,465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27,773,234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14,202,659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(100,876,937)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3,497,459</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$ 342,186,880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(498,246)</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22,461,256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(27,773,234)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(1,128,776)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5,311,978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1,650,000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shares under business combinations and investments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530,697,606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(23,697,894)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506,999,712</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16,587,798</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(4,469,365)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25,420,009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18,285,377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18,285,377</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consideration of professional fees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broker options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(7,516,061)</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(59,116,407)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(430,463)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(59,546,870)</w:t>
            </w:r>
          </w:p>
        </w:tc>
        <w:tc>
          <w:tcPr>
            <w:tcW w:w="0" w:type="dxa"/>
            <w:vAlign w:val="bottom"/>
          </w:tcPr>
          <w:p>
            <w:pPr>
              <w:spacing w:after="0"/>
              <w:rPr>
                <w:sz w:val="1"/>
                <w:szCs w:val="1"/>
                <w:color w:val="auto"/>
              </w:rPr>
            </w:pPr>
          </w:p>
        </w:tc>
      </w:tr>
      <w:tr>
        <w:trPr>
          <w:trHeight w:val="155"/>
        </w:trPr>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2019</w:t>
            </w:r>
          </w:p>
        </w:tc>
        <w:tc>
          <w:tcPr>
            <w:tcW w:w="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$ 980,638,701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3,960,854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16,587,798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(160,491,590)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2,512,913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$ 843,208,676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(59,116,407)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(5,243,917)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(4,249,775)</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27,811,696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(622,042)</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31,482,340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689,988</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7,291,154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Loss from investment in associate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301,105</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(13,680,913)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4,061,000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18,285,377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12,148,251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5,586,480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(51,942,861)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conversion feature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02"/>
        </w:trPr>
        <w:tc>
          <w:tcPr>
            <w:tcW w:w="7360" w:type="dxa"/>
            <w:vAlign w:val="bottom"/>
          </w:tcPr>
          <w:p>
            <w:pPr>
              <w:ind w:left="720"/>
              <w:spacing w:after="0" w:line="201" w:lineRule="exact"/>
              <w:rPr>
                <w:sz w:val="20"/>
                <w:szCs w:val="20"/>
                <w:color w:val="auto"/>
              </w:rPr>
            </w:pPr>
            <w:r>
              <w:rPr>
                <w:rFonts w:ascii="Arial" w:cs="Arial" w:eastAsia="Arial" w:hAnsi="Arial"/>
                <w:sz w:val="18"/>
                <w:szCs w:val="18"/>
                <w:color w:val="auto"/>
              </w:rPr>
              <w:t>Changes in value of liabilities related to put option and purchase of 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60" w:type="dxa"/>
            <w:vAlign w:val="bottom"/>
          </w:tcPr>
          <w:p>
            <w:pPr>
              <w:ind w:left="90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132,523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(2,518,180)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on convertible note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3,908,529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warrants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(4,159,687)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 fair value of convertible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6,608,790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(592,026)</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(19,928,761)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(7,441,790)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(1,804,844)</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(5,656,786)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(394,922)</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(306,795)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(679,072)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(901,768)</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4,725,096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3,098,293</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9,122,121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1,722,772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(26,717)</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(6,488,207)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23"/>
        </w:trPr>
        <w:tc>
          <w:tcPr>
            <w:tcW w:w="73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5,048,319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214,000</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(18,013,610)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(17,683,003)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(4,288,708)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debentures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(42,550,000)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associates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(88,557,016)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(27,432,847)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(14,244,340)</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20,325,557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Advances to related parties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(1,188,686)</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from related parties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Consolidation of variable interest entities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licenses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(220,000)</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(109,439,921)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(51,489,384)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(10,372,385)</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(174,671,380)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(111,421,268)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(26,025,411)</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21,748,211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66,160,076</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Distributions to limited liability company unit holders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(7,516,061)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(17,368,034)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(34,007,599)</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change in ownership interests of subsidiary</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shares issued pursuant to private placement</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66,805,295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exchangeable notes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fundraise transactions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140,289,093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options and RSUs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Reverse takeover, private placement, and fundraise transaction financing costs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(10,627,423)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117,435,724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15,000,000</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Principal repayment of notes payable</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(18,743,500)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(1,353,592)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(228,379)</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93,366,252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245,524,846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46,924,098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(99,318,738)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116,420,575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16,609,979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145,986,072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12,955,518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29,565,497</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5,019,465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874,298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149,081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8,613,740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906,366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(319,411</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Accrued capital expenditures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14,949,980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2,710,085</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26,134,851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related to put option of convertible note payable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7,108,043</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 of Use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(63,477,013)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Increase in Lease Liabilities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63,975,259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498,246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Exercise of put options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(1,128,776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attributable to debt issuance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20,039,530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for purchase of noncontrolling interest</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(25,420,009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25,068,847</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 for contingent consideration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10,999,040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Deferred share issuances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16,587,798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495,737,729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51,151,649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13,746,656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975,329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483,058</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2,164,140</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531,276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26,635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16,628,952</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3,938,703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397,015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7,461,953</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377,163,592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76,650,639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10,600,480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331,208,108</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w w:val="95"/>
              </w:rPr>
              <w:t>39,016,100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188,260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1,171,667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239,808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(9,729,371)</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(2,088,369)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(1,296,428)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(7,461,953)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Contingent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(56,992,000)</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(8,857,220)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interests issued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0"/>
              </w:rPr>
              <w:t>(495,806,400)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0"/>
              </w:rPr>
              <w:t>(49,689,149)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Conversion of notes receivable previously issued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(27,121,559)</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(17,378,866)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(36,046,274)</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(6,680,000)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(2,043,092)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109,439,921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51,489,384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10,372,385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consolidation of controlled entities, net of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79,083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2,433,950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1,287,356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(2,841,444)</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(514,805)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(319,411)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Company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year ended December 31, 2019, GTI has operating revenue in twelve markets (California, Colorado, Connecticut, Florida, Illinois, Nevada, Maryland, Massachusetts, New York, New Jersey, Ohio, and Pennsylvania).</w:t>
      </w:r>
    </w:p>
    <w:p>
      <w:pPr>
        <w:spacing w:after="0" w:line="164"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1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December 31, 2019 and 2018 (the “financial statements”), have been prepared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1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1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years ended December 31, 2019 and 2018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-2411095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8" w:lineRule="exact"/>
        <w:rPr>
          <w:rFonts w:ascii="Arial" w:cs="Arial" w:eastAsia="Arial" w:hAnsi="Arial"/>
          <w:sz w:val="18"/>
          <w:szCs w:val="18"/>
          <w:b w:val="1"/>
          <w:bCs w:val="1"/>
          <w:color w:val="auto"/>
        </w:rPr>
      </w:pPr>
    </w:p>
    <w:p>
      <w:pPr>
        <w:ind w:left="110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5"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-2470785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20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0"/>
              </w:rPr>
              <w:t>Jurisdiction</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GTI23, Inc.</w:t>
            </w:r>
          </w:p>
        </w:tc>
        <w:tc>
          <w:tcPr>
            <w:tcW w:w="4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Delaware</w:t>
            </w:r>
          </w:p>
        </w:tc>
        <w:tc>
          <w:tcPr>
            <w:tcW w:w="50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45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80" w:type="dxa"/>
            <w:vAlign w:val="bottom"/>
            <w:gridSpan w:val="2"/>
          </w:tcPr>
          <w:p>
            <w:pPr>
              <w:ind w:left="1680"/>
              <w:spacing w:after="0"/>
              <w:rPr>
                <w:sz w:val="20"/>
                <w:szCs w:val="20"/>
                <w:color w:val="auto"/>
              </w:rPr>
            </w:pPr>
            <w:r>
              <w:rPr>
                <w:rFonts w:ascii="Arial" w:cs="Arial" w:eastAsia="Arial" w:hAnsi="Arial"/>
                <w:sz w:val="18"/>
                <w:szCs w:val="18"/>
                <w:color w:val="auto"/>
              </w:rPr>
              <w:t>F-10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5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Ownership</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w:t>
            </w:r>
          </w:p>
        </w:tc>
        <w:tc>
          <w:tcPr>
            <w:tcW w:w="2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Purpose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1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Disp,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Ohio Investors 2017, LLC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Ohio,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Florida,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KSGNF,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New Jersey</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Ventures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Chesapeake Alternatives,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Meshow,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Advanced Grow Labs,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Bluepoint Wellness of Westport,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Bluepoint Apothecary,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Integral Associates CA,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Fiorello Pharmaceuticals,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MC Brands,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Colorado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Success Holding Company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Vision Management Services,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TWD18,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Investment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 See Note 13 - Investment in Associates for additional details.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10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1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 ended December 31, 2019 the Company recorded approximately $139,000 in allowance for doubtful accounts. For the year ended December 31, 2018, the Company determined that an allowance for doubtful accounts was not required. The Company wrote off approximately $161,700 during the year ended December 31, 2019 and no accounts were written off during the year ended December 31, 2018.</w:t>
      </w:r>
    </w:p>
    <w:p>
      <w:pPr>
        <w:spacing w:after="0" w:line="9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1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-5316855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-761365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Land</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88"/>
              </w:rPr>
              <w:t>39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7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were no impairment charge or disposals related to intangible assets or property, plant and equipment for the years ended December 31, 2019 and 2018, respectively.</w:t>
      </w:r>
    </w:p>
    <w:p>
      <w:pPr>
        <w:spacing w:after="0" w:line="7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1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Licenses and Permits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6"/>
              </w:rPr>
              <w:t>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Tradenames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9"/>
              </w:rPr>
              <w:t>3-15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3-7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2-5 years</w:t>
            </w:r>
          </w:p>
        </w:tc>
      </w:tr>
    </w:tbl>
    <w:p>
      <w:pPr>
        <w:spacing w:after="0" w:line="94"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5" w:lineRule="exact"/>
        <w:rPr>
          <w:rFonts w:ascii="Arial" w:cs="Arial" w:eastAsia="Arial" w:hAnsi="Arial"/>
          <w:sz w:val="18"/>
          <w:szCs w:val="18"/>
          <w:b w:val="1"/>
          <w:bCs w:val="1"/>
          <w:color w:val="auto"/>
        </w:rPr>
      </w:pPr>
    </w:p>
    <w:p>
      <w:pPr>
        <w:ind w:left="11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3"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79" w:lineRule="exact"/>
        <w:rPr>
          <w:rFonts w:ascii="Arial" w:cs="Arial" w:eastAsia="Arial" w:hAnsi="Arial"/>
          <w:sz w:val="18"/>
          <w:szCs w:val="18"/>
          <w:b w:val="1"/>
          <w:bCs w:val="1"/>
          <w:color w:val="auto"/>
        </w:rPr>
      </w:pPr>
    </w:p>
    <w:p>
      <w:pPr>
        <w:ind w:left="11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10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40"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-2127885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2019, 2018 and 2017.</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2019, the loyalty liability totaled $1,000,010 and is included in accounts payable on the consolidated balance sheet. There were no loyalty liabilities as of December 31, 2018.</w:t>
      </w:r>
    </w:p>
    <w:p>
      <w:pPr>
        <w:spacing w:after="0" w:line="7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1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4" w:lineRule="exact"/>
        <w:rPr>
          <w:rFonts w:ascii="Arial" w:cs="Arial" w:eastAsia="Arial" w:hAnsi="Arial"/>
          <w:sz w:val="18"/>
          <w:szCs w:val="18"/>
          <w:b w:val="1"/>
          <w:bCs w:val="1"/>
          <w:color w:val="auto"/>
        </w:rPr>
      </w:pPr>
    </w:p>
    <w:p>
      <w:pPr>
        <w:ind w:left="11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18)</w:t>
      </w:r>
    </w:p>
    <w:p>
      <w:pPr>
        <w:spacing w:after="0" w:line="121" w:lineRule="exact"/>
        <w:rPr>
          <w:rFonts w:ascii="Arial" w:cs="Arial" w:eastAsia="Arial" w:hAnsi="Arial"/>
          <w:sz w:val="18"/>
          <w:szCs w:val="18"/>
          <w:b w:val="1"/>
          <w:bCs w:val="1"/>
          <w:color w:val="auto"/>
        </w:rPr>
      </w:pPr>
    </w:p>
    <w:p>
      <w:pPr>
        <w:ind w:left="110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69" w:lineRule="exact"/>
        <w:rPr>
          <w:rFonts w:ascii="Arial" w:cs="Arial" w:eastAsia="Arial" w:hAnsi="Arial"/>
          <w:sz w:val="18"/>
          <w:szCs w:val="18"/>
          <w:b w:val="1"/>
          <w:bCs w:val="1"/>
          <w:color w:val="auto"/>
        </w:rPr>
      </w:pPr>
    </w:p>
    <w:p>
      <w:pPr>
        <w:ind w:left="11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1120" w:right="152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87"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5" w:lineRule="exact"/>
        <w:rPr>
          <w:rFonts w:ascii="Arial" w:cs="Arial" w:eastAsia="Arial" w:hAnsi="Arial"/>
          <w:sz w:val="18"/>
          <w:szCs w:val="18"/>
          <w:b w:val="1"/>
          <w:bCs w:val="1"/>
          <w:color w:val="auto"/>
        </w:rPr>
      </w:pPr>
    </w:p>
    <w:p>
      <w:pPr>
        <w:ind w:left="110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10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The Company had 3,839,017 and 1,677,192 options outstanding, 1,399,762 and 1,589,000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restricted stock units outstanding and 2,387,470 and no warrants outstanding as of December 31, 2019 and 2018, respectively. The Company did not have any options, restricted stock units or warrants outstanding as of December 31, 2017.</w:t>
      </w:r>
    </w:p>
    <w:p>
      <w:pPr>
        <w:spacing w:after="0" w:line="15"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decrease loss per share. As a result, the Company’s calculation of basic earnings per share and diluted earnings per share include the same number of share equivalents for the years ended December 31, 2019, 2018 and 2017.</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1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1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69" w:lineRule="exact"/>
        <w:rPr>
          <w:rFonts w:ascii="Arial" w:cs="Arial" w:eastAsia="Arial" w:hAnsi="Arial"/>
          <w:sz w:val="18"/>
          <w:szCs w:val="18"/>
          <w:b w:val="1"/>
          <w:bCs w:val="1"/>
          <w:color w:val="auto"/>
        </w:rPr>
      </w:pPr>
    </w:p>
    <w:p>
      <w:pPr>
        <w:jc w:val="both"/>
        <w:ind w:left="1100" w:right="3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-5801995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of Other Long-Lived Assets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flows, an impairment loss is recorded for the excess of the asset’s carrying value over its fair value. There was no impairment charge related to intangible assets or property, plant and equipment for the years ended December 31, 2019 and 2018.</w:t>
      </w:r>
    </w:p>
    <w:p>
      <w:pPr>
        <w:spacing w:after="0" w:line="4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1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rFonts w:ascii="Arial" w:cs="Arial" w:eastAsia="Arial" w:hAnsi="Arial"/>
          <w:sz w:val="18"/>
          <w:szCs w:val="18"/>
          <w:b w:val="1"/>
          <w:bCs w:val="1"/>
          <w:color w:val="auto"/>
        </w:rPr>
      </w:pPr>
    </w:p>
    <w:p>
      <w:pPr>
        <w:ind w:left="11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8)</w:t>
      </w:r>
    </w:p>
    <w:p>
      <w:pPr>
        <w:spacing w:after="0" w:line="117" w:lineRule="exact"/>
        <w:rPr>
          <w:rFonts w:ascii="Arial" w:cs="Arial" w:eastAsia="Arial" w:hAnsi="Arial"/>
          <w:sz w:val="18"/>
          <w:szCs w:val="18"/>
          <w:i w:val="1"/>
          <w:iCs w:val="1"/>
          <w:color w:val="auto"/>
        </w:rPr>
      </w:pPr>
    </w:p>
    <w:p>
      <w:pPr>
        <w:ind w:left="154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54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5" w:lineRule="exact"/>
        <w:rPr>
          <w:rFonts w:ascii="Arial" w:cs="Arial" w:eastAsia="Arial" w:hAnsi="Arial"/>
          <w:sz w:val="18"/>
          <w:szCs w:val="18"/>
          <w:i w:val="1"/>
          <w:iCs w:val="1"/>
          <w:color w:val="auto"/>
        </w:rPr>
      </w:pPr>
    </w:p>
    <w:p>
      <w:pPr>
        <w:ind w:left="15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7 - Acquisitions for additional details.</w:t>
      </w:r>
    </w:p>
    <w:p>
      <w:pPr>
        <w:spacing w:after="0" w:line="7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5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-5711825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5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5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8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54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The following represent the markets in which GTI’s operates as of December 31, 2019: California, Colorado, Connecticut, Florida, Illinois, Maryland, Massachusetts, Nevada, New Jersey, New York, Ohio and Pennsylvania.</w:t>
      </w:r>
    </w:p>
    <w:p>
      <w:pPr>
        <w:spacing w:after="0" w:line="69"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540" w:right="1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6"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540" w:right="26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-4982845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54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5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including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-2327275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540" w:right="120" w:hanging="439"/>
        <w:spacing w:after="0" w:line="296" w:lineRule="auto"/>
        <w:tabs>
          <w:tab w:leader="none" w:pos="1540" w:val="left"/>
        </w:tabs>
        <w:numPr>
          <w:ilvl w:val="1"/>
          <w:numId w:val="43"/>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3" w:lineRule="exact"/>
        <w:rPr>
          <w:rFonts w:ascii="Arial" w:cs="Arial" w:eastAsia="Arial" w:hAnsi="Arial"/>
          <w:sz w:val="16"/>
          <w:szCs w:val="16"/>
          <w:i w:val="1"/>
          <w:iCs w:val="1"/>
          <w:color w:val="auto"/>
        </w:rPr>
      </w:pPr>
    </w:p>
    <w:p>
      <w:pPr>
        <w:ind w:left="1540" w:right="3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Upon adoption of ASU 2016-02, the Company recorded right-of-use assets of $11,197,339 and corresponding lease liabilities of $11,695,585 with the difference of $498,246 recorded in opening retained earnings.</w:t>
      </w:r>
    </w:p>
    <w:p>
      <w:pPr>
        <w:spacing w:after="0" w:line="75" w:lineRule="exact"/>
        <w:rPr>
          <w:rFonts w:ascii="Arial" w:cs="Arial" w:eastAsia="Arial" w:hAnsi="Arial"/>
          <w:sz w:val="16"/>
          <w:szCs w:val="16"/>
          <w:i w:val="1"/>
          <w:iCs w:val="1"/>
          <w:color w:val="auto"/>
        </w:rPr>
      </w:pPr>
    </w:p>
    <w:p>
      <w:pPr>
        <w:ind w:left="1540" w:right="140" w:hanging="439"/>
        <w:spacing w:after="0" w:line="287" w:lineRule="auto"/>
        <w:tabs>
          <w:tab w:leader="none" w:pos="1540" w:val="left"/>
        </w:tabs>
        <w:numPr>
          <w:ilvl w:val="1"/>
          <w:numId w:val="43"/>
        </w:numPr>
        <w:rPr>
          <w:rFonts w:ascii="Arial" w:cs="Arial" w:eastAsia="Arial" w:hAnsi="Arial"/>
          <w:sz w:val="16"/>
          <w:szCs w:val="16"/>
          <w:i w:val="1"/>
          <w:iCs w:val="1"/>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w:t>
      </w:r>
    </w:p>
    <w:p>
      <w:pPr>
        <w:spacing w:after="0" w:line="2" w:lineRule="exact"/>
        <w:rPr>
          <w:rFonts w:ascii="Arial" w:cs="Arial" w:eastAsia="Arial" w:hAnsi="Arial"/>
          <w:sz w:val="16"/>
          <w:szCs w:val="16"/>
          <w:i w:val="1"/>
          <w:iCs w:val="1"/>
          <w:color w:val="auto"/>
        </w:rPr>
      </w:pPr>
    </w:p>
    <w:p>
      <w:pPr>
        <w:ind w:left="1540" w:right="8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67" w:lineRule="exact"/>
        <w:rPr>
          <w:rFonts w:ascii="Arial" w:cs="Arial" w:eastAsia="Arial" w:hAnsi="Arial"/>
          <w:sz w:val="16"/>
          <w:szCs w:val="16"/>
          <w:i w:val="1"/>
          <w:iCs w:val="1"/>
          <w:color w:val="auto"/>
        </w:rPr>
      </w:pPr>
    </w:p>
    <w:p>
      <w:pPr>
        <w:ind w:left="1540" w:right="20" w:hanging="439"/>
        <w:spacing w:after="0" w:line="257" w:lineRule="auto"/>
        <w:tabs>
          <w:tab w:leader="none" w:pos="1540" w:val="left"/>
        </w:tabs>
        <w:numPr>
          <w:ilvl w:val="1"/>
          <w:numId w:val="43"/>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and Revised Standards </w:t>
      </w:r>
      <w:r>
        <w:rPr>
          <w:rFonts w:ascii="Arial" w:cs="Arial" w:eastAsia="Arial" w:hAnsi="Arial"/>
          <w:sz w:val="18"/>
          <w:szCs w:val="18"/>
          <w:color w:val="auto"/>
        </w:rPr>
        <w:t>(Continued)</w:t>
      </w:r>
    </w:p>
    <w:p>
      <w:pPr>
        <w:spacing w:after="0" w:line="135"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goodwill and comparing it with the carrying amount of that goodwill. ASU 2017-04 must be applied prospectively and is effective in the first quarter of 2020. Early adoption is permitted. The Company intends to adopt the new standard in the first quarter of 2020.</w:t>
      </w:r>
    </w:p>
    <w:p>
      <w:pPr>
        <w:spacing w:after="0" w:line="29" w:lineRule="exact"/>
        <w:rPr>
          <w:sz w:val="20"/>
          <w:szCs w:val="20"/>
          <w:color w:val="auto"/>
        </w:rPr>
      </w:pPr>
    </w:p>
    <w:p>
      <w:pPr>
        <w:ind w:left="1540" w:hanging="439"/>
        <w:spacing w:after="0" w:line="279" w:lineRule="auto"/>
        <w:tabs>
          <w:tab w:leader="none" w:pos="154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76" w:lineRule="exact"/>
        <w:rPr>
          <w:rFonts w:ascii="Arial" w:cs="Arial" w:eastAsia="Arial" w:hAnsi="Arial"/>
          <w:sz w:val="17"/>
          <w:szCs w:val="17"/>
          <w:i w:val="1"/>
          <w:iCs w:val="1"/>
          <w:color w:val="auto"/>
        </w:rPr>
      </w:pPr>
    </w:p>
    <w:p>
      <w:pPr>
        <w:ind w:left="1540" w:hanging="439"/>
        <w:spacing w:after="0" w:line="257" w:lineRule="auto"/>
        <w:tabs>
          <w:tab w:leader="none" w:pos="154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i w:val="1"/>
          <w:iCs w:val="1"/>
          <w:color w:val="auto"/>
        </w:rPr>
      </w:pPr>
    </w:p>
    <w:p>
      <w:pPr>
        <w:ind w:left="1540" w:right="120" w:hanging="439"/>
        <w:spacing w:after="0" w:line="255" w:lineRule="auto"/>
        <w:tabs>
          <w:tab w:leader="none" w:pos="154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337"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 Additionally, the Company issued 285,000 options to consultants with a strike prices of C$7.75 per option. The value of the options was approximately $900,000 under the Black-Scholes option pricing model.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4"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Company changed its name from “Bayswater Uranium Corporation” to “Green Thumb Industries Inc.” and consolidated its existing common shares on the basis of one Subordinate Voting Share for each 368 existing common shares of the Company. Such share consolidation has been reflected retrospectively in these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Subco and GTI Finco were parties to a three-cornered amalgamation (“Amalgamation”) whereby GTI Finco shareholders received Subordinate Voting Shares of the Company on a one-for-one basis and members of VCP contributed their membership interests to GTI23 for shares of GTI23 and then contributed their shares of GTI23 to GTI in exchange for Super Voting Shares and Multiple Voting Shares of GTI.</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331"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December 31, 2019 and December 31,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527,456</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4,887,970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2,511,769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10,394,590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5,231,630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26,408,762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4,088,209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(2,031,873)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12,359,064</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reserve for obsolete inventory primarily relates to packaging (raw materials) for certain products that the Company has re-branded during 2019 of otherwise determined to be unsuitable.</w:t>
      </w:r>
    </w:p>
    <w:p>
      <w:pPr>
        <w:spacing w:after="0" w:line="315"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October 16, 2018, the Company executed a promissory note to an unrelated third party. The value of the note is variable in nature as the note is secured by warrants which expire in January 2021. The maturity date of the note is tied directly to the expiration date of the warrants, both being January 2021. The initial fair value upon execution of the note was $11,630,867. The fair value as of December 31, 2019 and December 31, 2018 was $815,937 and $7,424,727, respectively, resulting in an adjustment to fair value of ($6,608,790) and ($4,206,141) during those same periods, respectively, which is recorded in other income (expense) on the audited consolidated statements of operations.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as of December 31, 2019 and 2018 using the assumptions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  1.998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$4.03 - $5.50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Volatility</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365"/>
        </w:trPr>
        <w:tc>
          <w:tcPr>
            <w:tcW w:w="3440" w:type="dxa"/>
            <w:vAlign w:val="bottom"/>
          </w:tcPr>
          <w:p>
            <w:pPr>
              <w:spacing w:after="0"/>
              <w:rPr>
                <w:sz w:val="24"/>
                <w:szCs w:val="24"/>
                <w:color w:val="auto"/>
              </w:rPr>
            </w:pPr>
          </w:p>
        </w:tc>
        <w:tc>
          <w:tcPr>
            <w:tcW w:w="3900" w:type="dxa"/>
            <w:vAlign w:val="bottom"/>
            <w:gridSpan w:val="3"/>
          </w:tcPr>
          <w:p>
            <w:pPr>
              <w:jc w:val="right"/>
              <w:ind w:right="2980"/>
              <w:spacing w:after="0"/>
              <w:rPr>
                <w:sz w:val="20"/>
                <w:szCs w:val="20"/>
                <w:color w:val="auto"/>
              </w:rPr>
            </w:pPr>
            <w:r>
              <w:rPr>
                <w:rFonts w:ascii="Arial" w:cs="Arial" w:eastAsia="Arial" w:hAnsi="Arial"/>
                <w:sz w:val="18"/>
                <w:szCs w:val="18"/>
                <w:color w:val="auto"/>
              </w:rPr>
              <w:t>F-22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increase or decrease to the underlying share price and volatility rate of 5% would result in a nominal change to the fair value.</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had a term of one year and bears interest at a rate of 8%. The $500,000 note receivable was included as part of the acquisition consideration of Beboe. See Note 7 for details.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had a term of one year and bears interest at a rate of 8% which was repaid in 2019. The Company accounted for this investment as held-to-maturity.</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w:t>
      </w:r>
    </w:p>
    <w:p>
      <w:pPr>
        <w:spacing w:after="0" w:line="310"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Production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Computer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0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Buildings and</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Furniture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Equipment</w:t>
            </w: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Processing</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Land</w:t>
            </w: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w w:val="96"/>
              </w:rPr>
              <w:t>Fixtures</w:t>
            </w:r>
          </w:p>
        </w:tc>
        <w:tc>
          <w:tcPr>
            <w:tcW w:w="80" w:type="dxa"/>
            <w:vAlign w:val="bottom"/>
          </w:tcPr>
          <w:p>
            <w:pPr>
              <w:spacing w:after="0"/>
              <w:rPr>
                <w:sz w:val="15"/>
                <w:szCs w:val="15"/>
                <w:color w:val="auto"/>
              </w:rPr>
            </w:pPr>
          </w:p>
        </w:tc>
        <w:tc>
          <w:tcPr>
            <w:tcW w:w="92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2"/>
              </w:rPr>
              <w:t>and Software</w:t>
            </w:r>
          </w:p>
        </w:tc>
        <w:tc>
          <w:tcPr>
            <w:tcW w:w="100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94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5"/>
              </w:rPr>
              <w:t>Equipment</w:t>
            </w:r>
          </w:p>
        </w:tc>
        <w:tc>
          <w:tcPr>
            <w:tcW w:w="100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328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2019</w:t>
            </w: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2,243,085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20,861,988</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2,328,847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2,093,205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18,435,893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6,579,446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16,664,958</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69,207,422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892,056</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9,400,171</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143,882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13,981,780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4,075,642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(28,533,698)</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3,500,974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18,817,329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4,667,127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24,020,898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14,147,722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35,711,782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100,900,501</w:t>
            </w:r>
          </w:p>
        </w:tc>
        <w:tc>
          <w:tcPr>
            <w:tcW w:w="0" w:type="dxa"/>
            <w:vAlign w:val="bottom"/>
          </w:tcPr>
          <w:p>
            <w:pPr>
              <w:spacing w:after="0"/>
              <w:rPr>
                <w:sz w:val="1"/>
                <w:szCs w:val="1"/>
                <w:color w:val="auto"/>
              </w:rPr>
            </w:pPr>
          </w:p>
        </w:tc>
      </w:tr>
      <w:tr>
        <w:trPr>
          <w:trHeight w:val="149"/>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106,235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169,593</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12,242,926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3,977,534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29,074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16,525,362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(3,363,676)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(15,702,017)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(2,854,198)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(21,919,891)</w:t>
            </w:r>
          </w:p>
        </w:tc>
        <w:tc>
          <w:tcPr>
            <w:tcW w:w="0" w:type="dxa"/>
            <w:vAlign w:val="bottom"/>
          </w:tcPr>
          <w:p>
            <w:pPr>
              <w:spacing w:after="0"/>
              <w:rPr>
                <w:sz w:val="1"/>
                <w:szCs w:val="1"/>
                <w:color w:val="auto"/>
              </w:rPr>
            </w:pPr>
          </w:p>
        </w:tc>
      </w:tr>
      <w:tr>
        <w:trPr>
          <w:trHeight w:val="155"/>
        </w:trPr>
        <w:tc>
          <w:tcPr>
            <w:tcW w:w="328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3,272,439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33,377,471</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2,509,918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7,073,807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68,681,497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25,926,146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23,872,116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164,713,394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2019</w:t>
            </w:r>
          </w:p>
        </w:tc>
        <w:tc>
          <w:tcPr>
            <w:tcW w:w="1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1,351,230</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489,956</w:t>
            </w:r>
          </w:p>
        </w:tc>
        <w:tc>
          <w:tcPr>
            <w:tcW w:w="14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249,423</w:t>
            </w:r>
          </w:p>
        </w:tc>
        <w:tc>
          <w:tcPr>
            <w:tcW w:w="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1,007,998</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784,735</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1,866,400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1,308,757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1,990,289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1,535,205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6,827,711</w:t>
            </w:r>
          </w:p>
        </w:tc>
        <w:tc>
          <w:tcPr>
            <w:tcW w:w="0" w:type="dxa"/>
            <w:vAlign w:val="bottom"/>
          </w:tcPr>
          <w:p>
            <w:pPr>
              <w:spacing w:after="0"/>
              <w:rPr>
                <w:sz w:val="1"/>
                <w:szCs w:val="1"/>
                <w:color w:val="auto"/>
              </w:rPr>
            </w:pPr>
          </w:p>
        </w:tc>
      </w:tr>
      <w:tr>
        <w:trPr>
          <w:trHeight w:val="149"/>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(981,376)</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(612,958)</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(1,594,334)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617,016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1,558,180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2,998,287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1,706,982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240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2,243,085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19,510,758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1,838,891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1,843,782</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17,427,895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5,794,711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16,664,958</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65,324,080</w:t>
            </w:r>
          </w:p>
        </w:tc>
        <w:tc>
          <w:tcPr>
            <w:tcW w:w="0" w:type="dxa"/>
            <w:vAlign w:val="bottom"/>
          </w:tcPr>
          <w:p>
            <w:pPr>
              <w:spacing w:after="0"/>
              <w:rPr>
                <w:sz w:val="1"/>
                <w:szCs w:val="1"/>
                <w:color w:val="auto"/>
              </w:rPr>
            </w:pPr>
          </w:p>
        </w:tc>
      </w:tr>
      <w:tr>
        <w:trPr>
          <w:trHeight w:val="182"/>
        </w:trPr>
        <w:tc>
          <w:tcPr>
            <w:tcW w:w="3280" w:type="dxa"/>
            <w:vAlign w:val="bottom"/>
            <w:gridSpan w:val="4"/>
          </w:tcPr>
          <w:p>
            <w:pPr>
              <w:spacing w:after="0"/>
              <w:rPr>
                <w:sz w:val="20"/>
                <w:szCs w:val="20"/>
                <w:color w:val="auto"/>
              </w:rPr>
            </w:pPr>
            <w:r>
              <w:rPr>
                <w:rFonts w:ascii="Arial" w:cs="Arial" w:eastAsia="Arial" w:hAnsi="Arial"/>
                <w:sz w:val="14"/>
                <w:szCs w:val="14"/>
                <w:color w:val="auto"/>
              </w:rPr>
              <w:t>As at December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3,272,439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31,141,217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1,892,902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5,515,627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65,683,210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24,219,164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23,872,116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155,596,675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Production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Computer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360" w:type="dxa"/>
            <w:vAlign w:val="bottom"/>
            <w:gridSpan w:val="3"/>
            <w:vMerge w:val="restart"/>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Furniture and</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Processing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Land</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Fixtures</w:t>
            </w:r>
          </w:p>
        </w:tc>
        <w:tc>
          <w:tcPr>
            <w:tcW w:w="860" w:type="dxa"/>
            <w:vAlign w:val="bottom"/>
            <w:gridSpan w:val="3"/>
          </w:tcPr>
          <w:p>
            <w:pPr>
              <w:spacing w:after="0" w:line="154" w:lineRule="exact"/>
              <w:rPr>
                <w:sz w:val="20"/>
                <w:szCs w:val="20"/>
                <w:color w:val="auto"/>
              </w:rPr>
            </w:pPr>
            <w:r>
              <w:rPr>
                <w:rFonts w:ascii="Arial" w:cs="Arial" w:eastAsia="Arial" w:hAnsi="Arial"/>
                <w:sz w:val="14"/>
                <w:szCs w:val="14"/>
                <w:color w:val="auto"/>
              </w:rPr>
              <w:t>and Software</w:t>
            </w:r>
          </w:p>
        </w:tc>
        <w:tc>
          <w:tcPr>
            <w:tcW w:w="60" w:type="dxa"/>
            <w:vAlign w:val="bottom"/>
          </w:tcPr>
          <w:p>
            <w:pPr>
              <w:spacing w:after="0"/>
              <w:rPr>
                <w:sz w:val="15"/>
                <w:szCs w:val="15"/>
                <w:color w:val="auto"/>
              </w:rPr>
            </w:pPr>
          </w:p>
        </w:tc>
        <w:tc>
          <w:tcPr>
            <w:tcW w:w="9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60" w:type="dxa"/>
            <w:vAlign w:val="bottom"/>
          </w:tcPr>
          <w:p>
            <w:pPr>
              <w:spacing w:after="0"/>
              <w:rPr>
                <w:sz w:val="15"/>
                <w:szCs w:val="15"/>
                <w:color w:val="auto"/>
              </w:rPr>
            </w:pPr>
          </w:p>
        </w:tc>
        <w:tc>
          <w:tcPr>
            <w:tcW w:w="820" w:type="dxa"/>
            <w:vAlign w:val="bottom"/>
            <w:gridSpan w:val="3"/>
          </w:tcPr>
          <w:p>
            <w:pPr>
              <w:jc w:val="center"/>
              <w:ind w:right="140"/>
              <w:spacing w:after="0" w:line="154" w:lineRule="exact"/>
              <w:rPr>
                <w:sz w:val="20"/>
                <w:szCs w:val="20"/>
                <w:color w:val="auto"/>
              </w:rPr>
            </w:pPr>
            <w:r>
              <w:rPr>
                <w:rFonts w:ascii="Arial" w:cs="Arial" w:eastAsia="Arial" w:hAnsi="Arial"/>
                <w:sz w:val="14"/>
                <w:szCs w:val="14"/>
                <w:color w:val="auto"/>
                <w:w w:val="95"/>
              </w:rPr>
              <w:t>Equipment</w:t>
            </w:r>
          </w:p>
        </w:tc>
        <w:tc>
          <w:tcPr>
            <w:tcW w:w="92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6"/>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262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2018</w:t>
            </w:r>
          </w:p>
        </w:tc>
        <w:tc>
          <w:tcPr>
            <w:tcW w:w="10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1,626,989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13,999,703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505,268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381,029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2,350,287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1,128,835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12,762,563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32,754,674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83,609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796,512</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7,820,415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408,733</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(9,322,936)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3,278,221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874,487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1,310,292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8,009,792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3,321,472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13,893,168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30,747,932</w:t>
            </w: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555,596</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3,500,455</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152,580</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188,217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255,399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1,720,406</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6,372,653</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2018</w:t>
            </w:r>
          </w:p>
        </w:tc>
        <w:tc>
          <w:tcPr>
            <w:tcW w:w="10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2,243,085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20,861,988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2,328,847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2,093,205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18,435,893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6,579,446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69,207,422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2018</w:t>
            </w:r>
          </w:p>
        </w:tc>
        <w:tc>
          <w:tcPr>
            <w:tcW w:w="10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752,962</w:t>
            </w:r>
          </w:p>
        </w:tc>
        <w:tc>
          <w:tcPr>
            <w:tcW w:w="12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195,832</w:t>
            </w:r>
          </w:p>
        </w:tc>
        <w:tc>
          <w:tcPr>
            <w:tcW w:w="60" w:type="dxa"/>
            <w:vAlign w:val="bottom"/>
            <w:tcBorders>
              <w:top w:val="single" w:sz="8" w:color="CCEEFF"/>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28,517</w:t>
            </w:r>
          </w:p>
        </w:tc>
        <w:tc>
          <w:tcPr>
            <w:tcW w:w="160" w:type="dxa"/>
            <w:vAlign w:val="bottom"/>
            <w:tcBorders>
              <w:top w:val="single" w:sz="8" w:color="CCEEFF"/>
            </w:tcBorders>
            <w:gridSpan w:val="2"/>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82,809</w:t>
            </w:r>
          </w:p>
        </w:tc>
        <w:tc>
          <w:tcPr>
            <w:tcW w:w="16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136,197</w:t>
            </w:r>
          </w:p>
        </w:tc>
        <w:tc>
          <w:tcPr>
            <w:tcW w:w="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1,196,317</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598,268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294,124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220,906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925,189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2,687,025</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1,351,230</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489,956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249,423</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1,007,998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1740" w:type="dxa"/>
            <w:vAlign w:val="bottom"/>
            <w:gridSpan w:val="2"/>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2018</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9"/>
              </w:rPr>
              <w:t>1,626,989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13,246,741</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309,436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352,512</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2,267,478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4"/>
              </w:rPr>
              <w:t>12,762,563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31,558,357</w:t>
            </w:r>
          </w:p>
        </w:tc>
        <w:tc>
          <w:tcPr>
            <w:tcW w:w="0" w:type="dxa"/>
            <w:vAlign w:val="bottom"/>
          </w:tcPr>
          <w:p>
            <w:pPr>
              <w:spacing w:after="0"/>
              <w:rPr>
                <w:sz w:val="1"/>
                <w:szCs w:val="1"/>
                <w:color w:val="auto"/>
              </w:rPr>
            </w:pPr>
          </w:p>
        </w:tc>
      </w:tr>
      <w:tr>
        <w:trPr>
          <w:trHeight w:val="182"/>
        </w:trPr>
        <w:tc>
          <w:tcPr>
            <w:tcW w:w="2620" w:type="dxa"/>
            <w:vAlign w:val="bottom"/>
            <w:gridSpan w:val="4"/>
          </w:tcPr>
          <w:p>
            <w:pPr>
              <w:spacing w:after="0"/>
              <w:rPr>
                <w:sz w:val="20"/>
                <w:szCs w:val="20"/>
                <w:color w:val="auto"/>
              </w:rPr>
            </w:pPr>
            <w:r>
              <w:rPr>
                <w:rFonts w:ascii="Arial" w:cs="Arial" w:eastAsia="Arial" w:hAnsi="Arial"/>
                <w:sz w:val="14"/>
                <w:szCs w:val="14"/>
                <w:color w:val="auto"/>
              </w:rPr>
              <w:t>As at December 31, 2018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2,243,085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19,510,758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1,838,891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1,843,782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17,427,895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5,794,711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16,664,958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65,324,080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 Included within assets under construction was $2,500,000 and $0 of capitalized interest additions as of December 31, 2019 and 2018 respectively.</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the long-term agreement, the Company will lease back the facility and continue to operate and manage it. As a result of the sale, the Company disposed of $3,363,676 of land, $15,702,017 of buildings and improvements, and $2,854,198 in production and processing equipment. There was no gain or loss on the sale. For further information regarding the transaction, see Note 9 - Leases.</w:t>
      </w:r>
    </w:p>
    <w:p>
      <w:pPr>
        <w:spacing w:after="0" w:line="17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Depreciation expense for the years ended December 31, 2019, 2018 and 2017 totaled $6,827,711, $2,687,025 and $646,928, respectively of which $4,246,524, $1,346,632 and $428,724, respectively, is included in cost of goods sold.</w:t>
      </w:r>
    </w:p>
    <w:p>
      <w:pPr>
        <w:spacing w:after="0" w:line="31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Those acquisitions that are determined to be the acquisition of a business are accounted for by applying the acquisition method, whereby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completed preliminary allocations of the purchase prices of the assets acquired and liabilities assumed as follows with the assistance of an independent valuation firm. The Company is still in the process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completing the valuations. The preliminary allocations of the purchase prices were based upon preliminary valuations and our estimates and assumptions are subject to change within the purchase price allocation period (generally one year from the acquisition dates). The primary areas of the purchase price allocations that are not yet finalized relate to the valuation of the tangible and intangible assets acquired and the residual goodwill.</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Integral Associates,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52,807,500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44,147,694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 Issuances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79,709,170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273,146,014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142,882,549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Conversion of Previous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27,121,559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Acquisition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791,068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8,081,000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39,985,000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$ 108,652,137</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366,729,582</w:t>
            </w: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234,285,600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Integral Associates,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777,371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10,107,303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8,107,836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565,336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4,840,609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 Funding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801,998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28,920,000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175,845,000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48,300,000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38,740,592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12,462,000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9,298,000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(1,230,441)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(11,091,246)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(4,869,639)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(14,238,349)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(21,807,925)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47,323,538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250,750,259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80,385,412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61,328,599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115,979,323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153,900,188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$ 108,652,137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366,729,582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234,285,600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acquisitions consists of For Success Holdings Company, Fiorello Pharmaceuticals, Inc., MC Brands, LLC as well as two dispensaries. The details of the significant transactions are discussed below. The Company also incurred approximately $812,000 of acquisition related costs which were expensed in the current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following table summarizes the revenue and net income (loss) of Advanced Grow Labs, LLC and Integral Associates, LLC from the transaction date (the date of acquisition for Advanced Grow Labs, LLC of February 12, 2019 and for Integral Associates, LLC of June 5, 2019) through December 31, 2019 and Revenues, net of discounts and Net income (loss) for Advanced Grow Labs, LLC and Integral Associates, LLC for the years ended December 31, 2018 and 2017:</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4"/>
                <w:szCs w:val="14"/>
                <w:color w:val="auto"/>
              </w:rPr>
              <w:t>Transaction Date Through</w:t>
            </w:r>
          </w:p>
        </w:tc>
        <w:tc>
          <w:tcPr>
            <w:tcW w:w="100" w:type="dxa"/>
            <w:vAlign w:val="bottom"/>
          </w:tcPr>
          <w:p>
            <w:pPr>
              <w:spacing w:after="0"/>
              <w:rPr>
                <w:sz w:val="14"/>
                <w:szCs w:val="14"/>
                <w:color w:val="auto"/>
              </w:rPr>
            </w:pPr>
          </w:p>
        </w:tc>
        <w:tc>
          <w:tcPr>
            <w:tcW w:w="2320" w:type="dxa"/>
            <w:vAlign w:val="bottom"/>
            <w:gridSpan w:val="4"/>
          </w:tcPr>
          <w:p>
            <w:pPr>
              <w:ind w:left="560"/>
              <w:spacing w:after="0"/>
              <w:rPr>
                <w:sz w:val="20"/>
                <w:szCs w:val="20"/>
                <w:color w:val="auto"/>
              </w:rPr>
            </w:pPr>
            <w:r>
              <w:rPr>
                <w:rFonts w:ascii="Arial" w:cs="Arial" w:eastAsia="Arial" w:hAnsi="Arial"/>
                <w:sz w:val="14"/>
                <w:szCs w:val="14"/>
                <w:color w:val="auto"/>
              </w:rPr>
              <w:t>For the Year Ended</w:t>
            </w:r>
          </w:p>
        </w:tc>
        <w:tc>
          <w:tcPr>
            <w:tcW w:w="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Year Ended</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2320" w:type="dxa"/>
            <w:vAlign w:val="bottom"/>
            <w:gridSpan w:val="4"/>
          </w:tcPr>
          <w:p>
            <w:pPr>
              <w:ind w:left="540"/>
              <w:spacing w:after="0"/>
              <w:rPr>
                <w:sz w:val="20"/>
                <w:szCs w:val="20"/>
                <w:color w:val="auto"/>
              </w:rPr>
            </w:pPr>
            <w:r>
              <w:rPr>
                <w:rFonts w:ascii="Arial" w:cs="Arial" w:eastAsia="Arial" w:hAnsi="Arial"/>
                <w:sz w:val="14"/>
                <w:szCs w:val="14"/>
                <w:color w:val="auto"/>
              </w:rPr>
              <w:t>December 31, 2018</w:t>
            </w:r>
          </w:p>
        </w:tc>
        <w:tc>
          <w:tcPr>
            <w:tcW w:w="8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color w:val="auto"/>
              </w:rPr>
              <w:t>December 31, 2017</w:t>
            </w:r>
          </w:p>
        </w:tc>
      </w:tr>
      <w:tr>
        <w:trPr>
          <w:trHeight w:val="123"/>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3"/>
              </w:rPr>
              <w:t>Advanced</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Integral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4"/>
                <w:szCs w:val="14"/>
                <w:color w:val="auto"/>
                <w:w w:val="98"/>
              </w:rPr>
              <w:t>Integral</w:t>
            </w:r>
          </w:p>
        </w:tc>
        <w:tc>
          <w:tcPr>
            <w:tcW w:w="80" w:type="dxa"/>
            <w:vAlign w:val="bottom"/>
          </w:tcPr>
          <w:p>
            <w:pPr>
              <w:spacing w:after="0"/>
              <w:rPr>
                <w:sz w:val="10"/>
                <w:szCs w:val="10"/>
                <w:color w:val="auto"/>
              </w:rPr>
            </w:pPr>
          </w:p>
        </w:tc>
      </w:tr>
      <w:tr>
        <w:trPr>
          <w:trHeight w:val="149"/>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Grow</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Associates,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Grow</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Associates,</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Grow</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Associates,</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Labs, LLC</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LLC</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$ 16,377,199</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39,246,745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17,016,743</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60,261,432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13,979,514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30,420,101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3,612,455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(6,375,800)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7,497,696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13,218,159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7,721,627</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6,983,028</w:t>
            </w:r>
          </w:p>
        </w:tc>
      </w:tr>
    </w:tbl>
    <w:p>
      <w:pPr>
        <w:spacing w:after="0" w:line="1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2019 through December 31, 2019 (presented as if the acquisitions had occurred at January 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412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Green Thumb</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Grow Labs,</w:t>
            </w: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Associates,</w:t>
            </w: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Pro Forma</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Industries Inc.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LLC</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Adjustments</w:t>
            </w:r>
          </w:p>
        </w:tc>
        <w:tc>
          <w:tcPr>
            <w:tcW w:w="9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$160,808,662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$18,516,074</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$79,146,937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$258,471,673</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(56,353,062)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4,586,122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(1,110,610)</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(8,394,854)</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(61,272,404)</w:t>
            </w:r>
          </w:p>
        </w:tc>
      </w:tr>
    </w:tbl>
    <w:p>
      <w:pPr>
        <w:spacing w:after="0" w:line="107" w:lineRule="exact"/>
        <w:rPr>
          <w:sz w:val="20"/>
          <w:szCs w:val="20"/>
          <w:color w:val="auto"/>
        </w:rPr>
      </w:pPr>
    </w:p>
    <w:p>
      <w:pPr>
        <w:ind w:left="540" w:right="140" w:hanging="424"/>
        <w:spacing w:after="0" w:line="255"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$327,302 representing one month of amortization expense and $6,639,127 representing five months of amortization expense, respectively.</w:t>
      </w:r>
    </w:p>
    <w:p>
      <w:pPr>
        <w:spacing w:after="0" w:line="2"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$164,780 and Integral Associates, LLC of $1,263,645 based on a 24% effective tax rate.</w:t>
      </w:r>
    </w:p>
    <w:p>
      <w:pPr>
        <w:spacing w:after="0" w:line="18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2018 through December 31, 2018 (presented as if the acquisitions had occurred at January 1, 2018):</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For the Year Ended December 31, 2018</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3"/>
              </w:rPr>
              <w:t>Advanced</w:t>
            </w:r>
          </w:p>
        </w:tc>
        <w:tc>
          <w:tcPr>
            <w:tcW w:w="3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8"/>
              </w:rPr>
              <w:t>Integral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9"/>
        </w:trPr>
        <w:tc>
          <w:tcPr>
            <w:tcW w:w="37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Green Thumb</w:t>
            </w:r>
          </w:p>
        </w:tc>
        <w:tc>
          <w:tcPr>
            <w:tcW w:w="1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Grow Labs,</w:t>
            </w:r>
          </w:p>
        </w:tc>
        <w:tc>
          <w:tcPr>
            <w:tcW w:w="3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Associates,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37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Industries Inc.</w:t>
            </w:r>
          </w:p>
        </w:tc>
        <w:tc>
          <w:tcPr>
            <w:tcW w:w="1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3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LLC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Combined</w:t>
            </w:r>
          </w:p>
        </w:tc>
      </w:tr>
      <w:tr>
        <w:trPr>
          <w:trHeight w:val="142"/>
        </w:trPr>
        <w:tc>
          <w:tcPr>
            <w:tcW w:w="37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$62,493,680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$17,016,743</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$60,261,432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$ 139,771,855</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(5,243,917)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7,497,696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13,218,159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(24,006,529)</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(a), (b)</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(8,534,591)</w:t>
            </w:r>
          </w:p>
        </w:tc>
      </w:tr>
    </w:tbl>
    <w:p>
      <w:pPr>
        <w:spacing w:after="0" w:line="107" w:lineRule="exact"/>
        <w:rPr>
          <w:sz w:val="20"/>
          <w:szCs w:val="20"/>
          <w:color w:val="auto"/>
        </w:rPr>
      </w:pPr>
    </w:p>
    <w:p>
      <w:pPr>
        <w:ind w:left="540" w:right="480" w:hanging="424"/>
        <w:spacing w:after="0" w:line="308" w:lineRule="auto"/>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540" w:right="6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$972,647 and Integral Associates, LLC of $3,172,358 based on a 24% effective tax rate.</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2017 through December 31, 2017 (presented as if the acquisitions had occurred at January 1, 2017):</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vMerge w:val="continue"/>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i w:val="1"/>
                <w:iCs w:val="1"/>
                <w:color w:val="auto"/>
                <w:w w:val="93"/>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16,528,779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13,979,514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30,420,101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60,928,394</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7,721,627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6,983,028</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(22,563,841)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(a),(b)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(12,108,961)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ind w:left="540" w:right="300" w:hanging="424"/>
        <w:spacing w:after="0" w:line="260"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$1,026,390 and Integral Associates, LLC of $1,675,927 based on a 24% effective tax rate.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560" w:right="140"/>
        <w:spacing w:after="0" w:line="290"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license and an ownership stake in a recently awarded Connecticut-based dispensary. The transaction consideration included $15.5 million of cash, approximately 7.3 million Subordinate Voting Shares of GTI which were valued at approximately $85.1 million, based on the fair value of the securities on their date of issuance, which was the closing price of GTI’s Subordinate Voting Shares as traded on the CSE on the date of the transaction. The purchase agreement also included additional consideration ranging from $0 to $15 million in shares of GTI depending upon the EBITDA results of AGL over the twelve-month period following the close of the transaction. As of December 31, 2019, the Company estimated the fair value of contingent consideration (which had an initial value of $8.1 million as of February 12, 2019) to be $8.6 million using a probability weighting of the potential payouts.</w:t>
      </w:r>
    </w:p>
    <w:p>
      <w:pPr>
        <w:spacing w:after="0" w:line="310"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On June 5, 2019, the Company acquired 100% of the ownership interests of Integral Associates, LLC. The acquisition included Integral Associate’s retail brand Essence, three retail locations, as well as two cultivation and processing facilities.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fair value of the securities was based upon the closing price of GTI’s Subordinate Voting Shares as traded on the CSE on the date of the transaction. The purchase agreement includes additional consideration based upon future milestone targets of which an additional 0.9 million Subordinate Voting Shares have been issued to-date. The former owners of Integral Associates may receive additional contingent consideration of up to $57 million in shares of GTI depending upon the EBITDA results of Integral Associates over the twelve-month period following the close of the transaction along with</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conditional and/or final dispensary operating licenses. As of December 31, 2019, the Company estimated the fair value of contingent consideration (which had an initial value of $40 million as of June 5, 2019) to be $39.6 million using a probability weighting of the potential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6,463,553 of GTI Subordinate Voting Shares (including 793,448 deferred shares) which were valued at $94.5 million, based on the fair value of the securities on their date of issuance, which was the closing price of GTI’s Subordinate Voting Shares as traded on the CSE on the date of the transaction. The purchase agreement also includes additional consideration ranging from $0 to $15 million in cash or shares of GTI subject to Beboe achieving the placement of its products in specified retailers during the twelve months post acquisition of which $6.9 million was earned and paid during 2019 in the form of 808,614 Subordinated Voting Shares. As of December 31, 2019, the Company estimated the fair value of contingent consideration to be $2.4 million using a probability weighting of the potential payouts.</w:t>
      </w:r>
    </w:p>
    <w:p>
      <w:pPr>
        <w:spacing w:after="0" w:line="8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ind w:left="560" w:right="220"/>
        <w:spacing w:after="0" w:line="291" w:lineRule="auto"/>
        <w:rPr>
          <w:sz w:val="20"/>
          <w:szCs w:val="20"/>
          <w:color w:val="auto"/>
        </w:rPr>
      </w:pPr>
      <w:r>
        <w:rPr>
          <w:rFonts w:ascii="Arial" w:cs="Arial" w:eastAsia="Arial" w:hAnsi="Arial"/>
          <w:sz w:val="16"/>
          <w:szCs w:val="16"/>
          <w:color w:val="auto"/>
        </w:rPr>
        <w:t>On August 23, 2019, the Company acquired 100% of the ownership interests of New York-based Fiorello Pharmaceuticals, Inc. The acquisition consideration was paid using $42.6 million of cash and 1.7 million of the company’s Subordinate Voting Shares which were valued at</w:t>
      </w:r>
    </w:p>
    <w:p>
      <w:pPr>
        <w:jc w:val="both"/>
        <w:ind w:left="560"/>
        <w:spacing w:after="0" w:line="255" w:lineRule="auto"/>
        <w:rPr>
          <w:sz w:val="20"/>
          <w:szCs w:val="20"/>
          <w:color w:val="auto"/>
        </w:rPr>
      </w:pPr>
      <w:r>
        <w:rPr>
          <w:rFonts w:ascii="Arial" w:cs="Arial" w:eastAsia="Arial" w:hAnsi="Arial"/>
          <w:sz w:val="18"/>
          <w:szCs w:val="18"/>
          <w:color w:val="auto"/>
        </w:rPr>
        <w:t>$14.1 million, based on the fair value of the securities on their date of issuance, which was the closing price of GTI’s Subordinate Voting Shares as traded on the CSE on the date of the transaction. The acquisition includes the license and assets for one cultivation, one processing, and four retail facilities in the state of New York.</w:t>
      </w:r>
    </w:p>
    <w:p>
      <w:pPr>
        <w:spacing w:after="0" w:line="334"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MC Brands, LLC</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On June 27, 2019, the Company acquired the remaining 75% interest in MC Brands, LLC which is based in Colorado through the issuance of 1.7 million Subordinated Voting Shares valued at $19.4 million. The transaction was accounted for as an asset acquisition.</w:t>
      </w:r>
    </w:p>
    <w:p>
      <w:pPr>
        <w:spacing w:after="0" w:line="291"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Licenses and</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Licenses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Tradenames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and Permits</w:t>
            </w: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14,205,055</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89,705,213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90,905,693</w:t>
            </w:r>
          </w:p>
        </w:tc>
        <w:tc>
          <w:tcPr>
            <w:tcW w:w="0" w:type="dxa"/>
            <w:vAlign w:val="bottom"/>
          </w:tcPr>
          <w:p>
            <w:pPr>
              <w:spacing w:after="0"/>
              <w:rPr>
                <w:sz w:val="1"/>
                <w:szCs w:val="1"/>
                <w:color w:val="auto"/>
              </w:rPr>
            </w:pPr>
          </w:p>
        </w:tc>
      </w:tr>
      <w:tr>
        <w:trPr>
          <w:trHeight w:val="283"/>
        </w:trPr>
        <w:tc>
          <w:tcPr>
            <w:tcW w:w="4820" w:type="dxa"/>
            <w:vAlign w:val="bottom"/>
            <w:gridSpan w:val="3"/>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43,060</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2,496,955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2,540,015</w:t>
            </w: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Net book value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779,500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14,161,995</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87,382,498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615,500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88,365,678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recorded amortization expense for the years ended December 31, 2019, 2018 and 2017 of $24,466,370, $2,496,955 and $43,060,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33,427,493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33,198,048</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32,767,307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32,684,492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32,103,159</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271,066,399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435,246,898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4780" w:type="dxa"/>
            <w:vAlign w:val="bottom"/>
            <w:gridSpan w:val="2"/>
          </w:tcPr>
          <w:p>
            <w:pPr>
              <w:jc w:val="right"/>
              <w:ind w:right="2390"/>
              <w:spacing w:after="0"/>
              <w:rPr>
                <w:sz w:val="20"/>
                <w:szCs w:val="20"/>
                <w:color w:val="auto"/>
              </w:rPr>
            </w:pPr>
            <w:r>
              <w:rPr>
                <w:rFonts w:ascii="Arial" w:cs="Arial" w:eastAsia="Arial" w:hAnsi="Arial"/>
                <w:sz w:val="18"/>
                <w:szCs w:val="18"/>
                <w:color w:val="auto"/>
              </w:rPr>
              <w:t>F-29</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16,756,250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44,572,349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61,328,599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46,655,753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69,323,570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115,979,323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32,936,590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120,963,598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153,900,188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8,238,808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(3,566,285)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2019</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  255,211,232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2018, Goodwill consisted of the following:</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KSGNF,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10,250,880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23,918,000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34,168,880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Compassionate Organics,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4,847,220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4,847,220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2018</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15,286,360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23,918,000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39,204,360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California Consumer Packaged Goods, Connecticut Retail and Consumer Packaged Goods, Florida Retail and Consumer Packaged Goods, Illinois Retail, Massachusetts Retail, Nevada Retail and Consumer Packaged Goods and New York Retail and Consumer Packaged Goods.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recorded right-of-use assets of $11,197,339 and corresponding lease liabilities of $11,695,585 with the difference of $498,246 recorded in opening retained earnings.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operating leases for certain Rise and Essence retail dispensaries located throughout the US and processing and cultivation facilities in Connecticut, Florida, Massachusetts, Maryland, Nevada, New York and Pennsylvania as well as corporate office space in Illinois and Nevada. Operating lease ROU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consolidated balance sheet.</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Many leases include one or more options to renew the lease at the end of the initial term. The Company considered renewals in its ROU assets and operating lease liabilities. Certain real estate leases require payment for taxes, insurance and maintenance which are considered non-lease components. The Company accounts for real estate leases and the related fixed non-lease components together as a single component</w:t>
      </w:r>
    </w:p>
    <w:p>
      <w:pPr>
        <w:spacing w:after="0" w:line="1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 Company recorded $7,291,154 in operating lease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operating leases as of and for the year ended December 31, 2019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7.42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12.0%</w:t>
            </w:r>
          </w:p>
        </w:tc>
      </w:tr>
      <w:tr>
        <w:trPr>
          <w:trHeight w:val="350"/>
        </w:trPr>
        <w:tc>
          <w:tcPr>
            <w:tcW w:w="6120" w:type="dxa"/>
            <w:vAlign w:val="bottom"/>
          </w:tcPr>
          <w:p>
            <w:pPr>
              <w:ind w:left="3580"/>
              <w:spacing w:after="0"/>
              <w:rPr>
                <w:sz w:val="20"/>
                <w:szCs w:val="20"/>
                <w:color w:val="auto"/>
              </w:rPr>
            </w:pPr>
            <w:r>
              <w:rPr>
                <w:rFonts w:ascii="Arial" w:cs="Arial" w:eastAsia="Arial" w:hAnsi="Arial"/>
                <w:sz w:val="18"/>
                <w:szCs w:val="18"/>
                <w:color w:val="auto"/>
              </w:rPr>
              <w:t>F-31</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Maturities of lease liabilities for operating leases as of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Maturities of Lease Liability</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46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Related Party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10,041,583</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1,392,233</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11,433,816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10,862,998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1,424,852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12,287,850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10,261,431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1,458,247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11,719,678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10,039,912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1,492,438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11,532,350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1,384,036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10,134,098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54,812,515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11,524,619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66,337,134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104,768,501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18,676,425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123,444,926</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(49,018,620)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(9,477,301)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(58,495,921)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55,749,881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9,199,124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64,949,005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170"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year ended December 31, 2019, the Company recorded lease expense of $710,525 associated with these lease arrangements.</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years ended December 31, 2019, 2018 and 2017, rent expense associated with these leases was $519,825, $515,064 and $87,705, respectively.</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 Teco Partners, LLC. Durango Teco Partners, LLC owns the building in which an Essence dispensary leases. The term of the lease is 10 years. For the year ended December 31, 2019, the Company recorded lease expense of $42,396 associated with this lease.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Lease Back Transaction</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$20,300,000, excluding transaction costs. The Company is also expected to make certain improvements to the property that will significantly enhance production capacity, for which IIP has agreed to provide reimbursement of up to $19,300,000. Assuming full reimbursement for such improvements, IIP’s total investment in the property will be $39.6 million. The lease was recorded as an operating lease and resulted in a right of use asset and related lease liability of $25,165,505 each and was recorded net of the improvements allowance of $19,300,000.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commitments under non-cancelable operating leases as of December 31, 2018 were expected to be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Party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$ 1,188,865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1,127,754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585,966</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1,713,720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1,123,769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597,686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1,721,455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1,040,481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504,255</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1,544,736</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1,067,783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366,802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1,434,585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3,119,021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695,291</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3,814,312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Future Minimum Lease Payments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$ 8,667,673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2"/>
              </w:rPr>
              <w:t>3,324,477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11,992,150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leases certain business facilities from third parties under operating lease agreements that specify minimum rentals. The Company’s net rent expense for the years ended December 31, 2018 and 2017 totaled approximately $1,901,000 and $927,000 for these third-party leases.</w:t>
      </w:r>
    </w:p>
    <w:p>
      <w:pPr>
        <w:spacing w:after="0" w:line="2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notes payable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$2,250,000 issued to</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accredited investors, which matures October 1, 2022; monthly payments of $55,611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interest at 12.0% per annum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3"/>
              </w:rPr>
              <w:t>accredited investors, which matures October 1, 2022; monthly payments of $112,490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including interest at 12.5% 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an acquisition completed in 2017, the Company is required to make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quarterly charitable contributions of $50,000 through October 2024. The net present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value of these required payments has been recorded as a liability with an interest 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2.17%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6"/>
              </w:rPr>
              <w:t>Private placement debt dated May 22, 2019, in the original amount of $105,466,429,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8"/>
              </w:rPr>
              <w:t>which matures on May 22, 2022. The debt was issued at a discount, the 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2"/>
              </w:rPr>
              <w:t>value of which is $15,090,517 as of December 31, 2019, and bears interest of 12.00%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90,375,912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91,346,869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91,140,194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440"/>
              <w:spacing w:after="0"/>
              <w:rPr>
                <w:sz w:val="20"/>
                <w:szCs w:val="20"/>
                <w:color w:val="auto"/>
              </w:rPr>
            </w:pPr>
            <w:r>
              <w:rPr>
                <w:rFonts w:ascii="Arial" w:cs="Arial" w:eastAsia="Arial" w:hAnsi="Arial"/>
                <w:sz w:val="18"/>
                <w:szCs w:val="18"/>
                <w:color w:val="auto"/>
              </w:rPr>
              <w:t>F-33</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80" w:hanging="393"/>
        <w:spacing w:after="0"/>
        <w:tabs>
          <w:tab w:leader="none" w:pos="12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Bridge Financing</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12, 2019, the Company completed a private placement of $12,500,000 in six-month senior secured promissory notes (the “Bridge Notes”). These Notes included Warrants to purchase 218,964 Subordinate Voting Shares at an exercise price of C$22.90, which can be exercised 42 months after the closing.</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exercise price of the warrants is denominated in Canadian dollars whereas the Company’s functional currency is USD. As such, upon issuance, the Company recorded a warrant liability and debt discount of $2,291,189 which was measured at fair value using a Monte Carlo simulation model. On May 22, 2019, the Company repaid the full principal amount and accrued interest of $12,645,833 for the Bridge Notes. The Company recognized $2,291,189 in interest expense for accretion of the debt discount upon the repayment of the April 12, 2019 Bridge Notes.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warrant liability associated with the April 12,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April 12,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12,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123.64%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3.50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1.64%</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$2,291,189</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2.78</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100.90%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$1,385,000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the Company recorded $805,788 as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Financing</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notes accrue interest at an annual rate of 12.16%, payable on a quarterly basis commencing June 30, 2019 and all principal is due on the maturity date. The Company also has the sole discretion to extend the financing an additional twelve months.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contain certain covenants which require the Company to maintain (on a daily basis) unrestricted cash and cash equivalents in an amount greater than or equal to the amount of interest that is scheduled to become due in the next 365-days and to not permit the ratio of net debt to stockholders’ equity to exceed a certain maximum as of the last day of any fiscal quarter. The Company was in compliance with such covenants as of December 31, 2019. Additionally, there are certain covenants which will require the Company to maintain a specific debt to EBITDA ratio and an interest coverage ratio which will be measured beginning June 30, 2020 as well as a fixed coverage ratio beginning December 31, 2020. Such covenants were not in effect as of December 31, 2019.</w:t>
      </w:r>
    </w:p>
    <w:p>
      <w:pPr>
        <w:spacing w:after="0" w:line="19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For the year ended December 31, 2019, the Company recognized $7,732,279 in interest expense associated with the promissory notes and $3,317,291 in interest expense for accretion of the debt discount.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C$19.39, which can be exercised at any time until 60 months after the closing of the transaction. The exercise price of the warrants is denominated in Canadian dollars whereas the Company’s functional currency is USD. As such, upon issuance, the Company recorded a warrant liability and debt discount of $15,543,468 which was measured at fair value using a Monte Carlo simulation model. In addition to the value of warrants, the debt discount included $228,761 of professional fees, and transaction related fees of $430,704 and is being accreted to interest expense over the term of the debt which approximates the effective interest method. As of December 31, 2019, the carrying value of the debt discount, net of amortization was $12,885,643.</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warrant liability associated with the May 22,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May 22,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0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9"/>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22, 2019</w:t>
            </w:r>
          </w:p>
        </w:tc>
        <w:tc>
          <w:tcPr>
            <w:tcW w:w="4180" w:type="dxa"/>
            <w:vAlign w:val="bottom"/>
            <w:gridSpan w:val="3"/>
          </w:tcPr>
          <w:p>
            <w:pPr>
              <w:jc w:val="right"/>
              <w:ind w:right="420"/>
              <w:spacing w:after="0"/>
              <w:rPr>
                <w:sz w:val="20"/>
                <w:szCs w:val="20"/>
                <w:color w:val="auto"/>
              </w:rPr>
            </w:pPr>
            <w:r>
              <w:rPr>
                <w:rFonts w:ascii="Arial" w:cs="Arial" w:eastAsia="Arial" w:hAnsi="Arial"/>
                <w:sz w:val="18"/>
                <w:szCs w:val="18"/>
                <w:color w:val="auto"/>
              </w:rPr>
              <w:t>121.14%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5.00 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$15,543,468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31, 2019</w:t>
            </w:r>
          </w:p>
        </w:tc>
        <w:tc>
          <w:tcPr>
            <w:tcW w:w="3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114.65%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$12,189,169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2019, the Company recorded $3,354,299 to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Private Placement Financing</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9, 2019, the Company amended the May 22, 2019 Private Placement Financing to allow for additional financing through sales lease back arrangements and to clarify certain aspects of the financing agreement with the lenders. Specifically, the calculation of the effective interest rate on the note was clarified to refer to a 365-day calendar year rather than LIBOR-based 360-day year. The result of this change was a reduction in the effective interest rate by approximately 16 basis points (from 12.16% to 12.0%). The Amendment also reduced the borrowing capacity from $150,000,000 to $130,000,000, which allows the Company to borrow an additional $24,533,571 over a period of 12 months from the closing date of the Note Purchase Agreement. The Company evaluated the terms of the November 9, 2019 amendment and concluded that the transaction resulted in a debt modification, which resulted in the value of the warrants being recorded as additional debt discount and is being accreted to interest expense over the remaining term of the debt which approximates the effective interest method. As part of this transaction, the Company issued 365,076 warrants allowing the lenders to purchase Subordinate Voting Shares at an exercise price of C$12.04, which can be exercised 60 months following the close of the transaction. The exercise price of the warrants is denominated in Canadian dollars whereas the Company’s functional currency is USD. As such, upon issuance, the Company recorded an additional amount to debt discount and warrant liability of $2,304,874 which was measured at fair value using a Monte Carlo simulation model. The Company did not incur any other fees related to the amendment. As of December 31, 2019, the carrying value of the debt discount, net of amortization was $2,204,874.</w:t>
      </w:r>
    </w:p>
    <w:p>
      <w:pPr>
        <w:spacing w:after="0" w:line="18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warrant liability is revalued as of each reporting date and requires various inputs including management’s estimate of volatility, remaining term and risk-free rate. The following table summarizes the significant assumptions utilized as part of estimate of the fair value of the warrant liability at November 9,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November 9,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117.43%</w:t>
            </w: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5.00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1.55%</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4.86</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116.58%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the fair value of the November 9, 2019 warrants approximated the fair value recorded upon issuance, no fair value adjustment was required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Related Parties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private placement debt and related warrant liability are held by related parties of the Company as well as un-related third parties.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all participated in the private placement financing. The following table summarizes the ownership interests in the private placement debt and warrant liability held as of December 31, 2019:</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Related Parties – Private Placement Debt</w:t>
            </w:r>
          </w:p>
        </w:tc>
        <w:tc>
          <w:tcPr>
            <w:tcW w:w="3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Related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Notes</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auto"/>
            </w:tcBorders>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89"/>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Private Placement Debt dated May 22,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89,576,809</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799,103</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90,375,912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4"/>
              </w:rPr>
              <w:t>Related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Related Parties – Warrant Liability</w:t>
            </w:r>
          </w:p>
        </w:tc>
        <w:tc>
          <w:tcPr>
            <w:tcW w:w="34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April 12,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May 22,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12,081,392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107,777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12,189,169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12, 2019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Total Warrant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15,751,712</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128,131</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15,879,843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Maturities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Company’s Notes Payable as of December 31, 2019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Maturities of Notes Payable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Private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Charitable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Placement Debt</w:t>
            </w: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184,913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105,466,429</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105,655,387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193,092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2025 and Thereafter</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excludes $15,090,517 of unamortized debt discount as of December 31, 2019.</w:t>
      </w:r>
    </w:p>
    <w:p>
      <w:pPr>
        <w:spacing w:after="0" w:line="370"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740—Income Taxes,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there was no Canadian tax liability and accordingly the Company filed a nil return with Canadian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2018, income taxes expense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18,095,946</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$ 214,000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22,760,946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CCEEFF"/>
          </w:tcPr>
          <w:p>
            <w:pPr>
              <w:spacing w:after="0"/>
              <w:rPr>
                <w:sz w:val="18"/>
                <w:szCs w:val="18"/>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2"/>
              </w:rPr>
              <w:t>(12,535,000)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5"/>
              <w:spacing w:after="0"/>
              <w:rPr>
                <w:sz w:val="20"/>
                <w:szCs w:val="20"/>
                <w:color w:val="auto"/>
              </w:rPr>
            </w:pPr>
            <w:r>
              <w:rPr>
                <w:rFonts w:ascii="Arial" w:cs="Arial" w:eastAsia="Arial" w:hAnsi="Arial"/>
                <w:sz w:val="18"/>
                <w:szCs w:val="18"/>
                <w:color w:val="auto"/>
              </w:rPr>
              <w:t>(881,913)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731,000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(13,416,913</w:t>
            </w:r>
          </w:p>
        </w:tc>
        <w:tc>
          <w:tcPr>
            <w:tcW w:w="300" w:type="dxa"/>
            <w:vAlign w:val="bottom"/>
          </w:tcPr>
          <w:p>
            <w:pPr>
              <w:jc w:val="right"/>
              <w:ind w:right="165"/>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4,061,000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$ 7,183,595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difference between the income tax expense for the years ended December 31, 2019, 2018 and 2017 and the expected income taxes based on the statutory tax rate applied to pre-tax earnings (loss) arises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(50,202,837)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Statutory Tax Rates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Expense/(Recovery) based on Statutory Rates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(10,542,596)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(1,062,111)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(1,536,694)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(279,899)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to Return Adjustment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(1,209,592)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Stock Compensation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(1,952,083)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14,166,223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2,263,978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 Reconciliation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7,604,098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(39,465)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7,183,595</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the components of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12,997,000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1,046,000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4,592,000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804,000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(7,604,098)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11,580,902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Fair Value Investments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(1,852,000)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(43,895,000)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(45,747,000)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(15,391,000)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(34,166,098)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(13,541,000)</w:t>
            </w:r>
          </w:p>
        </w:tc>
      </w:tr>
      <w:tr>
        <w:trPr>
          <w:trHeight w:val="20"/>
        </w:trPr>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2019, the Net Deferred Tax Liability of $36,279,361, as presented on the consolidated balance sheet, includes unrecognized tax benefits of $2,113,263 as further described below.</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 likely than not that some portion or all of the deferred tax assets will not be realized. We assess the positive and negative evidence to determine if sufficient future taxable income will be generated to use the existing deferred tax assets.</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As of December 31, 2019, we had federal net operating loss carryforwards with no expiration of $45 million and $45 million of state net operating loss carryforwards that begin to expire in 2031. Our evaluation of evidence resulted in management concluding that the majority of our net operating losses will not be realized. A valuation allowance in the amount of $7.6 million is maintained as of December 31, 2019.</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Pursuant to Section 382 and 383 of the Internal Revenue Code of 1986, as amended, utilization of our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(Topic 740, “Income Taxes”), the Company recognizes the benefits of uncertain tax positions in our consolidated financial statements only after determining that it is more likely than not that the uncertain tax positions will be sustained.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12/31/2018</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Additions for current year</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1,720,865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prior year</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392,398</w:t>
            </w: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Subtractions for current year</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12/31/2019</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2,113,263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gridSpan w:val="2"/>
          </w:tcPr>
          <w:p>
            <w:pPr>
              <w:jc w:val="right"/>
              <w:ind w:right="2720"/>
              <w:spacing w:after="0"/>
              <w:rPr>
                <w:sz w:val="20"/>
                <w:szCs w:val="20"/>
                <w:color w:val="auto"/>
              </w:rPr>
            </w:pPr>
            <w:r>
              <w:rPr>
                <w:rFonts w:ascii="Arial" w:cs="Arial" w:eastAsia="Arial" w:hAnsi="Arial"/>
                <w:sz w:val="18"/>
                <w:szCs w:val="18"/>
                <w:color w:val="auto"/>
              </w:rPr>
              <w:t>F-38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As of December 31, 2019 and 2018, we recognized an immaterial amount of interest and penalties. There are no positions for which it is reasonably possible that the uncertain tax benefit will significantly increase or decrease within twelve months. We file income tax returns in the United States, various state jurisdictions, and Canada with varying statutes of limitations. The federal statute of limitation remains open for the 2016 tax year to the present. The state income tax returns generally remain open for the 2016 tax year through the present. Net operating loss arising prior to these years are also open to examination if and when utilized.</w:t>
      </w:r>
    </w:p>
    <w:p>
      <w:pPr>
        <w:spacing w:after="0" w:line="337"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participated in various fundraises of other cannabis companies throughout 2018. The investments include convertible notes with terms to maturity ranging from 1 to 2 years that carry simple interest of 6.00% per annum and convert into common shares at pre-defined numbers of units. Management estimated that market interest rates on similar borrowings without the conversion feature was approximately 18% and has used an implied volatility of 58% in measuring the fair value. At December 31, 2019 and 2018, the fair value of these investments is $7,533,000 and $30,336,000, respectively.</w:t>
      </w:r>
    </w:p>
    <w:p>
      <w:pPr>
        <w:spacing w:after="0" w:line="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also made direct equity investments. Management estimated that market yields were approximately 15% and used an implied volatility of 106% in measuring the fair value. At December 31, 2019 and 2018, the fair value of these investments was $6,535,821 and $10,597,283, respectively.</w:t>
      </w:r>
    </w:p>
    <w:p>
      <w:pPr>
        <w:spacing w:after="0" w:line="12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addition to the investments discussed above, the Company also held an equity interest in a publicly traded company (which is considered a Level 1 investment and was accounted for as a trading investment at the date of acquisition) in the amount of $0 and $966,541 as of December 31, 2019 and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22,153,692</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16,750,000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44,703,692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15,612,026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13,586,000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4,797,283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33,995,309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(11,630,867)</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(26,134,851)</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30,336,000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10,597,283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December 31, 2019 and 2018 (see Note 18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92"/>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2.54% - 2.63%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 Volatility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58% - 106%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4"/>
              </w:rPr>
              <w:t>15%</w:t>
            </w:r>
          </w:p>
        </w:tc>
        <w:tc>
          <w:tcPr>
            <w:tcW w:w="4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92"/>
              <w:spacing w:after="0"/>
              <w:rPr>
                <w:sz w:val="20"/>
                <w:szCs w:val="20"/>
                <w:color w:val="auto"/>
              </w:rPr>
            </w:pPr>
            <w:r>
              <w:rPr>
                <w:rFonts w:ascii="Arial" w:cs="Arial" w:eastAsia="Arial" w:hAnsi="Arial"/>
                <w:sz w:val="18"/>
                <w:szCs w:val="18"/>
                <w:color w:val="auto"/>
                <w:w w:val="92"/>
              </w:rPr>
              <w:t>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50%-80%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20%-50%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13.  INVESTMENT IN ASSOCIATE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940" w:type="dxa"/>
            <w:vAlign w:val="bottom"/>
            <w:gridSpan w:val="4"/>
          </w:tcPr>
          <w:p>
            <w:pPr>
              <w:spacing w:after="0"/>
              <w:rPr>
                <w:sz w:val="20"/>
                <w:szCs w:val="20"/>
                <w:color w:val="auto"/>
              </w:rPr>
            </w:pPr>
            <w:r>
              <w:rPr>
                <w:rFonts w:ascii="Arial" w:cs="Arial" w:eastAsia="Arial" w:hAnsi="Arial"/>
                <w:sz w:val="18"/>
                <w:szCs w:val="18"/>
                <w:color w:val="auto"/>
              </w:rPr>
              <w:t>The Company’s investments in associates are as follows: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3560" w:type="dxa"/>
            <w:vAlign w:val="bottom"/>
            <w:vMerge w:val="restart"/>
          </w:tcPr>
          <w:p>
            <w:pPr>
              <w:spacing w:after="0"/>
              <w:rPr>
                <w:sz w:val="24"/>
                <w:szCs w:val="24"/>
                <w:color w:val="auto"/>
              </w:rPr>
            </w:pPr>
          </w:p>
        </w:tc>
        <w:tc>
          <w:tcPr>
            <w:tcW w:w="190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Jurisdiction</w:t>
            </w:r>
          </w:p>
        </w:tc>
        <w:tc>
          <w:tcPr>
            <w:tcW w:w="52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134"/>
        </w:trPr>
        <w:tc>
          <w:tcPr>
            <w:tcW w:w="880" w:type="dxa"/>
            <w:vAlign w:val="bottom"/>
            <w:vMerge w:val="continue"/>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860" w:type="dxa"/>
            <w:vAlign w:val="bottom"/>
            <w:vMerge w:val="restart"/>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506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Colorado</w:t>
            </w:r>
          </w:p>
        </w:tc>
        <w:tc>
          <w:tcPr>
            <w:tcW w:w="5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Cal Funding, LLC</w:t>
            </w:r>
          </w:p>
        </w:tc>
        <w:tc>
          <w:tcPr>
            <w:tcW w:w="1900" w:type="dxa"/>
            <w:vAlign w:val="bottom"/>
            <w:gridSpan w:val="4"/>
          </w:tcPr>
          <w:p>
            <w:pPr>
              <w:ind w:left="860"/>
              <w:spacing w:after="0"/>
              <w:rPr>
                <w:sz w:val="20"/>
                <w:szCs w:val="20"/>
                <w:color w:val="auto"/>
              </w:rPr>
            </w:pPr>
            <w:r>
              <w:rPr>
                <w:rFonts w:ascii="Arial" w:cs="Arial" w:eastAsia="Arial" w:hAnsi="Arial"/>
                <w:sz w:val="18"/>
                <w:szCs w:val="18"/>
                <w:color w:val="auto"/>
                <w:w w:val="84"/>
              </w:rPr>
              <w:t>Massachusetts</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During 2019, the Company acquired a 9.9% interest in Cal Funding, LLC, an investment entity that owns a Massachusetts cannabis operator as part of the acquisition of Advanced Grow Labs, LLC. In addition to the 9.9% interest acquired, the Company also indirectly controls a portion of Cal Funding, LLC through operating agreements with the former owners of the entity. This investment is being accounted for as an equity method investment as the Company exerts significant influence over Cal Funding, LLC. See Note 7—Acquisitions for additional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 xml:space="preserve">INVESTMENT IN ASSOCIATE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below is the summarized unaudited balance sheet of Cal Funding, LLC as of December 31, 2019:</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2,095,631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1,061,707</w:t>
            </w:r>
          </w:p>
        </w:tc>
      </w:tr>
      <w:tr>
        <w:trPr>
          <w:trHeight w:val="27"/>
        </w:trPr>
        <w:tc>
          <w:tcPr>
            <w:tcW w:w="10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3,157,338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6,955,118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584,557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8,527,899</w:t>
            </w:r>
          </w:p>
        </w:tc>
      </w:tr>
    </w:tbl>
    <w:p>
      <w:pPr>
        <w:spacing w:after="0" w:line="9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For the year ended December 31, 2019, Cal Funding, LLC had revenues of $7,053,953 and net income of $2,003,887 from which, the Company recorded a nominal amount in income from the investee within Other Income (Expense) in the consolidated statement of operations. The balance of GTI’s Investment was $10,350,000 as of December 31, 2019.</w:t>
      </w:r>
    </w:p>
    <w:p>
      <w:pPr>
        <w:spacing w:after="0" w:line="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Presented below is the summarized unaudited balance sheet of MC Brands, LLC as of December 31, 2018.</w:t>
      </w:r>
    </w:p>
    <w:p>
      <w:pPr>
        <w:spacing w:after="0" w:line="8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370,078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During 2018, the investee had nominal profit and loss activity from the date of the Company’s investment through December 31, 2018, and thus the Company did not record an adjustment to the carrying balance of the investment in associate. In June 2019, the Company acquired the remaining ownership interests of MC Brands, LLC. The value of the investment of $6.5 million as of the transaction date was included as part of the consideration. As of December 31, 2019, MC Brands, LLC was included within the consolidated financial statements. See Note 7 for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1"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640" w:hanging="539"/>
        <w:spacing w:after="0"/>
        <w:tabs>
          <w:tab w:leader="none" w:pos="1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 During the year ended December 31, 2019, the shareholders of the corporation converted 357,104 Multiple Voting Shares into 35,710,400 Subordinate Voting Shares.</w:t>
      </w:r>
    </w:p>
    <w:p>
      <w:pPr>
        <w:spacing w:after="0" w:line="332" w:lineRule="exact"/>
        <w:rPr>
          <w:sz w:val="20"/>
          <w:szCs w:val="20"/>
          <w:color w:val="auto"/>
        </w:rPr>
      </w:pPr>
    </w:p>
    <w:p>
      <w:pPr>
        <w:ind w:left="1640" w:hanging="539"/>
        <w:spacing w:after="0"/>
        <w:tabs>
          <w:tab w:leader="none" w:pos="1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Each Multiple Voting share is exchangeable for 100 Subordinate Voting shares and is entitled to one hundred votes per share at shareholder meetings of the Company. At December 31, 2019, the Company has 373,350 issued and outstanding multiple voting shares, which convert into 37,335,000 subordinate voting shares. The Company is authorized to issue an unlimited number of Multiple Voting shares. During the year ended December 31, 2019, the shareholders of the Corporation converted 22,224 Super Voting Shares into 22,224 Multiple Voting Shares.</w:t>
      </w:r>
    </w:p>
    <w:p>
      <w:pPr>
        <w:spacing w:after="0" w:line="332" w:lineRule="exact"/>
        <w:rPr>
          <w:sz w:val="20"/>
          <w:szCs w:val="20"/>
          <w:color w:val="auto"/>
        </w:rPr>
      </w:pPr>
    </w:p>
    <w:p>
      <w:pPr>
        <w:ind w:left="1640" w:hanging="539"/>
        <w:spacing w:after="0"/>
        <w:tabs>
          <w:tab w:leader="none" w:pos="1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Each Super Voting share is exchangeable for 100 Subordinate Voting shares and is entitled to one thousand votes per share at shareholder meetings of the Company. At December 31, 2019, the Company has 402,289 issued and outstanding Super Voting shares which convert into 40,228,900 subordinate voting shares. The Company is authorized to issue an unlimited number of super voting shares. During the year ended December 31, 2019, the shareholders of the Corporation converted 22,224 Super Voting Shares into 22,224 Multiple Voting Shares.</w:t>
      </w:r>
    </w:p>
    <w:p>
      <w:pPr>
        <w:spacing w:after="0" w:line="8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49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2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2"/>
              </w:rPr>
              <w:t>Subordinate</w:t>
            </w: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Multiple</w:t>
            </w:r>
          </w:p>
        </w:tc>
        <w:tc>
          <w:tcPr>
            <w:tcW w:w="740" w:type="dxa"/>
            <w:vAlign w:val="bottom"/>
          </w:tcPr>
          <w:p>
            <w:pPr>
              <w:jc w:val="right"/>
              <w:ind w:right="115"/>
              <w:spacing w:after="0" w:line="123" w:lineRule="exact"/>
              <w:rPr>
                <w:sz w:val="20"/>
                <w:szCs w:val="20"/>
                <w:color w:val="auto"/>
              </w:rPr>
            </w:pPr>
            <w:r>
              <w:rPr>
                <w:rFonts w:ascii="Arial" w:cs="Arial" w:eastAsia="Arial" w:hAnsi="Arial"/>
                <w:sz w:val="14"/>
                <w:szCs w:val="14"/>
                <w:color w:val="auto"/>
              </w:rPr>
              <w:t>Super</w:t>
            </w:r>
          </w:p>
        </w:tc>
        <w:tc>
          <w:tcPr>
            <w:tcW w:w="140" w:type="dxa"/>
            <w:vAlign w:val="bottom"/>
          </w:tcPr>
          <w:p>
            <w:pPr>
              <w:spacing w:after="0"/>
              <w:rPr>
                <w:sz w:val="10"/>
                <w:szCs w:val="10"/>
                <w:color w:val="auto"/>
              </w:rPr>
            </w:pPr>
          </w:p>
        </w:tc>
      </w:tr>
      <w:tr>
        <w:trPr>
          <w:trHeight w:val="148"/>
        </w:trPr>
        <w:tc>
          <w:tcPr>
            <w:tcW w:w="4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Voting</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r>
      <w:tr>
        <w:trPr>
          <w:trHeight w:val="167"/>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Shares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43,920,131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677,230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45,571,444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adjustment for change in ownership</w:t>
            </w:r>
          </w:p>
        </w:tc>
        <w:tc>
          <w:tcPr>
            <w:tcW w:w="2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2,498,404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vesting of RSUs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1,165,630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broker options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114,080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professional fees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19,875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2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35,710,400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(334,880)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(22,224)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29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128,999,964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373,350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402,289</w:t>
            </w:r>
          </w:p>
        </w:tc>
        <w:tc>
          <w:tcPr>
            <w:tcW w:w="14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F-42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Issuances</w:t>
      </w:r>
    </w:p>
    <w:p>
      <w:pPr>
        <w:spacing w:after="0" w:line="121"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In relation to certain acquisitions as described in Note 7 - Acquisitions, certain transactions involved consideration in the form of deferred shares which are to be issued to the previous owners of each respective entity at a date post acquisition. The following is a summary of the shares to be issued as of December 31, 2019:</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Date of</w:t>
            </w:r>
          </w:p>
        </w:tc>
        <w:tc>
          <w:tcPr>
            <w:tcW w:w="23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5020" w:type="dxa"/>
            <w:vAlign w:val="bottom"/>
            <w:vMerge w:val="restart"/>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2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February 12, 2019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472,500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5,380,000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793,448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Rise Canton</w:t>
            </w:r>
          </w:p>
        </w:tc>
        <w:tc>
          <w:tcPr>
            <w:tcW w:w="1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15,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1,307,798</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1,367,643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16,587,798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540"/>
        <w:spacing w:after="0" w:line="263" w:lineRule="auto"/>
        <w:rPr>
          <w:sz w:val="20"/>
          <w:szCs w:val="20"/>
          <w:color w:val="auto"/>
        </w:rPr>
      </w:pPr>
      <w:r>
        <w:rPr>
          <w:rFonts w:ascii="Arial" w:cs="Arial" w:eastAsia="Arial" w:hAnsi="Arial"/>
          <w:sz w:val="18"/>
          <w:szCs w:val="18"/>
          <w:color w:val="auto"/>
        </w:rPr>
        <w:t>The deferred shares for each acquisition are to be issued upon the passage of 12-24 months from the close of each respective transaction as defined within each agreement. The value associated with the deferred shares is recorded within the Company’s consolidated statement of shareholders’ equity as of December 31, 2019.</w:t>
      </w:r>
    </w:p>
    <w:p>
      <w:pPr>
        <w:spacing w:after="0" w:line="85"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 free rate of 2.04%, volatility of 100%, an expected term of 60 days, and a share price of $6.00. The fair value adjustment related to the conversion feature was $1,981,358, and is included in other income on the consolidated statement of operations.</w:t>
      </w:r>
    </w:p>
    <w:p>
      <w:pPr>
        <w:spacing w:after="0" w:line="5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7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On April 25, 2018, Subscription Receipts were sold at a price of C$7.75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4"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C$11.00 per share, for gross proceeds of $61,726,497. Financing costs related to the First Offering totaled $3,133,722.</w:t>
      </w:r>
    </w:p>
    <w:p>
      <w:pPr>
        <w:spacing w:after="0" w:line="16"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C$20.00 per share, for gross proceeds of $78,562,596. Financing costs related to the Second Offering totaled $3,479,116.</w:t>
      </w:r>
    </w:p>
    <w:p>
      <w:pPr>
        <w:spacing w:after="0" w:line="25"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31" w:lineRule="exact"/>
        <w:rPr>
          <w:sz w:val="20"/>
          <w:szCs w:val="20"/>
          <w:color w:val="auto"/>
        </w:rPr>
      </w:pPr>
    </w:p>
    <w:p>
      <w:pPr>
        <w:ind w:left="1540" w:hanging="439"/>
        <w:spacing w:after="0"/>
        <w:tabs>
          <w:tab w:leader="none" w:pos="1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KW Ventures Holdings, LLC (Firefly)</w:t>
      </w:r>
    </w:p>
    <w:p>
      <w:pPr>
        <w:spacing w:after="0" w:line="121" w:lineRule="exact"/>
        <w:rPr>
          <w:sz w:val="20"/>
          <w:szCs w:val="20"/>
          <w:color w:val="auto"/>
        </w:rPr>
      </w:pPr>
    </w:p>
    <w:p>
      <w:pPr>
        <w:ind w:left="560" w:right="100"/>
        <w:spacing w:after="0" w:line="296" w:lineRule="auto"/>
        <w:rPr>
          <w:sz w:val="20"/>
          <w:szCs w:val="20"/>
          <w:color w:val="auto"/>
        </w:rPr>
      </w:pPr>
      <w:r>
        <w:rPr>
          <w:rFonts w:ascii="Arial" w:cs="Arial" w:eastAsia="Arial" w:hAnsi="Arial"/>
          <w:sz w:val="16"/>
          <w:szCs w:val="16"/>
          <w:color w:val="auto"/>
        </w:rPr>
        <w:t>On January 1, 2019, the Company closed on its acquisition of KW Ventures Holdings, LLC (Firefly). The acquisition was an all stock transaction whereby consideration was satisfied through the issuance of 542,416 Subordinate Voting Shares at a fair value of $5,364,048. In addition to the shares issued on January 1, 2019 an additional 48,450 Subordinate Voting Shares with a fair value of $434,069 were held back as part of the closing agreement. The value of those shares was recorded as a current liability and included within Accrued Liabilities on the consolidated balance sheet as of December 31, 2019. Such shares were distributed to the noncontrolling interest members in February 2020.</w:t>
      </w:r>
    </w:p>
    <w:p>
      <w:pPr>
        <w:spacing w:after="0" w:line="53"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color w:val="auto"/>
        </w:rPr>
        <w:t>Prior to January 1, 2019, 100% of Firefly was owned by the noncontrolling interest members. However, GTI considered Firefly to be a variable interest entity and accordingly, consolidated Firefly within GTI’s consolidated financial statements as GTI was determined to be the primary beneficiary of the operations of Firefly and GTI possessed the power to direct the activities of Firefly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$552,472. During 2019, GTI also made contributions to Firefly of $444,046 to cover the noncontrolling interest member’s 2018 tax liability.</w:t>
      </w:r>
    </w:p>
    <w:p>
      <w:pPr>
        <w:spacing w:after="0" w:line="96" w:lineRule="exact"/>
        <w:rPr>
          <w:sz w:val="20"/>
          <w:szCs w:val="20"/>
          <w:color w:val="auto"/>
        </w:rPr>
      </w:pPr>
    </w:p>
    <w:p>
      <w:pPr>
        <w:ind w:left="1540" w:hanging="439"/>
        <w:spacing w:after="0"/>
        <w:tabs>
          <w:tab w:leader="none" w:pos="1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Ohio, LLC</w:t>
      </w:r>
    </w:p>
    <w:p>
      <w:pPr>
        <w:spacing w:after="0" w:line="121"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On April 19, 2019, GTI Core, LLC, a wholly owned subsidiary of Green Thumb Industries Inc. entered into a membership interest purchase agreement with George Management Ltd. (George Management) to acquire 59% of the 60% interest that George Management held in the Retail and Processing License. On June 7, 2019, GTI consummated the acquisitions through the issuance of 1,233,014 Subordinate Voting shares with a fair value of $13,980,441 as well as $5,150,000 in cash of which $1,650,000 was contributed by George Management during 2019 as part of a capital call.</w:t>
      </w:r>
    </w:p>
    <w:p>
      <w:pPr>
        <w:spacing w:after="0" w:line="80"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As part of the purchase agreement, and in consideration of the cultivation license for which GTI held a 40% interest as of the date of the purchase agreement, the Company and George Management entered into a reciprocal purchase agreement that would allow GTI to purchase the remaining 59% interest through a call option or, alternatively, allow George Management to put the 59% interest to GTI. The option may only be exercised in the event the Ohio Department of Commerce approves GTI’s cultivation license application.</w:t>
      </w:r>
    </w:p>
    <w:p>
      <w:pPr>
        <w:spacing w:after="0" w:line="63"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GTI evaluated the reciprocal purchase option and determined that it represented a derivative liability that required remeasurement on a periodic basis with changes in fair value recorded through the statement of operations. As of the transaction date, the Company recorded a derivative liability of $4,526,401 using a Black Scholes option pricing model. During 2019, the Company recognized nominal gains as a result of changes in the fair value of the liability.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Noncontrolling Interest in GTI Ohio, LLC </w:t>
      </w:r>
      <w:r>
        <w:rPr>
          <w:rFonts w:ascii="Arial" w:cs="Arial" w:eastAsia="Arial" w:hAnsi="Arial"/>
          <w:sz w:val="18"/>
          <w:szCs w:val="18"/>
          <w:color w:val="auto"/>
        </w:rPr>
        <w:t>(Continued)</w:t>
      </w:r>
    </w:p>
    <w:p>
      <w:pPr>
        <w:spacing w:after="0" w:line="135"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On December 29, 2019, subsequent to the Ohio Department of Commerce’s approval of GTI’s license application, George Management exercised their put option allowing GTI to purchase 59% of the remaining 60% interest in the cultivation license. As of December 31, 2019, the Company and George Management have been unable to agree upon the value of the Ohio cultivation license. The Company derecognized the derivative liability and recorded a current liability of $5,500,000 representing management’s estimate of the expected value to be paid to George Management as of December 31, 2019. The transactions resulted in an increase to share capital and a reduction to noncontrolling interest of $4,198,173.</w:t>
      </w:r>
    </w:p>
    <w:p>
      <w:pPr>
        <w:spacing w:after="0" w:line="94"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Acquisition of Noncontrolling Interest in GTI New Jersey, LLC</w:t>
      </w:r>
    </w:p>
    <w:p>
      <w:pPr>
        <w:spacing w:after="0" w:line="12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On April 23, 2019, the Company closed on its acquisition of GTI New Jersey, LLC to acquire the remaining 16% interest held by unrelated third parties. The acquisition was an all stock transaction whereby consideration was satisfied through the issuance of 671,317 Subordinate Voting Shares at a fair value of $5,766,613. Prior to April 23, 2019, 16% of GTI-NJ was owned by the noncontrolling interest members. However, GTI considered GTI-NJ to be a variable interest entity and accordingly, consolidated GTI-NJ within GTI’s consolidated financial statements as GTI was determined to be the primary beneficiary of the operations of GTI-NJ and GTI possessed the power to direct the activities of GTI-NJ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$570,078. As part of the acquisition of GTI New Jersey, LLC, the Company also agreed to award the previous owners of the entity $1,000,000 in Subordinate Voting Shares for each additional dispensary successfully opened, up to a $3,000,000 cap. However, the ambiguity in cannabis regulations in the state of New Jersey make it unknown whether the Company would be allowed to open and operate additional dispensaries. Given the uncertainty surrounding the Company’s ability to open and operate additional dispensaries, the Company has considered the possibility of successful openings to be unlikely, and as such no amount has been recorded on the consolidated balance sheet as an obligation as of December 31, 2019.</w:t>
      </w:r>
    </w:p>
    <w:p>
      <w:pPr>
        <w:spacing w:after="0" w:line="75"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Acquisition of Noncontrolling Interest in JB17, LLC</w:t>
      </w:r>
    </w:p>
    <w:p>
      <w:pPr>
        <w:spacing w:after="0" w:line="121"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in accumulated deficit, which has been presented as a reduction to accumulated deficit, after the reclassification of the noncontrolling interest carrying balance.</w:t>
      </w:r>
    </w:p>
    <w:p>
      <w:pPr>
        <w:spacing w:after="0" w:line="59" w:lineRule="exact"/>
        <w:rPr>
          <w:sz w:val="20"/>
          <w:szCs w:val="20"/>
          <w:color w:val="auto"/>
        </w:rPr>
      </w:pPr>
    </w:p>
    <w:p>
      <w:pPr>
        <w:ind w:left="1540" w:hanging="439"/>
        <w:spacing w:after="0"/>
        <w:tabs>
          <w:tab w:leader="none" w:pos="1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Pennsylvania, LLC</w:t>
      </w:r>
    </w:p>
    <w:p>
      <w:pPr>
        <w:spacing w:after="0" w:line="121"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15 to the noncontrolling interest holders of GTI Pennsylvania, LLC. The noncontrolling interests were acquired by the Company subsequent to year-end, in January 2019. As it was determined that the Company had effective control over GTI Pennsylvania, LLC as of the put and call option issuance date, an increase to shares to be issued was reflected in the statement of equity of $27,773,234, representing the fair value of the 31,000 Multiple Voting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Acquisition of Noncontrolling Interest in GTI Nevada, LLC</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In December 2018, the Company acquired the noncontrolling interests of GTI Nevada, LLC, in exchange for 2,987,751 Subordinate Voting Shares of the Company. The shares are to be issued in seven tranches, the first of which was delivered in December 2018. The removal of the noncontrolling interests carrying balance, as well as the recording of the liability to issue the shares, resulted in a decrease of $25,917,883 to accumulated deficit as of December 31, 2018. The balance of the remaining liability at December 31, 2018 is $25,420,009 and is recorded in liability for acquisition of noncontrolling interest on the consolidated balance sheet. The remaining shares were delivered in 2019.</w:t>
      </w:r>
    </w:p>
    <w:p>
      <w:pPr>
        <w:spacing w:after="0" w:line="30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53"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68"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Stock option activity is summarized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Weighted</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Weighted</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Number of</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Average Exercise</w:t>
            </w:r>
          </w:p>
        </w:tc>
        <w:tc>
          <w:tcPr>
            <w:tcW w:w="16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rPr>
              <w:t>Shares</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Price (CAD)</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color w:val="auto"/>
                <w:w w:val="95"/>
              </w:rPr>
              <w:t>Contractual Life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3,040,906</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(114,080)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11.79</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(765,001)</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14.01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492,833</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13.63</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116,320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6.67</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218,234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2019 and 2018, respectively, and the exercise price, multiplied by the number of in-the-money options) that would have been received by the option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holders had all option holders exercised their in-the-money options on December 31, 2019 and 2018. This amount will change in future periods based on the fair market value of the Company’s stock and the number of options outstanding.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at the grant dates during the year ended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using the following ranges of assumptions:</w:t>
      </w:r>
    </w:p>
    <w:p>
      <w:pPr>
        <w:spacing w:after="0" w:line="13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spacing w:after="0"/>
              <w:rPr>
                <w:sz w:val="20"/>
                <w:szCs w:val="20"/>
                <w:color w:val="auto"/>
              </w:rPr>
            </w:pPr>
            <w:r>
              <w:rPr>
                <w:rFonts w:ascii="Arial" w:cs="Arial" w:eastAsia="Arial" w:hAnsi="Arial"/>
                <w:sz w:val="18"/>
                <w:szCs w:val="18"/>
                <w:color w:val="auto"/>
              </w:rPr>
              <w:t>3 – 10 years</w:t>
            </w:r>
          </w:p>
        </w:tc>
      </w:tr>
    </w:tbl>
    <w:p>
      <w:pPr>
        <w:spacing w:after="0" w:line="79"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2019 and 2018 and the changes during the year ended December 31, 2019:</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2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620" w:type="dxa"/>
            <w:vAlign w:val="bottom"/>
          </w:tcPr>
          <w:p>
            <w:pPr>
              <w:spacing w:after="0"/>
              <w:rPr>
                <w:sz w:val="14"/>
                <w:szCs w:val="14"/>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Value (CAD)</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1,589,000</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1,192,678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(201,873)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(1,180,043)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stock-based compensation expense for the years ended December 31, 2019, 2018 and 2017 was as follows:</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6,393,277</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$1,876,627</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11,892,100</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4,748,444</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18,285,377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6,625,071</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related parties and un-related third parties held warrants that were valued at $128,131 and $15,751,712, respectively as of December 31, 2019. The warrant exercise prices are denominated in Canadian dollars whereas the Company’s functional currency is USD. As such, the Company classified the warrants as a liability and valued them using a Monte Carlo simulation model. See Note 10 – Notes Payable for additional details regarding the valuation methodology and significant assumptions used within the valuation. Changes in the fair value of the warrants since the transaction dates were recorded in the consolidated statement of</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00"/>
          </w:cols>
          <w:pgMar w:left="320" w:top="459" w:right="5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operations within other income (expense). The following table summarizes the number warrants issued to related parties and third parties as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and 2018 and the changes during the year ended December 31, 2019:</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Third Party</w:t>
            </w:r>
          </w:p>
        </w:tc>
        <w:tc>
          <w:tcPr>
            <w:tcW w:w="152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Related Party</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Weighted Average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of</w:t>
            </w: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rPr>
              <w:t>(CAD)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Contractual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18.59</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5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5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Units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7,657,700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(7,657,700)</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315"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has entered into agreements during 2019 and 2018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2019, the Company recorded a liability of $5,500,000 in connection with a 2019 agreement with George Management where the noncontrolling party exercised its put option during the year for the Company to purchase the noncontrolling interest. The transaction is expected to close in early 2020. See further discussion in Note 14—Share Capital.</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 the year ended December 31, 2018, the Company recorded a derivative liability in connection with the 2018 agreement for the put and call options using the Black Scholes options pricing model which approximates the value that would be obtained using a lattice model. The assumptions used in the calculating the fair value include a risk free rate of 2.44%, volatility of 100%, an expected term of 30 days, and a share price of $8.07. Upon initial recognition, the Company recorded a derivative liability of $7,078,792. The Company recorded a gain of $2,869,342 on revaluation of the derivative liability, which is included other income on the consolidated</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PUT AND CALL OPTIONS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statement of operations for the year ended December 31, 2018. The value of the derivative at December 31, 2018 is $4,238,701 and is recorded as a derivative liability on the consolidated balance sheet. The options were exercised and shares were issued on January 8, 2019.</w:t>
      </w:r>
    </w:p>
    <w:p>
      <w:pPr>
        <w:spacing w:after="0" w:line="291"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2018 and 2017 other income (expense) was comprised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(3,530,969)</w:t>
            </w:r>
          </w:p>
        </w:tc>
        <w:tc>
          <w:tcPr>
            <w:tcW w:w="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(1,771,420)</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13,586,000</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(132,523)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2,869,342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warrants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37,765,718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(6,608,790)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(4,206,141)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1,981,358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(3,686,921)</w:t>
            </w: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544,399</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(10,318,936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56,417,421</w:t>
            </w: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544,399</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147"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2019, medical cannabis regulations continue to evolve and are subject to differing interpretations. As a result, the Company may be subject to regulatory fines, penalties, or restrictions in the future.</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and Litigation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2019, the Company held approximately $10,877,000 of open commitments to contractors on work being performed.</w:t>
      </w:r>
    </w:p>
    <w:p>
      <w:pPr>
        <w:spacing w:after="0" w:line="392" w:lineRule="exact"/>
        <w:rPr>
          <w:rFonts w:ascii="Arial" w:cs="Arial" w:eastAsia="Arial" w:hAnsi="Arial"/>
          <w:sz w:val="18"/>
          <w:szCs w:val="18"/>
          <w:b w:val="1"/>
          <w:bCs w:val="1"/>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 The Company’s financial instruments and their classifications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-2409190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-840740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December 31, 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46,667,334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815,937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(15,879,843)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(15,879,843)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(58,936,739)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(58,936,739)</w:t>
            </w:r>
          </w:p>
        </w:tc>
      </w:tr>
      <w:tr>
        <w:trPr>
          <w:trHeight w:val="27"/>
        </w:trPr>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(65,431,824)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(18,764,490)</w:t>
            </w: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financial instruments and their classification at December 31, 2018 is as follows: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$ 145,986,072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Notes Receivable</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10,924,727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10,924,727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966,541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39,966,742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40,933,283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(25,420,009)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(25,420,009)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4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$ 146,952,613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12,197,509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159,150,122</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5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10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&lt;1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1 to 3 Years</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&gt;5 Years</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82"/>
        </w:trPr>
        <w:tc>
          <w:tcPr>
            <w:tcW w:w="3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Accounts Payable and Accrued</w:t>
            </w:r>
          </w:p>
        </w:tc>
        <w:tc>
          <w:tcPr>
            <w:tcW w:w="5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$45,930,227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$45,930,227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Notes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90,942,875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197,319</w:t>
            </w:r>
          </w:p>
        </w:tc>
        <w:tc>
          <w:tcPr>
            <w:tcW w:w="3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91,346,869</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10,877,000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10,877,000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50,391,181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8,545,558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58,936,739</w:t>
            </w:r>
          </w:p>
        </w:tc>
      </w:tr>
    </w:tbl>
    <w:p>
      <w:pPr>
        <w:spacing w:after="0" w:line="89" w:lineRule="exact"/>
        <w:rPr>
          <w:sz w:val="20"/>
          <w:szCs w:val="20"/>
          <w:color w:val="auto"/>
        </w:rPr>
      </w:pPr>
    </w:p>
    <w:p>
      <w:pPr>
        <w:ind w:left="1320" w:right="8500" w:hanging="772"/>
        <w:spacing w:after="0" w:line="425" w:lineRule="auto"/>
        <w:tabs>
          <w:tab w:leader="none" w:pos="108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i w:val="1"/>
          <w:iCs w:val="1"/>
          <w:color w:val="auto"/>
        </w:rPr>
        <w:t>Interest Rate Risk</w:t>
      </w:r>
    </w:p>
    <w:p>
      <w:pPr>
        <w:ind w:left="1320" w:right="100"/>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following table represents the summarized financial information about the Company’s consolidated variable interest entities (VIEs) which are included in the consolidated balance sheets and statements of operation as of December 31, 2019 and 2018. All of these entities were determined to be VIEs as the Company possesses the power to direct activities through management services agreements (MSAs).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Chesapeake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Illinois</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Chesapeake</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Illinois</w:t>
            </w:r>
          </w:p>
        </w:tc>
        <w:tc>
          <w:tcPr>
            <w:tcW w:w="8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material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Alternatives, LLC</w:t>
            </w: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Disp, LLC</w:t>
            </w:r>
          </w:p>
        </w:tc>
        <w:tc>
          <w:tcPr>
            <w:tcW w:w="8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Disp,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19,455,533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$1,381,716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1,352,935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6,508,304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1,279,049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3,083,659</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2,534,297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1,728,594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2,958,845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78,910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149,498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783,682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3,014,764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1,392,559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137,736</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855,440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2,089,071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1,486,062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(105,402)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2,089,070</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2,270,598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1,529,037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16,056,521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5,857,946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3,516,164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13,783,876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4,555,543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699,624</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(112,245)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1,407,266</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8"/>
              </w:rPr>
              <w:t>(582,280)</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attributable to Green Thumb Industries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1,807,229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699,625</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(79,402)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(102,037)</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1,399,249</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(191,647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1,407,266</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(684,317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VIEs included in the Other Non-material VIEs are Bluepoint Wellness of Westport LLC and Meshow, LLC as of December 31, 2019. VIEs included in the Other Non-material VIEs are KW Ventures Holdings, LLC; Meshow, LLC; and Ohio Investors 2017, LLC as of December 31,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2019 and 2018:</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Variable Interest Entities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Chesapeake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Illinois</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Other Non-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1"/>
              <w:spacing w:after="0" w:line="149" w:lineRule="exact"/>
              <w:rPr>
                <w:sz w:val="20"/>
                <w:szCs w:val="20"/>
                <w:color w:val="auto"/>
              </w:rPr>
            </w:pPr>
            <w:r>
              <w:rPr>
                <w:rFonts w:ascii="Arial" w:cs="Arial" w:eastAsia="Arial" w:hAnsi="Arial"/>
                <w:sz w:val="14"/>
                <w:szCs w:val="14"/>
                <w:b w:val="1"/>
                <w:bCs w:val="1"/>
                <w:color w:val="auto"/>
                <w:w w:val="96"/>
              </w:rPr>
              <w:t>material</w:t>
            </w: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Disp,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VIEs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3,196,301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1,896,546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(164,635)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1,731,911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683,513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21,106,610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21,983,751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(40,819,508)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1,217,385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(582,280)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27,115,990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27,811,696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Changes in ownership</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(10,439,741)</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1,957,147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(105,402)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3,497,459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Contributions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1,650,000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(1,135,856)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(5,812,505)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(7,516,061)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(112,245)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(1,017,842)</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(430,463)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5,311,978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5,311,978</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2,089,071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(217,647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291,283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F-52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2019, the Company acquired the noncontrolling interests for Ohio Investors 2017, LLC; KW Ventures Holdings, LLC (Firefly); and GTI New Jersey, LLC. The activity for these entities is included within the Other Noncontrolling Interests column in the above table. See Note 14—Share Capital for additional discussion.</w:t>
      </w:r>
    </w:p>
    <w:p>
      <w:pPr>
        <w:spacing w:after="0" w:line="328"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below table presents revenues by type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109,930,160</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25,706,134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8,375,953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137,809,904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41,994,791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(31,307,459)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(5,207,245)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216,432,605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62,493,680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28,670,519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2,811,821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31,482,340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3,727,292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2,245,450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9,905,876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(4,289,135)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7,183,595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total assets by type as of December 31, 2019 and 2018:</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648,080,341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104,514,162</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164,308,187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105,293,320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1,961,227,868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209,879,995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(1,606,079,772)</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(1,338,911)</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7"/>
              </w:rPr>
              <w:t>1,167,536,624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418,348,566</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Goodwill assigned to the Consumer Packaged Goods segment as of December 31, 2019 and 2018 was $255,211,232 and $23,918,000, respectively. Intangible assets, net assigned to the Consumer Packaged Goods segment as of December 31, 2019 and 2018 was $228,795,692 and $46,540,000, respectively.</w:t>
      </w:r>
    </w:p>
    <w:p>
      <w:pPr>
        <w:spacing w:after="0" w:line="184" w:lineRule="exact"/>
        <w:rPr>
          <w:sz w:val="20"/>
          <w:szCs w:val="20"/>
          <w:color w:val="auto"/>
        </w:rPr>
      </w:pPr>
    </w:p>
    <w:p>
      <w:pPr>
        <w:ind w:left="560" w:right="180"/>
        <w:spacing w:after="0" w:line="308" w:lineRule="auto"/>
        <w:rPr>
          <w:sz w:val="20"/>
          <w:szCs w:val="20"/>
          <w:color w:val="auto"/>
        </w:rPr>
      </w:pPr>
      <w:r>
        <w:rPr>
          <w:rFonts w:ascii="Arial" w:cs="Arial" w:eastAsia="Arial" w:hAnsi="Arial"/>
          <w:sz w:val="17"/>
          <w:szCs w:val="17"/>
          <w:color w:val="auto"/>
        </w:rPr>
        <w:t>Goodwill assigned to the Retail segment as of December 31, 2019 and 2018 was $119,873,759 and $15,286,360, respectively. Intangible assets, net assigned to the Retail segment as of December 31, 2019 and 2018 was $207,002,644 and $41,825,678, respectively.</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320" w:lineRule="exact"/>
        <w:rPr>
          <w:rFonts w:ascii="Arial" w:cs="Arial" w:eastAsia="Arial" w:hAnsi="Arial"/>
          <w:sz w:val="18"/>
          <w:szCs w:val="18"/>
          <w:b w:val="1"/>
          <w:bCs w:val="1"/>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-1439545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an unrelated third party. GTI will lease back the facility via a long-term agreement and continue to operate and manage it. The purchase price for the property was $2.9 million, excluding transaction costs. GTI is also expected to make certain improvements to the property that will significantly enhance production capacity, for which GTI will be reimbursed up to $4.3 million. Assuming full reimbursement for such improvements, the total investment in the property will be $7.2 million.</w:t>
      </w:r>
    </w:p>
    <w:p>
      <w:pPr>
        <w:spacing w:after="0" w:line="188"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an unrelated third party. GTI will lease back the facility via a long-term agreement and continue to operate and manage it. The purchase price for the property was $9.0 million, excluding transaction costs. GTI is also expected to make certain improvements to the property that will significantly enhance production capacity, for which GTI will be reimbursed up to $41.0 million. Assuming full reimbursement for such improvements, the total investment in the property will be $50.0 million.</w:t>
      </w:r>
    </w:p>
    <w:p>
      <w:pPr>
        <w:spacing w:after="0" w:line="332"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COVID-19 Global Pandemic</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(or medical patients only in Massachusetts). The uncertain nature of the spread of COVID-19 globally may impact our business operations for reasons including the potential quarantine of our employees, customers, and third-party service providers. At this time, the Company is unable to estimate the impact of this event on its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contains selected quarterly data for 2019 and 2018.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Full</w:t>
            </w: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27,913,163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44,726,777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67,990,907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75,801,758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216,432,605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(13,629,660)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(9,326,730)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(27,690,702)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(9,563,056)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(20,892,049)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(14,590,793)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(14,070,509)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(59,116,407)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167,171,886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182,261,947</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204,709,085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207,666,666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190,602,400</w:t>
            </w:r>
          </w:p>
        </w:tc>
      </w:tr>
      <w:tr>
        <w:trPr>
          <w:trHeight w:val="94"/>
        </w:trPr>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10,925,898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13,624,658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17,171,710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20,771,414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62,493,680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(3,325,725)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(16,793,608)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(26,340,158)</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6"/>
              </w:rPr>
              <w:t>Net (loss) earnings attributable to Green Thumb Industries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2,595,022</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(3,523,222)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(3,303,708)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(5,243,917)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107,528,100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113,492,970</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142,365,356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151,274,619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130,102,523</w:t>
            </w: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F-55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2019, and the related consolidated statement of operations, changes in shareholders’ equity, and cash flows for the year then ended December 31 2019, and the related notes (collectively referred to as the “consolidated financial statements”).</w:t>
      </w:r>
    </w:p>
    <w:p>
      <w:pPr>
        <w:spacing w:after="0" w:line="18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consolidated financial position of the Company as of December 31, 2019, and the consolidated results of its operations and its cash flows for the year then ended December 31, 2019, in conformity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Company for the year ended December 31, 2018 were audited by another auditor.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changed its accounting method of accounting for leases on January 1, 2019, due to the adoption of Financial Accounting Standard Board’s Accounting Standards Codification 842, Leases, and related amendments.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14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0139"/>
          </w:cols>
          <w:pgMar w:left="320" w:top="459" w:right="1440"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145415</wp:posOffset>
            </wp:positionV>
            <wp:extent cx="977265"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820" w:space="720"/>
            <w:col w:w="2600"/>
          </w:cols>
          <w:pgMar w:left="320" w:top="459" w:right="43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183515</wp:posOffset>
            </wp:positionV>
            <wp:extent cx="934720"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934720" cy="3003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1140"/>
          </w:cols>
          <w:pgMar w:left="320" w:top="459" w:right="4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Thumb Industries (GTI) Group of Companies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Combined Financial Statements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audited the accompanying combined statements of operations, changes in members’ equity, and cash flows of Green Thumb Industries (GTI) Group of Companies (the “Company”) for the year ended December 31, 2017, and the related notes (collectively referred to as the “combined financial statements”).</w:t>
      </w:r>
    </w:p>
    <w:p>
      <w:pPr>
        <w:spacing w:after="0" w:line="18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our opinion, the combined financial statements present fairly, in all material respects, the combined results of its operations of the Company and its cash flows for the year ended December 31, 2017, in conformity with accounting principles generally accepted in the United States of America.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171450</wp:posOffset>
            </wp:positionV>
            <wp:extent cx="1174750" cy="3771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11747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April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We, MNP LLP (“</w:t>
      </w:r>
      <w:r>
        <w:rPr>
          <w:rFonts w:ascii="Arial" w:cs="Arial" w:eastAsia="Arial" w:hAnsi="Arial"/>
          <w:sz w:val="18"/>
          <w:szCs w:val="18"/>
          <w:b w:val="1"/>
          <w:bCs w:val="1"/>
          <w:color w:val="auto"/>
        </w:rPr>
        <w:t>MNP</w:t>
      </w:r>
      <w:r>
        <w:rPr>
          <w:rFonts w:ascii="Arial" w:cs="Arial" w:eastAsia="Arial" w:hAnsi="Arial"/>
          <w:sz w:val="18"/>
          <w:szCs w:val="18"/>
          <w:color w:val="auto"/>
        </w:rPr>
        <w:t>”), were previously the auditor for Green Thumb Industries Inc. (“</w:t>
      </w:r>
      <w:r>
        <w:rPr>
          <w:rFonts w:ascii="Arial" w:cs="Arial" w:eastAsia="Arial" w:hAnsi="Arial"/>
          <w:sz w:val="18"/>
          <w:szCs w:val="18"/>
          <w:b w:val="1"/>
          <w:bCs w:val="1"/>
          <w:color w:val="auto"/>
        </w:rPr>
        <w:t>GTI</w:t>
      </w:r>
      <w:r>
        <w:rPr>
          <w:rFonts w:ascii="Arial" w:cs="Arial" w:eastAsia="Arial" w:hAnsi="Arial"/>
          <w:sz w:val="18"/>
          <w:szCs w:val="18"/>
          <w:color w:val="auto"/>
        </w:rPr>
        <w:t>”) and, under the date of April 30, 2019, we reported on the consolidated financial statements of GTI as of and for the year ended December 31, 2018. MNP resigned as GTI’s auditor effective October 15, 2019.</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read GTI’s statements included in Item 9 of its Form 10-K under the heading “Prior Independent Registered Accounting Firm” dated April 15, 2020, and we agree with such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0553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110553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160020</wp:posOffset>
            </wp:positionV>
            <wp:extent cx="6729095" cy="4540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729095" cy="45402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671320" cy="3340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671320" cy="334010"/>
                    </a:xfrm>
                    <a:prstGeom prst="rect">
                      <a:avLst/>
                    </a:prstGeom>
                    <a:noFill/>
                  </pic:spPr>
                </pic:pic>
              </a:graphicData>
            </a:graphic>
          </wp:anchor>
        </w:drawing>
        <w:t>EXHIBIT 23.1</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Green Thumb Industries Inc.</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 (No. 333-236522) on Form S-8 of Green Thumb Industries, Inc. (the “Company”) of our report dated April 15, 2020, relating to the Company’s consolidated financial statements as of and for the year ended December 31, 2019, which report appears in this December 31, 2019 Annual Report on Form 10-K of the Company. We also consent to the incorporation by reference in such Registration Statement of our report dated December 20, 2019 related to the Company’s combined financial statements as of and for the year ended December 31, 2017, which report appears in this December 31, 2019 Annual Report on Form 10-K of the Company.</w:t>
      </w:r>
    </w:p>
    <w:p>
      <w:pPr>
        <w:spacing w:after="0" w:line="161"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Our report on the consolidated financial statements refers to changes in accounting method of accounting for leases on January 1, 2019 due to the adoption of Financial Accounting Standard Board’s Accounting Standards Codification 842, Leases.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2020</w:t>
      </w:r>
    </w:p>
    <w:p>
      <w:pPr>
        <w:sectPr>
          <w:pgSz w:w="11900" w:h="16838" w:orient="portrait"/>
          <w:cols w:equalWidth="0" w:num="1">
            <w:col w:w="11020"/>
          </w:cols>
          <w:pgMar w:left="440" w:top="864"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171450</wp:posOffset>
            </wp:positionV>
            <wp:extent cx="1277620" cy="4286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12776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April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 (No. 333-236522) on Form S-8 of Green Thumb Industries Inc. (“GTI”) of our report dated December 16, 2019, relating to the consolidated balance sheet as of December 31, 2018, and the related consolidated statement of operations, changes in shareholders’ equity, and cash flows for the year then ended, and the related notes (collectively referred to as the consolidated financial statements), which appears in the Form10-K dated April 15,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217295" cy="291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12172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160020</wp:posOffset>
            </wp:positionV>
            <wp:extent cx="6017895"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017895" cy="41148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RULE 13A-14(A) OR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2020</w:t>
      </w:r>
    </w:p>
    <w:p>
      <w:pPr>
        <w:sectPr>
          <w:pgSz w:w="11900" w:h="16838" w:orient="portrait"/>
          <w:cols w:equalWidth="0" w:num="1">
            <w:col w:w="11020"/>
          </w:cols>
          <w:pgMar w:left="440" w:top="121"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RULE 13A-14(A) OR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960" w:hanging="532"/>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2020</w:t>
      </w:r>
    </w:p>
    <w:p>
      <w:pPr>
        <w:sectPr>
          <w:pgSz w:w="11900" w:h="16838" w:orient="portrait"/>
          <w:cols w:equalWidth="0" w:num="1">
            <w:col w:w="11020"/>
          </w:cols>
          <w:pgMar w:left="440" w:top="121" w:right="439" w:bottom="1440" w:gutter="0" w:footer="0" w:header="0"/>
        </w:sectPr>
      </w:pPr>
    </w:p>
    <w:bookmarkStart w:id="147" w:name="page148"/>
    <w:bookmarkEnd w:id="147"/>
    <w:p>
      <w:pPr>
        <w:ind w:left="100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connection with the Annual Report of Green Thumb Industries Inc. (the “Company”) on Form 10-K for the fiscal year ended December 31, 2019 as filed with the Securities and Exchange Commission on the date hereof (the “Report”), I, Ben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2020</w:t>
      </w:r>
    </w:p>
    <w:p>
      <w:pPr>
        <w:sectPr>
          <w:pgSz w:w="11900" w:h="16838" w:orient="portrait"/>
          <w:cols w:equalWidth="0" w:num="1">
            <w:col w:w="11020"/>
          </w:cols>
          <w:pgMar w:left="440" w:top="121" w:right="439" w:bottom="1440" w:gutter="0" w:footer="0" w:header="0"/>
        </w:sectPr>
      </w:pPr>
    </w:p>
    <w:bookmarkStart w:id="148" w:name="page149"/>
    <w:bookmarkEnd w:id="148"/>
    <w:p>
      <w:pPr>
        <w:ind w:left="10080"/>
        <w:spacing w:after="0"/>
        <w:rPr>
          <w:sz w:val="20"/>
          <w:szCs w:val="20"/>
          <w:color w:val="auto"/>
        </w:rPr>
      </w:pPr>
      <w:r>
        <w:rPr>
          <w:rFonts w:ascii="Arial" w:cs="Arial" w:eastAsia="Arial" w:hAnsi="Arial"/>
          <w:sz w:val="16"/>
          <w:szCs w:val="16"/>
          <w:b w:val="1"/>
          <w:bCs w:val="1"/>
          <w:color w:val="auto"/>
        </w:rPr>
        <w:t>Exhibit 32.2</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In connection with the Annual Report of Green Thumb Industries Inc. (the “Company”) on Form 10-K for the fiscal year ended December 31, 2019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lowerRoman"/>
      <w:start w:val="1"/>
    </w:lvl>
  </w:abstractNum>
  <w:abstractNum w:abstractNumId="3">
    <w:nsid w:val="1DBABF00"/>
    <w:multiLevelType w:val="hybridMultilevel"/>
    <w:lvl w:ilvl="0">
      <w:lvlJc w:val="left"/>
      <w:lvlText w:val="(%1)"/>
      <w:numFmt w:val="lowerLetter"/>
      <w:start w:val="2"/>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1)"/>
      <w:numFmt w:val="lowerRoman"/>
      <w:start w:val="1"/>
    </w:lvl>
  </w:abstractNum>
  <w:abstractNum w:abstractNumId="9">
    <w:nsid w:val="6590700B"/>
    <w:multiLevelType w:val="hybridMultilevel"/>
    <w:lvl w:ilvl="0">
      <w:lvlJc w:val="left"/>
      <w:lvlText w:val="(%1)"/>
      <w:numFmt w:val="lowerRoman"/>
      <w:start w:val="1"/>
    </w:lvl>
  </w:abstractNum>
  <w:abstractNum w:abstractNumId="10">
    <w:nsid w:val="15014ACB"/>
    <w:multiLevelType w:val="hybridMultilevel"/>
    <w:lvl w:ilvl="0">
      <w:lvlJc w:val="left"/>
      <w:lvlText w:val="(%1)"/>
      <w:numFmt w:val="lowerRoman"/>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decimal"/>
      <w:start w:val="3"/>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1)"/>
      <w:numFmt w:val="lowerLetter"/>
      <w:start w:val="1"/>
    </w:lvl>
  </w:abstractNum>
  <w:abstractNum w:abstractNumId="18">
    <w:nsid w:val="661E3F1E"/>
    <w:multiLevelType w:val="hybridMultilevel"/>
    <w:lvl w:ilvl="0">
      <w:lvlJc w:val="left"/>
      <w:lvlText w:val="(%1)"/>
      <w:numFmt w:val="lowerRoman"/>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1)"/>
      <w:numFmt w:val="decimal"/>
      <w:start w:val="1"/>
    </w:lvl>
  </w:abstractNum>
  <w:abstractNum w:abstractNumId="21">
    <w:nsid w:val="7BD3EE7B"/>
    <w:multiLevelType w:val="hybridMultilevel"/>
    <w:lvl w:ilvl="0">
      <w:lvlJc w:val="left"/>
      <w:lvlText w:val="(%1)"/>
      <w:numFmt w:val="lowerLetter"/>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2"/>
    </w:lvl>
    <w:lvl w:ilvl="1">
      <w:lvlJc w:val="left"/>
      <w:lvlText w:val="(%2)"/>
      <w:numFmt w:val="lowerLetter"/>
      <w:start w:val="1"/>
    </w:lvl>
  </w:abstractNum>
  <w:abstractNum w:abstractNumId="26">
    <w:nsid w:val="42963E5A"/>
    <w:multiLevelType w:val="hybridMultilevel"/>
    <w:lvl w:ilvl="0">
      <w:lvlJc w:val="left"/>
      <w:lvlText w:val="%1."/>
      <w:numFmt w:val="decimal"/>
      <w:start w:val="2"/>
    </w:lvl>
    <w:lvl w:ilvl="1">
      <w:lvlJc w:val="left"/>
      <w:lvlText w:val="(%2)"/>
      <w:numFmt w:val="lowerLetter"/>
      <w:start w:val="4"/>
    </w:lvl>
  </w:abstractNum>
  <w:abstractNum w:abstractNumId="27">
    <w:nsid w:val="A0382C5"/>
    <w:multiLevelType w:val="hybridMultilevel"/>
    <w:lvl w:ilvl="0">
      <w:lvlJc w:val="left"/>
      <w:lvlText w:val="%1."/>
      <w:numFmt w:val="decimal"/>
      <w:start w:val="2"/>
    </w:lvl>
    <w:lvl w:ilvl="1">
      <w:lvlJc w:val="left"/>
      <w:lvlText w:val="(%2)"/>
      <w:numFmt w:val="lowerLetter"/>
      <w:start w:val="4"/>
    </w:lvl>
  </w:abstractNum>
  <w:abstractNum w:abstractNumId="28">
    <w:nsid w:val="8F2B15E"/>
    <w:multiLevelType w:val="hybridMultilevel"/>
    <w:lvl w:ilvl="0">
      <w:lvlJc w:val="left"/>
      <w:lvlText w:val="(%1)"/>
      <w:numFmt w:val="lowerLetter"/>
      <w:start w:val="5"/>
    </w:lvl>
  </w:abstractNum>
  <w:abstractNum w:abstractNumId="29">
    <w:nsid w:val="1A32234B"/>
    <w:multiLevelType w:val="hybridMultilevel"/>
    <w:lvl w:ilvl="0">
      <w:lvlJc w:val="left"/>
      <w:lvlText w:val="%1."/>
      <w:numFmt w:val="decimal"/>
      <w:start w:val="2"/>
    </w:lvl>
    <w:lvl w:ilvl="1">
      <w:lvlJc w:val="left"/>
      <w:lvlText w:val="(%2)"/>
      <w:numFmt w:val="lowerLetter"/>
      <w:start w:val="5"/>
    </w:lvl>
  </w:abstractNum>
  <w:abstractNum w:abstractNumId="30">
    <w:nsid w:val="3B0FD379"/>
    <w:multiLevelType w:val="hybridMultilevel"/>
    <w:lvl w:ilvl="0">
      <w:lvlJc w:val="left"/>
      <w:lvlText w:val="%1."/>
      <w:numFmt w:val="decimal"/>
      <w:start w:val="2"/>
    </w:lvl>
    <w:lvl w:ilvl="1">
      <w:lvlJc w:val="left"/>
      <w:lvlText w:val="(%2)"/>
      <w:numFmt w:val="lowerLetter"/>
      <w:start w:val="10"/>
    </w:lvl>
  </w:abstractNum>
  <w:abstractNum w:abstractNumId="31">
    <w:nsid w:val="68EB2F63"/>
    <w:multiLevelType w:val="hybridMultilevel"/>
    <w:lvl w:ilvl="0">
      <w:lvlJc w:val="left"/>
      <w:lvlText w:val="(%1)"/>
      <w:numFmt w:val="lowerLetter"/>
      <w:start w:val="11"/>
    </w:lvl>
  </w:abstractNum>
  <w:abstractNum w:abstractNumId="32">
    <w:nsid w:val="4962813B"/>
    <w:multiLevelType w:val="hybridMultilevel"/>
    <w:lvl w:ilvl="0">
      <w:lvlJc w:val="left"/>
      <w:lvlText w:val="%1."/>
      <w:numFmt w:val="decimal"/>
      <w:start w:val="2"/>
    </w:lvl>
    <w:lvl w:ilvl="1">
      <w:lvlJc w:val="left"/>
      <w:lvlText w:val="(%2)"/>
      <w:numFmt w:val="lowerLetter"/>
      <w:start w:val="12"/>
    </w:lvl>
  </w:abstractNum>
  <w:abstractNum w:abstractNumId="33">
    <w:nsid w:val="60B6DF70"/>
    <w:multiLevelType w:val="hybridMultilevel"/>
    <w:lvl w:ilvl="0">
      <w:lvlJc w:val="left"/>
      <w:lvlText w:val="(%1)"/>
      <w:numFmt w:val="lowerLetter"/>
      <w:start w:val="13"/>
    </w:lvl>
  </w:abstractNum>
  <w:abstractNum w:abstractNumId="34">
    <w:nsid w:val="6A5EE64"/>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35">
    <w:nsid w:val="14330624"/>
    <w:multiLevelType w:val="hybridMultilevel"/>
    <w:lvl w:ilvl="0">
      <w:lvlJc w:val="left"/>
      <w:lvlText w:val="(%1)"/>
      <w:numFmt w:val="lowerLetter"/>
      <w:start w:val="16"/>
    </w:lvl>
  </w:abstractNum>
  <w:abstractNum w:abstractNumId="36">
    <w:nsid w:val="7FFFCA11"/>
    <w:multiLevelType w:val="hybridMultilevel"/>
    <w:lvl w:ilvl="0">
      <w:lvlJc w:val="left"/>
      <w:lvlText w:val="%1."/>
      <w:numFmt w:val="decimal"/>
      <w:start w:val="2"/>
    </w:lvl>
    <w:lvl w:ilvl="1">
      <w:lvlJc w:val="left"/>
      <w:lvlText w:val="(%2)"/>
      <w:numFmt w:val="lowerLetter"/>
      <w:start w:val="17"/>
    </w:lvl>
  </w:abstractNum>
  <w:abstractNum w:abstractNumId="37">
    <w:nsid w:val="1A27709E"/>
    <w:multiLevelType w:val="hybridMultilevel"/>
    <w:lvl w:ilvl="0">
      <w:lvlJc w:val="left"/>
      <w:lvlText w:val="(%1)"/>
      <w:numFmt w:val="lowerLetter"/>
      <w:start w:val="18"/>
    </w:lvl>
  </w:abstractNum>
  <w:abstractNum w:abstractNumId="38">
    <w:nsid w:val="71EA1109"/>
    <w:multiLevelType w:val="hybridMultilevel"/>
    <w:lvl w:ilvl="0">
      <w:lvlJc w:val="left"/>
      <w:lvlText w:val="%1."/>
      <w:numFmt w:val="decimal"/>
      <w:start w:val="2"/>
    </w:lvl>
    <w:lvl w:ilvl="1">
      <w:lvlJc w:val="left"/>
      <w:lvlText w:val="(%2)"/>
      <w:numFmt w:val="lowerLetter"/>
      <w:start w:val="20"/>
    </w:lvl>
  </w:abstractNum>
  <w:abstractNum w:abstractNumId="39">
    <w:nsid w:val="100F59DC"/>
    <w:multiLevelType w:val="hybridMultilevel"/>
    <w:lvl w:ilvl="0">
      <w:lvlJc w:val="left"/>
      <w:lvlText w:val="%1."/>
      <w:numFmt w:val="decimal"/>
      <w:start w:val="2"/>
    </w:lvl>
    <w:lvl w:ilvl="1">
      <w:lvlJc w:val="left"/>
      <w:lvlText w:val="(%2)"/>
      <w:numFmt w:val="lowerLetter"/>
      <w:start w:val="23"/>
    </w:lvl>
    <w:lvl w:ilvl="2">
      <w:lvlJc w:val="left"/>
      <w:lvlText w:val="(%3)"/>
      <w:numFmt w:val="lowerRoman"/>
      <w:start w:val="1"/>
    </w:lvl>
  </w:abstractNum>
  <w:abstractNum w:abstractNumId="40">
    <w:nsid w:val="7FB7E0AA"/>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4"/>
    </w:lvl>
  </w:abstractNum>
  <w:abstractNum w:abstractNumId="41">
    <w:nsid w:val="6EB5BD4"/>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9"/>
    </w:lvl>
  </w:abstractNum>
  <w:abstractNum w:abstractNumId="42">
    <w:nsid w:val="6F6DD9AC"/>
    <w:multiLevelType w:val="hybridMultilevel"/>
    <w:lvl w:ilvl="0">
      <w:lvlJc w:val="left"/>
      <w:lvlText w:val="(%1)"/>
      <w:numFmt w:val="lowerLetter"/>
      <w:start w:val="25"/>
    </w:lvl>
    <w:lvl w:ilvl="1">
      <w:lvlJc w:val="left"/>
      <w:lvlText w:val="(%2)"/>
      <w:numFmt w:val="lowerRoman"/>
      <w:start w:val="1"/>
    </w:lvl>
  </w:abstractNum>
  <w:abstractNum w:abstractNumId="43">
    <w:nsid w:val="94211F2"/>
    <w:multiLevelType w:val="hybridMultilevel"/>
    <w:lvl w:ilvl="0">
      <w:lvlJc w:val="left"/>
      <w:lvlText w:val="%1."/>
      <w:numFmt w:val="decimal"/>
      <w:start w:val="2"/>
    </w:lvl>
  </w:abstractNum>
  <w:abstractNum w:abstractNumId="44">
    <w:nsid w:val="885E1B"/>
    <w:multiLevelType w:val="hybridMultilevel"/>
    <w:lvl w:ilvl="0">
      <w:lvlJc w:val="left"/>
      <w:lvlText w:val="(%1)"/>
      <w:numFmt w:val="lowerLetter"/>
      <w:start w:val="25"/>
    </w:lvl>
  </w:abstractNum>
  <w:abstractNum w:abstractNumId="45">
    <w:nsid w:val="76272110"/>
    <w:multiLevelType w:val="hybridMultilevel"/>
    <w:lvl w:ilvl="0">
      <w:lvlJc w:val="left"/>
      <w:lvlText w:val="(%1)"/>
      <w:numFmt w:val="lowerRoman"/>
      <w:start w:val="4"/>
    </w:lvl>
  </w:abstractNum>
  <w:abstractNum w:abstractNumId="46">
    <w:nsid w:val="4C04A8AF"/>
    <w:multiLevelType w:val="hybridMultilevel"/>
    <w:lvl w:ilvl="0">
      <w:lvlJc w:val="left"/>
      <w:lvlText w:val="%1."/>
      <w:numFmt w:val="decimal"/>
      <w:start w:val="3"/>
    </w:lvl>
  </w:abstractNum>
  <w:abstractNum w:abstractNumId="47">
    <w:nsid w:val="1716703B"/>
    <w:multiLevelType w:val="hybridMultilevel"/>
    <w:lvl w:ilvl="0">
      <w:lvlJc w:val="left"/>
      <w:lvlText w:val="%1."/>
      <w:numFmt w:val="decimal"/>
      <w:start w:val="3"/>
    </w:lvl>
  </w:abstractNum>
  <w:abstractNum w:abstractNumId="48">
    <w:nsid w:val="14E17E33"/>
    <w:multiLevelType w:val="hybridMultilevel"/>
    <w:lvl w:ilvl="0">
      <w:lvlJc w:val="left"/>
      <w:lvlText w:val="%1."/>
      <w:numFmt w:val="decimal"/>
      <w:start w:val="4"/>
    </w:lvl>
  </w:abstractNum>
  <w:abstractNum w:abstractNumId="49">
    <w:nsid w:val="3222E7CD"/>
    <w:multiLevelType w:val="hybridMultilevel"/>
    <w:lvl w:ilvl="0">
      <w:lvlJc w:val="left"/>
      <w:lvlText w:val="%1."/>
      <w:numFmt w:val="decimal"/>
      <w:start w:val="5"/>
    </w:lvl>
  </w:abstractNum>
  <w:abstractNum w:abstractNumId="50">
    <w:nsid w:val="74DE0EE3"/>
    <w:multiLevelType w:val="hybridMultilevel"/>
    <w:lvl w:ilvl="0">
      <w:lvlJc w:val="left"/>
      <w:lvlText w:val="%1."/>
      <w:numFmt w:val="decimal"/>
      <w:start w:val="5"/>
    </w:lvl>
  </w:abstractNum>
  <w:abstractNum w:abstractNumId="51">
    <w:nsid w:val="68EBC550"/>
    <w:multiLevelType w:val="hybridMultilevel"/>
    <w:lvl w:ilvl="0">
      <w:lvlJc w:val="left"/>
      <w:lvlText w:val="%1."/>
      <w:numFmt w:val="decimal"/>
      <w:start w:val="6"/>
    </w:lvl>
  </w:abstractNum>
  <w:abstractNum w:abstractNumId="52">
    <w:nsid w:val="2DF6D648"/>
    <w:multiLevelType w:val="hybridMultilevel"/>
    <w:lvl w:ilvl="0">
      <w:lvlJc w:val="left"/>
      <w:lvlText w:val="%1."/>
      <w:numFmt w:val="decimal"/>
      <w:start w:val="6"/>
    </w:lvl>
  </w:abstractNum>
  <w:abstractNum w:abstractNumId="53">
    <w:nsid w:val="46B7D447"/>
    <w:multiLevelType w:val="hybridMultilevel"/>
    <w:lvl w:ilvl="0">
      <w:lvlJc w:val="left"/>
      <w:lvlText w:val="%1."/>
      <w:numFmt w:val="decimal"/>
      <w:start w:val="7"/>
    </w:lvl>
  </w:abstractNum>
  <w:abstractNum w:abstractNumId="54">
    <w:nsid w:val="4A2AC315"/>
    <w:multiLevelType w:val="hybridMultilevel"/>
    <w:lvl w:ilvl="0">
      <w:lvlJc w:val="left"/>
      <w:lvlText w:val="%1."/>
      <w:numFmt w:val="decimal"/>
      <w:start w:val="7"/>
    </w:lvl>
  </w:abstractNum>
  <w:abstractNum w:abstractNumId="55">
    <w:nsid w:val="39EE015C"/>
    <w:multiLevelType w:val="hybridMultilevel"/>
    <w:lvl w:ilvl="0">
      <w:lvlJc w:val="left"/>
      <w:lvlText w:val="%1."/>
      <w:numFmt w:val="decimal"/>
      <w:start w:val="7"/>
    </w:lvl>
  </w:abstractNum>
  <w:abstractNum w:abstractNumId="56">
    <w:nsid w:val="57FC4FBB"/>
    <w:multiLevelType w:val="hybridMultilevel"/>
    <w:lvl w:ilvl="0">
      <w:lvlJc w:val="left"/>
      <w:lvlText w:val="(%1)"/>
      <w:numFmt w:val="lowerLetter"/>
      <w:start w:val="1"/>
    </w:lvl>
  </w:abstractNum>
  <w:abstractNum w:abstractNumId="57">
    <w:nsid w:val="CC1016F"/>
    <w:multiLevelType w:val="hybridMultilevel"/>
    <w:lvl w:ilvl="0">
      <w:lvlJc w:val="left"/>
      <w:lvlText w:val="(%1)"/>
      <w:numFmt w:val="lowerLetter"/>
      <w:start w:val="1"/>
    </w:lvl>
  </w:abstractNum>
  <w:abstractNum w:abstractNumId="58">
    <w:nsid w:val="43F18422"/>
    <w:multiLevelType w:val="hybridMultilevel"/>
    <w:lvl w:ilvl="0">
      <w:lvlJc w:val="left"/>
      <w:lvlText w:val="%1."/>
      <w:numFmt w:val="decimal"/>
      <w:start w:val="7"/>
    </w:lvl>
  </w:abstractNum>
  <w:abstractNum w:abstractNumId="59">
    <w:nsid w:val="60EF0119"/>
    <w:multiLevelType w:val="hybridMultilevel"/>
    <w:lvl w:ilvl="0">
      <w:lvlJc w:val="left"/>
      <w:lvlText w:val="(%1)"/>
      <w:numFmt w:val="lowerLetter"/>
      <w:start w:val="2"/>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abstractNum>
  <w:abstractNum w:abstractNumId="62">
    <w:nsid w:val="49DA307D"/>
    <w:multiLevelType w:val="hybridMultilevel"/>
    <w:lvl w:ilvl="0">
      <w:lvlJc w:val="left"/>
      <w:lvlText w:val="(%1)"/>
      <w:numFmt w:val="lowerLetter"/>
      <w:start w:val="2"/>
    </w:lvl>
  </w:abstractNum>
  <w:abstractNum w:abstractNumId="63">
    <w:nsid w:val="7055A5F5"/>
    <w:multiLevelType w:val="hybridMultilevel"/>
    <w:lvl w:ilvl="0">
      <w:lvlJc w:val="left"/>
      <w:lvlText w:val="%1."/>
      <w:numFmt w:val="decimal"/>
      <w:start w:val="7"/>
    </w:lvl>
  </w:abstractNum>
  <w:abstractNum w:abstractNumId="64">
    <w:nsid w:val="5FB8370B"/>
    <w:multiLevelType w:val="hybridMultilevel"/>
    <w:lvl w:ilvl="0">
      <w:lvlJc w:val="left"/>
      <w:lvlText w:val="(%1)"/>
      <w:numFmt w:val="lowerLetter"/>
      <w:start w:val="3"/>
    </w:lvl>
  </w:abstractNum>
  <w:abstractNum w:abstractNumId="65">
    <w:nsid w:val="50801EE1"/>
    <w:multiLevelType w:val="hybridMultilevel"/>
    <w:lvl w:ilvl="0">
      <w:lvlJc w:val="left"/>
      <w:lvlText w:val="(%1)"/>
      <w:numFmt w:val="lowerLetter"/>
      <w:start w:val="4"/>
    </w:lvl>
  </w:abstractNum>
  <w:abstractNum w:abstractNumId="66">
    <w:nsid w:val="488AC1A"/>
    <w:multiLevelType w:val="hybridMultilevel"/>
    <w:lvl w:ilvl="0">
      <w:lvlJc w:val="left"/>
      <w:lvlText w:val="(%1)"/>
      <w:numFmt w:val="lowerLetter"/>
      <w:start w:val="5"/>
    </w:lvl>
  </w:abstractNum>
  <w:abstractNum w:abstractNumId="67">
    <w:nsid w:val="5FB8011C"/>
    <w:multiLevelType w:val="hybridMultilevel"/>
    <w:lvl w:ilvl="0">
      <w:lvlJc w:val="left"/>
      <w:lvlText w:val="%1."/>
      <w:numFmt w:val="decimal"/>
      <w:start w:val="8"/>
    </w:lvl>
  </w:abstractNum>
  <w:abstractNum w:abstractNumId="68">
    <w:nsid w:val="6AA78F7F"/>
    <w:multiLevelType w:val="hybridMultilevel"/>
    <w:lvl w:ilvl="0">
      <w:lvlJc w:val="left"/>
      <w:lvlText w:val="%1."/>
      <w:numFmt w:val="decimal"/>
      <w:start w:val="8"/>
    </w:lvl>
  </w:abstractNum>
  <w:abstractNum w:abstractNumId="69">
    <w:nsid w:val="7672BD23"/>
    <w:multiLevelType w:val="hybridMultilevel"/>
    <w:lvl w:ilvl="0">
      <w:lvlJc w:val="left"/>
      <w:lvlText w:val="%1."/>
      <w:numFmt w:val="decimal"/>
      <w:start w:val="8"/>
    </w:lvl>
  </w:abstractNum>
  <w:abstractNum w:abstractNumId="70">
    <w:nsid w:val="6FC75AF8"/>
    <w:multiLevelType w:val="hybridMultilevel"/>
    <w:lvl w:ilvl="0">
      <w:lvlJc w:val="left"/>
      <w:lvlText w:val="%1."/>
      <w:numFmt w:val="decimal"/>
      <w:start w:val="9"/>
    </w:lvl>
  </w:abstractNum>
  <w:abstractNum w:abstractNumId="71">
    <w:nsid w:val="6A5F7029"/>
    <w:multiLevelType w:val="hybridMultilevel"/>
    <w:lvl w:ilvl="0">
      <w:lvlJc w:val="left"/>
      <w:lvlText w:val="%1."/>
      <w:numFmt w:val="decimal"/>
      <w:start w:val="9"/>
    </w:lvl>
  </w:abstractNum>
  <w:abstractNum w:abstractNumId="72">
    <w:nsid w:val="7D5E18F8"/>
    <w:multiLevelType w:val="hybridMultilevel"/>
    <w:lvl w:ilvl="0">
      <w:lvlJc w:val="left"/>
      <w:lvlText w:val="%1."/>
      <w:numFmt w:val="decimal"/>
      <w:start w:val="9"/>
    </w:lvl>
  </w:abstractNum>
  <w:abstractNum w:abstractNumId="73">
    <w:nsid w:val="5F3534A4"/>
    <w:multiLevelType w:val="hybridMultilevel"/>
    <w:lvl w:ilvl="0">
      <w:lvlJc w:val="left"/>
      <w:lvlText w:val="%1."/>
      <w:numFmt w:val="decimal"/>
      <w:start w:val="10"/>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Letter"/>
      <w:start w:val="2"/>
    </w:lvl>
  </w:abstractNum>
  <w:abstractNum w:abstractNumId="76">
    <w:nsid w:val="555C55B5"/>
    <w:multiLevelType w:val="hybridMultilevel"/>
    <w:lvl w:ilvl="0">
      <w:lvlJc w:val="left"/>
      <w:lvlText w:val="%1."/>
      <w:numFmt w:val="decimal"/>
      <w:start w:val="10"/>
    </w:lvl>
  </w:abstractNum>
  <w:abstractNum w:abstractNumId="77">
    <w:nsid w:val="3FA62ACA"/>
    <w:multiLevelType w:val="hybridMultilevel"/>
    <w:lvl w:ilvl="0">
      <w:lvlJc w:val="left"/>
      <w:lvlText w:val="(%1)"/>
      <w:numFmt w:val="lowerLetter"/>
      <w:start w:val="3"/>
    </w:lvl>
  </w:abstractNum>
  <w:abstractNum w:abstractNumId="78">
    <w:nsid w:val="14FCE74E"/>
    <w:multiLevelType w:val="hybridMultilevel"/>
    <w:lvl w:ilvl="0">
      <w:lvlJc w:val="left"/>
      <w:lvlText w:val="%1."/>
      <w:numFmt w:val="decimal"/>
      <w:start w:val="10"/>
    </w:lvl>
  </w:abstractNum>
  <w:abstractNum w:abstractNumId="79">
    <w:nsid w:val="6A3DD3E8"/>
    <w:multiLevelType w:val="hybridMultilevel"/>
    <w:lvl w:ilvl="0">
      <w:lvlJc w:val="left"/>
      <w:lvlText w:val="(%1)"/>
      <w:numFmt w:val="lowerLetter"/>
      <w:start w:val="5"/>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decimal"/>
      <w:start w:val="11"/>
    </w:lvl>
  </w:abstractNum>
  <w:abstractNum w:abstractNumId="82">
    <w:nsid w:val="53299938"/>
    <w:multiLevelType w:val="hybridMultilevel"/>
    <w:lvl w:ilvl="0">
      <w:lvlJc w:val="left"/>
      <w:lvlText w:val="%1."/>
      <w:numFmt w:val="decimal"/>
      <w:start w:val="11"/>
    </w:lvl>
  </w:abstractNum>
  <w:abstractNum w:abstractNumId="83">
    <w:nsid w:val="1FBFE8E0"/>
    <w:multiLevelType w:val="hybridMultilevel"/>
    <w:lvl w:ilvl="0">
      <w:lvlJc w:val="left"/>
      <w:lvlText w:val="%1."/>
      <w:numFmt w:val="decimal"/>
      <w:start w:val="11"/>
    </w:lvl>
  </w:abstractNum>
  <w:abstractNum w:abstractNumId="84">
    <w:nsid w:val="5092CA79"/>
    <w:multiLevelType w:val="hybridMultilevel"/>
    <w:lvl w:ilvl="0">
      <w:lvlJc w:val="left"/>
      <w:lvlText w:val="%1."/>
      <w:numFmt w:val="decimal"/>
      <w:start w:val="11"/>
    </w:lvl>
  </w:abstractNum>
  <w:abstractNum w:abstractNumId="85">
    <w:nsid w:val="1D545C4D"/>
    <w:multiLevelType w:val="hybridMultilevel"/>
    <w:lvl w:ilvl="0">
      <w:lvlJc w:val="left"/>
      <w:lvlText w:val="%1."/>
      <w:numFmt w:val="decimal"/>
      <w:start w:val="12"/>
    </w:lvl>
  </w:abstractNum>
  <w:abstractNum w:abstractNumId="86">
    <w:nsid w:val="59ADEA3D"/>
    <w:multiLevelType w:val="hybridMultilevel"/>
    <w:lvl w:ilvl="0">
      <w:lvlJc w:val="left"/>
      <w:lvlText w:val="%1."/>
      <w:numFmt w:val="decimal"/>
      <w:start w:val="12"/>
    </w:lvl>
  </w:abstractNum>
  <w:abstractNum w:abstractNumId="87">
    <w:nsid w:val="288F1A34"/>
    <w:multiLevelType w:val="hybridMultilevel"/>
    <w:lvl w:ilvl="0">
      <w:lvlJc w:val="left"/>
      <w:lvlText w:val="%1."/>
      <w:numFmt w:val="decimal"/>
      <w:start w:val="14"/>
    </w:lvl>
  </w:abstractNum>
  <w:abstractNum w:abstractNumId="88">
    <w:nsid w:val="2A155DBC"/>
    <w:multiLevelType w:val="hybridMultilevel"/>
    <w:lvl w:ilvl="0">
      <w:lvlJc w:val="left"/>
      <w:lvlText w:val="(%1)"/>
      <w:numFmt w:val="lowerLetter"/>
      <w:start w:val="1"/>
    </w:lvl>
  </w:abstractNum>
  <w:abstractNum w:abstractNumId="89">
    <w:nsid w:val="1D9F6E5F"/>
    <w:multiLevelType w:val="hybridMultilevel"/>
    <w:lvl w:ilvl="0">
      <w:lvlJc w:val="left"/>
      <w:lvlText w:val="(%1)"/>
      <w:numFmt w:val="lowerRoman"/>
      <w:start w:val="1"/>
    </w:lvl>
  </w:abstractNum>
  <w:abstractNum w:abstractNumId="90">
    <w:nsid w:val="97E1B4E"/>
    <w:multiLevelType w:val="hybridMultilevel"/>
    <w:lvl w:ilvl="0">
      <w:lvlJc w:val="left"/>
      <w:lvlText w:val="(%1)"/>
      <w:numFmt w:val="lowerRoman"/>
      <w:start w:val="2"/>
    </w:lvl>
  </w:abstractNum>
  <w:abstractNum w:abstractNumId="91">
    <w:nsid w:val="51088277"/>
    <w:multiLevelType w:val="hybridMultilevel"/>
    <w:lvl w:ilvl="0">
      <w:lvlJc w:val="left"/>
      <w:lvlText w:val="(%1)"/>
      <w:numFmt w:val="lowerRoman"/>
      <w:start w:val="3"/>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decimal"/>
      <w:start w:val="14"/>
    </w:lvl>
  </w:abstractNum>
  <w:abstractNum w:abstractNumId="94">
    <w:nsid w:val="415E286C"/>
    <w:multiLevelType w:val="hybridMultilevel"/>
    <w:lvl w:ilvl="0">
      <w:lvlJc w:val="left"/>
      <w:lvlText w:val="(%1)"/>
      <w:numFmt w:val="lowerLetter"/>
      <w:start w:val="3"/>
    </w:lvl>
  </w:abstractNum>
  <w:abstractNum w:abstractNumId="95">
    <w:nsid w:val="7C58FD05"/>
    <w:multiLevelType w:val="hybridMultilevel"/>
    <w:lvl w:ilvl="0">
      <w:lvlJc w:val="left"/>
      <w:lvlText w:val="(%1)"/>
      <w:numFmt w:val="lowerLetter"/>
      <w:start w:val="4"/>
    </w:lvl>
  </w:abstractNum>
  <w:abstractNum w:abstractNumId="96">
    <w:nsid w:val="23D86AAC"/>
    <w:multiLevelType w:val="hybridMultilevel"/>
    <w:lvl w:ilvl="0">
      <w:lvlJc w:val="left"/>
      <w:lvlText w:val="%1."/>
      <w:numFmt w:val="decimal"/>
      <w:start w:val="14"/>
    </w:lvl>
  </w:abstractNum>
  <w:abstractNum w:abstractNumId="97">
    <w:nsid w:val="45E6D486"/>
    <w:multiLevelType w:val="hybridMultilevel"/>
    <w:lvl w:ilvl="0">
      <w:lvlJc w:val="left"/>
      <w:lvlText w:val="(%1)"/>
      <w:numFmt w:val="lowerLetter"/>
      <w:start w:val="5"/>
    </w:lvl>
  </w:abstractNum>
  <w:abstractNum w:abstractNumId="98">
    <w:nsid w:val="5C10FE21"/>
    <w:multiLevelType w:val="hybridMultilevel"/>
    <w:lvl w:ilvl="0">
      <w:lvlJc w:val="left"/>
      <w:lvlText w:val="(%1)"/>
      <w:numFmt w:val="lowerLetter"/>
      <w:start w:val="6"/>
    </w:lvl>
  </w:abstractNum>
  <w:abstractNum w:abstractNumId="99">
    <w:nsid w:val="E7FFA2B"/>
    <w:multiLevelType w:val="hybridMultilevel"/>
    <w:lvl w:ilvl="0">
      <w:lvlJc w:val="left"/>
      <w:lvlText w:val="(%1)"/>
      <w:numFmt w:val="lowerRoman"/>
      <w:start w:val="1"/>
    </w:lvl>
  </w:abstractNum>
  <w:abstractNum w:abstractNumId="100">
    <w:nsid w:val="3C5991AA"/>
    <w:multiLevelType w:val="hybridMultilevel"/>
    <w:lvl w:ilvl="0">
      <w:lvlJc w:val="left"/>
      <w:lvlText w:val="(%1)"/>
      <w:numFmt w:val="lowerRoman"/>
      <w:start w:val="2"/>
    </w:lvl>
  </w:abstractNum>
  <w:abstractNum w:abstractNumId="101">
    <w:nsid w:val="4BD8591A"/>
    <w:multiLevelType w:val="hybridMultilevel"/>
    <w:lvl w:ilvl="0">
      <w:lvlJc w:val="left"/>
      <w:lvlText w:val="%1."/>
      <w:numFmt w:val="decimal"/>
      <w:start w:val="14"/>
    </w:lvl>
  </w:abstractNum>
  <w:abstractNum w:abstractNumId="102">
    <w:nsid w:val="78DF6A55"/>
    <w:multiLevelType w:val="hybridMultilevel"/>
    <w:lvl w:ilvl="0">
      <w:lvlJc w:val="left"/>
      <w:lvlText w:val="(%1)"/>
      <w:numFmt w:val="lowerLetter"/>
      <w:start w:val="6"/>
    </w:lvl>
    <w:lvl w:ilvl="1">
      <w:lvlJc w:val="left"/>
      <w:lvlText w:val="(%2)"/>
      <w:numFmt w:val="lowerLetter"/>
      <w:start w:val="35"/>
    </w:lvl>
  </w:abstractNum>
  <w:abstractNum w:abstractNumId="103">
    <w:nsid w:val="39B7AAA2"/>
    <w:multiLevelType w:val="hybridMultilevel"/>
    <w:lvl w:ilvl="0">
      <w:lvlJc w:val="left"/>
      <w:lvlText w:val="(%1)"/>
      <w:numFmt w:val="lowerRoman"/>
      <w:start w:val="5"/>
    </w:lvl>
  </w:abstractNum>
  <w:abstractNum w:abstractNumId="104">
    <w:nsid w:val="2B0D8DBE"/>
    <w:multiLevelType w:val="hybridMultilevel"/>
    <w:lvl w:ilvl="0">
      <w:lvlJc w:val="left"/>
      <w:lvlText w:val="%1."/>
      <w:numFmt w:val="decimal"/>
      <w:start w:val="14"/>
    </w:lvl>
    <w:lvl w:ilvl="1">
      <w:lvlJc w:val="left"/>
      <w:lvlText w:val="(%2)"/>
      <w:numFmt w:val="lowerLetter"/>
      <w:start w:val="6"/>
    </w:lvl>
  </w:abstractNum>
  <w:abstractNum w:abstractNumId="105">
    <w:nsid w:val="6C80EC70"/>
    <w:multiLevelType w:val="hybridMultilevel"/>
    <w:lvl w:ilvl="0">
      <w:lvlJc w:val="left"/>
      <w:lvlText w:val="(%1)"/>
      <w:numFmt w:val="lowerLetter"/>
      <w:start w:val="7"/>
    </w:lvl>
  </w:abstractNum>
  <w:abstractNum w:abstractNumId="106">
    <w:nsid w:val="379E21B5"/>
    <w:multiLevelType w:val="hybridMultilevel"/>
    <w:lvl w:ilvl="0">
      <w:lvlJc w:val="left"/>
      <w:lvlText w:val="%1."/>
      <w:numFmt w:val="decimal"/>
      <w:start w:val="14"/>
    </w:lvl>
  </w:abstractNum>
  <w:abstractNum w:abstractNumId="107">
    <w:nsid w:val="69E373"/>
    <w:multiLevelType w:val="hybridMultilevel"/>
    <w:lvl w:ilvl="0">
      <w:lvlJc w:val="left"/>
      <w:lvlText w:val="(%1)"/>
      <w:numFmt w:val="lowerLetter"/>
      <w:start w:val="7"/>
    </w:lvl>
  </w:abstractNum>
  <w:abstractNum w:abstractNumId="108">
    <w:nsid w:val="2C27173B"/>
    <w:multiLevelType w:val="hybridMultilevel"/>
    <w:lvl w:ilvl="0">
      <w:lvlJc w:val="left"/>
      <w:lvlText w:val="(%1)"/>
      <w:numFmt w:val="lowerLetter"/>
      <w:start w:val="8"/>
    </w:lvl>
  </w:abstractNum>
  <w:abstractNum w:abstractNumId="109">
    <w:nsid w:val="4C9B0904"/>
    <w:multiLevelType w:val="hybridMultilevel"/>
    <w:lvl w:ilvl="0">
      <w:lvlJc w:val="left"/>
      <w:lvlText w:val="%1."/>
      <w:numFmt w:val="decimal"/>
      <w:start w:val="14"/>
    </w:lvl>
  </w:abstractNum>
  <w:abstractNum w:abstractNumId="110">
    <w:nsid w:val="6AA7B75C"/>
    <w:multiLevelType w:val="hybridMultilevel"/>
    <w:lvl w:ilvl="0">
      <w:lvlJc w:val="left"/>
      <w:lvlText w:val="(%1)"/>
      <w:numFmt w:val="lowerLetter"/>
      <w:start w:val="8"/>
    </w:lvl>
  </w:abstractNum>
  <w:abstractNum w:abstractNumId="111">
    <w:nsid w:val="1DF029D3"/>
    <w:multiLevelType w:val="hybridMultilevel"/>
    <w:lvl w:ilvl="0">
      <w:lvlJc w:val="left"/>
      <w:lvlText w:val="(%1)"/>
      <w:numFmt w:val="lowerRoman"/>
      <w:start w:val="1"/>
    </w:lvl>
  </w:abstractNum>
  <w:abstractNum w:abstractNumId="112">
    <w:nsid w:val="5675FF36"/>
    <w:multiLevelType w:val="hybridMultilevel"/>
    <w:lvl w:ilvl="0">
      <w:lvlJc w:val="left"/>
      <w:lvlText w:val="%1."/>
      <w:numFmt w:val="decimal"/>
      <w:start w:val="15"/>
    </w:lvl>
  </w:abstractNum>
  <w:abstractNum w:abstractNumId="113">
    <w:nsid w:val="3DD15094"/>
    <w:multiLevelType w:val="hybridMultilevel"/>
    <w:lvl w:ilvl="0">
      <w:lvlJc w:val="left"/>
      <w:lvlText w:val="%1."/>
      <w:numFmt w:val="decimal"/>
      <w:start w:val="15"/>
    </w:lvl>
  </w:abstractNum>
  <w:abstractNum w:abstractNumId="114">
    <w:nsid w:val="3DB012B3"/>
    <w:multiLevelType w:val="hybridMultilevel"/>
    <w:lvl w:ilvl="0">
      <w:lvlJc w:val="left"/>
      <w:lvlText w:val="%1."/>
      <w:numFmt w:val="decimal"/>
      <w:start w:val="16"/>
    </w:lvl>
  </w:abstractNum>
  <w:abstractNum w:abstractNumId="115">
    <w:nsid w:val="2708C9AF"/>
    <w:multiLevelType w:val="hybridMultilevel"/>
    <w:lvl w:ilvl="0">
      <w:lvlJc w:val="left"/>
      <w:lvlText w:val="%1."/>
      <w:numFmt w:val="decimal"/>
      <w:start w:val="17"/>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decimal"/>
      <w:start w:val="17"/>
    </w:lvl>
    <w:lvl w:ilvl="1">
      <w:lvlJc w:val="left"/>
      <w:lvlText w:val="(%2)"/>
      <w:numFmt w:val="lowerLetter"/>
      <w:start w:val="2"/>
    </w:lvl>
  </w:abstractNum>
  <w:abstractNum w:abstractNumId="118">
    <w:nsid w:val="4F97E3E4"/>
    <w:multiLevelType w:val="hybridMultilevel"/>
    <w:lvl w:ilvl="0">
      <w:lvlJc w:val="left"/>
      <w:lvlText w:val="%1."/>
      <w:numFmt w:val="decimal"/>
      <w:start w:val="18"/>
    </w:lvl>
    <w:lvl w:ilvl="1">
      <w:lvlJc w:val="left"/>
      <w:lvlText w:val="(%2)"/>
      <w:numFmt w:val="lowerLetter"/>
      <w:start w:val="1"/>
    </w:lvl>
  </w:abstractNum>
  <w:abstractNum w:abstractNumId="119">
    <w:nsid w:val="53B0A9E"/>
    <w:multiLevelType w:val="hybridMultilevel"/>
    <w:lvl w:ilvl="0">
      <w:lvlJc w:val="left"/>
      <w:lvlText w:val="(%1)"/>
      <w:numFmt w:val="lowerLetter"/>
      <w:start w:val="3"/>
    </w:lvl>
  </w:abstractNum>
  <w:abstractNum w:abstractNumId="120">
    <w:nsid w:val="34FD6B4F"/>
    <w:multiLevelType w:val="hybridMultilevel"/>
    <w:lvl w:ilvl="0">
      <w:lvlJc w:val="left"/>
      <w:lvlText w:val="%1."/>
      <w:numFmt w:val="decimal"/>
      <w:start w:val="19"/>
    </w:lvl>
  </w:abstractNum>
  <w:abstractNum w:abstractNumId="121">
    <w:nsid w:val="5915FF32"/>
    <w:multiLevelType w:val="hybridMultilevel"/>
    <w:lvl w:ilvl="0">
      <w:lvlJc w:val="left"/>
      <w:lvlText w:val="%1."/>
      <w:numFmt w:val="decimal"/>
      <w:start w:val="19"/>
    </w:lvl>
  </w:abstractNum>
  <w:abstractNum w:abstractNumId="122">
    <w:nsid w:val="56438D15"/>
    <w:multiLevelType w:val="hybridMultilevel"/>
    <w:lvl w:ilvl="0">
      <w:lvlJc w:val="left"/>
      <w:lvlText w:val="%1."/>
      <w:numFmt w:val="decimal"/>
      <w:start w:val="20"/>
    </w:lvl>
  </w:abstractNum>
  <w:abstractNum w:abstractNumId="123">
    <w:nsid w:val="519E3149"/>
    <w:multiLevelType w:val="hybridMultilevel"/>
    <w:lvl w:ilvl="0">
      <w:lvlJc w:val="left"/>
      <w:lvlText w:val="%1."/>
      <w:numFmt w:val="decimal"/>
      <w:start w:val="20"/>
    </w:lvl>
    <w:lvl w:ilvl="1">
      <w:lvlJc w:val="left"/>
      <w:lvlText w:val="(%2)"/>
      <w:numFmt w:val="lowerLetter"/>
      <w:start w:val="1"/>
    </w:lvl>
  </w:abstractNum>
  <w:abstractNum w:abstractNumId="124">
    <w:nsid w:val="2C6E4AFD"/>
    <w:multiLevelType w:val="hybridMultilevel"/>
    <w:lvl w:ilvl="0">
      <w:lvlJc w:val="left"/>
      <w:lvlText w:val="(%1)"/>
      <w:numFmt w:val="lowerLetter"/>
      <w:start w:val="2"/>
    </w:lvl>
  </w:abstractNum>
  <w:abstractNum w:abstractNumId="125">
    <w:nsid w:val="17A1B582"/>
    <w:multiLevelType w:val="hybridMultilevel"/>
    <w:lvl w:ilvl="0">
      <w:lvlJc w:val="left"/>
      <w:lvlText w:val="%1."/>
      <w:numFmt w:val="decimal"/>
      <w:start w:val="22"/>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jpe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jpeg"/><Relationship Id="rId244" Type="http://schemas.openxmlformats.org/officeDocument/2006/relationships/image" Target="media/image222.jpeg"/><Relationship Id="rId245" Type="http://schemas.openxmlformats.org/officeDocument/2006/relationships/image" Target="media/image223.png"/><Relationship Id="rId246" Type="http://schemas.openxmlformats.org/officeDocument/2006/relationships/image" Target="media/image224.jpeg"/><Relationship Id="rId247" Type="http://schemas.openxmlformats.org/officeDocument/2006/relationships/image" Target="media/image225.jpeg"/><Relationship Id="rId248" Type="http://schemas.openxmlformats.org/officeDocument/2006/relationships/image" Target="media/image226.jpeg"/><Relationship Id="rId249" Type="http://schemas.openxmlformats.org/officeDocument/2006/relationships/image" Target="media/image227.jpeg"/><Relationship Id="rId250" Type="http://schemas.openxmlformats.org/officeDocument/2006/relationships/image" Target="media/image228.jpeg"/><Relationship Id="rId251" Type="http://schemas.openxmlformats.org/officeDocument/2006/relationships/image" Target="media/image229.jpeg"/><Relationship Id="rId252" Type="http://schemas.openxmlformats.org/officeDocument/2006/relationships/image" Target="media/image230.jpeg"/><Relationship Id="rId253" Type="http://schemas.openxmlformats.org/officeDocument/2006/relationships/image" Target="media/image231.jpe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98" Type="http://schemas.openxmlformats.org/officeDocument/2006/relationships/hyperlink" Target="http://www.sec.gov/Archives/edgar/data/0001795139/000119312519320787/d845813dex31.htm" TargetMode="External"/><Relationship Id="rId99" Type="http://schemas.openxmlformats.org/officeDocument/2006/relationships/hyperlink" Target="http://www.sec.gov/Archives/edgar/data/0001795139/000119312519320787/d845813dex41.htm" TargetMode="External"/><Relationship Id="rId100" Type="http://schemas.openxmlformats.org/officeDocument/2006/relationships/hyperlink" Target="http://www.sec.gov/Archives/edgar/data/0001795139/000119312519320787/d845813dex101.htm" TargetMode="External"/><Relationship Id="rId101" Type="http://schemas.openxmlformats.org/officeDocument/2006/relationships/hyperlink" Target="http://www.sec.gov/Archives/edgar/data/0001795139/000119312519320787/d845813dex102.htm" TargetMode="External"/><Relationship Id="rId102" Type="http://schemas.openxmlformats.org/officeDocument/2006/relationships/hyperlink" Target="http://www.sec.gov/Archives/edgar/data/0001795139/000119312519320787/d845813dex103.htm" TargetMode="External"/><Relationship Id="rId103" Type="http://schemas.openxmlformats.org/officeDocument/2006/relationships/hyperlink" Target="http://www.sec.gov/Archives/edgar/data/0001795139/000119312519320787/d845813dex104.htm" TargetMode="External"/><Relationship Id="rId104" Type="http://schemas.openxmlformats.org/officeDocument/2006/relationships/hyperlink" Target="http://www.sec.gov/Archives/edgar/data/0001795139/000119312519320787/d845813dex105.htm" TargetMode="External"/><Relationship Id="rId105" Type="http://schemas.openxmlformats.org/officeDocument/2006/relationships/hyperlink" Target="http://www.sec.gov/Archives/edgar/data/0001795139/000119312519320787/d845813dex106.htm" TargetMode="External"/><Relationship Id="rId106" Type="http://schemas.openxmlformats.org/officeDocument/2006/relationships/hyperlink" Target="http://www.sec.gov/Archives/edgar/data/0001795139/000119312519320787/d845813dex107.htm" TargetMode="External"/><Relationship Id="rId107" Type="http://schemas.openxmlformats.org/officeDocument/2006/relationships/hyperlink" Target="http://www.sec.gov/Archives/edgar/data/0001795139/000119312519320787/d845813dex108.htm" TargetMode="External"/><Relationship Id="rId108" Type="http://schemas.openxmlformats.org/officeDocument/2006/relationships/hyperlink" Target="http://www.sec.gov/Archives/edgar/data/0001795139/000119312519320787/d845813dex109.htm" TargetMode="External"/><Relationship Id="rId109" Type="http://schemas.openxmlformats.org/officeDocument/2006/relationships/hyperlink" Target="http://www.sec.gov/Archives/edgar/data/0001795139/000119312519320787/d845813dex1010.htm" TargetMode="External"/><Relationship Id="rId110" Type="http://schemas.openxmlformats.org/officeDocument/2006/relationships/hyperlink" Target="http://www.sec.gov/Archives/edgar/data/0001795139/000119312519320787/d845813dex1011.htm" TargetMode="External"/><Relationship Id="rId111" Type="http://schemas.openxmlformats.org/officeDocument/2006/relationships/hyperlink" Target="http://www.sec.gov/Archives/edgar/data/0001795139/000119312519320787/d845813dex1012.htm" TargetMode="External"/><Relationship Id="rId112" Type="http://schemas.openxmlformats.org/officeDocument/2006/relationships/hyperlink" Target="http://www.sec.gov/Archives/edgar/data/0001795139/000119312519320787/d84581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2020-04-15T14:09:19Z</dcterms:created>
  <dcterms:modified xsi:type="dcterms:W3CDTF">2020-04-15T14:09:19Z</dcterms:modified>
</cp:coreProperties>
</file>