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154305</wp:posOffset>
            </wp:positionH>
            <wp:positionV relativeFrom="paragraph">
              <wp:posOffset>207010</wp:posOffset>
            </wp:positionV>
            <wp:extent cx="68421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248920</wp:posOffset>
            </wp:positionV>
            <wp:extent cx="68421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15"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217805</wp:posOffset>
            </wp:positionV>
            <wp:extent cx="1433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236855</wp:posOffset>
            </wp:positionV>
            <wp:extent cx="1433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660" w:right="40" w:hanging="423"/>
        <w:spacing w:after="0" w:line="268" w:lineRule="auto"/>
        <w:tabs>
          <w:tab w:leader="none" w:pos="6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5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1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233" w:lineRule="exact"/>
        <w:rPr>
          <w:sz w:val="24"/>
          <w:szCs w:val="24"/>
          <w:color w:val="auto"/>
        </w:rPr>
      </w:pPr>
    </w:p>
    <w:p>
      <w:pPr>
        <w:ind w:left="660" w:right="20" w:hanging="423"/>
        <w:spacing w:after="0" w:line="268" w:lineRule="auto"/>
        <w:tabs>
          <w:tab w:leader="none" w:pos="6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56" w:lineRule="exact"/>
        <w:rPr>
          <w:sz w:val="24"/>
          <w:szCs w:val="24"/>
          <w:color w:val="auto"/>
        </w:rPr>
      </w:pPr>
    </w:p>
    <w:p>
      <w:pPr>
        <w:ind w:left="346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3674110</wp:posOffset>
            </wp:positionH>
            <wp:positionV relativeFrom="paragraph">
              <wp:posOffset>-10160</wp:posOffset>
            </wp:positionV>
            <wp:extent cx="1266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19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Commission file number 000-56132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232410</wp:posOffset>
            </wp:positionV>
            <wp:extent cx="1433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279"/>
        <w:spacing w:after="0"/>
        <w:rPr>
          <w:sz w:val="20"/>
          <w:szCs w:val="20"/>
          <w:color w:val="auto"/>
        </w:rPr>
      </w:pPr>
      <w:r>
        <w:rPr>
          <w:rFonts w:ascii="Arial" w:cs="Arial" w:eastAsia="Arial" w:hAnsi="Arial"/>
          <w:sz w:val="42"/>
          <w:szCs w:val="42"/>
          <w:b w:val="1"/>
          <w:bCs w:val="1"/>
          <w:color w:val="auto"/>
        </w:rPr>
        <w:t>GREEN THUMB INDUSTRIES INC.</w:t>
      </w:r>
    </w:p>
    <w:p>
      <w:pPr>
        <w:spacing w:after="0" w:line="4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219710</wp:posOffset>
            </wp:positionV>
            <wp:extent cx="1433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5820" w:type="dxa"/>
            <w:vAlign w:val="bottom"/>
          </w:tcPr>
          <w:p>
            <w:pPr>
              <w:jc w:val="center"/>
              <w:ind w:right="3281"/>
              <w:spacing w:after="0"/>
              <w:rPr>
                <w:sz w:val="20"/>
                <w:szCs w:val="20"/>
                <w:color w:val="auto"/>
              </w:rPr>
            </w:pPr>
            <w:r>
              <w:rPr>
                <w:rFonts w:ascii="Arial" w:cs="Arial" w:eastAsia="Arial" w:hAnsi="Arial"/>
                <w:sz w:val="18"/>
                <w:szCs w:val="18"/>
                <w:b w:val="1"/>
                <w:bCs w:val="1"/>
                <w:color w:val="auto"/>
                <w:w w:val="90"/>
              </w:rPr>
              <w:t>British Columbia</w:t>
            </w:r>
          </w:p>
        </w:tc>
        <w:tc>
          <w:tcPr>
            <w:tcW w:w="1380" w:type="dxa"/>
            <w:vAlign w:val="bottom"/>
          </w:tcPr>
          <w:p>
            <w:pPr>
              <w:jc w:val="right"/>
              <w:ind w:right="23"/>
              <w:spacing w:after="0"/>
              <w:rPr>
                <w:sz w:val="20"/>
                <w:szCs w:val="20"/>
                <w:color w:val="auto"/>
              </w:rPr>
            </w:pPr>
            <w:r>
              <w:rPr>
                <w:rFonts w:ascii="Arial" w:cs="Arial" w:eastAsia="Arial" w:hAnsi="Arial"/>
                <w:sz w:val="18"/>
                <w:szCs w:val="18"/>
                <w:b w:val="1"/>
                <w:bCs w:val="1"/>
                <w:color w:val="auto"/>
              </w:rPr>
              <w:t>98-1437430</w:t>
            </w:r>
          </w:p>
        </w:tc>
      </w:tr>
      <w:tr>
        <w:trPr>
          <w:trHeight w:val="145"/>
        </w:trPr>
        <w:tc>
          <w:tcPr>
            <w:tcW w:w="5820" w:type="dxa"/>
            <w:vAlign w:val="bottom"/>
          </w:tcPr>
          <w:p>
            <w:pPr>
              <w:jc w:val="center"/>
              <w:ind w:right="3261"/>
              <w:spacing w:after="0" w:line="145" w:lineRule="exact"/>
              <w:rPr>
                <w:sz w:val="20"/>
                <w:szCs w:val="20"/>
                <w:color w:val="auto"/>
              </w:rPr>
            </w:pPr>
            <w:r>
              <w:rPr>
                <w:rFonts w:ascii="Arial" w:cs="Arial" w:eastAsia="Arial" w:hAnsi="Arial"/>
                <w:sz w:val="14"/>
                <w:szCs w:val="14"/>
                <w:b w:val="1"/>
                <w:bCs w:val="1"/>
                <w:color w:val="auto"/>
                <w:w w:val="91"/>
              </w:rPr>
              <w:t>(State or other jurisdiction of</w:t>
            </w:r>
          </w:p>
        </w:tc>
        <w:tc>
          <w:tcPr>
            <w:tcW w:w="1380" w:type="dxa"/>
            <w:vAlign w:val="bottom"/>
          </w:tcPr>
          <w:p>
            <w:pPr>
              <w:jc w:val="center"/>
              <w:ind w:left="243"/>
              <w:spacing w:after="0" w:line="145" w:lineRule="exact"/>
              <w:rPr>
                <w:sz w:val="20"/>
                <w:szCs w:val="20"/>
                <w:color w:val="auto"/>
              </w:rPr>
            </w:pPr>
            <w:r>
              <w:rPr>
                <w:rFonts w:ascii="Arial" w:cs="Arial" w:eastAsia="Arial" w:hAnsi="Arial"/>
                <w:sz w:val="14"/>
                <w:szCs w:val="14"/>
                <w:b w:val="1"/>
                <w:bCs w:val="1"/>
                <w:color w:val="auto"/>
                <w:w w:val="92"/>
              </w:rPr>
              <w:t>(I.R.S. employer</w:t>
            </w:r>
          </w:p>
        </w:tc>
      </w:tr>
      <w:tr>
        <w:trPr>
          <w:trHeight w:val="183"/>
        </w:trPr>
        <w:tc>
          <w:tcPr>
            <w:tcW w:w="5820" w:type="dxa"/>
            <w:vAlign w:val="bottom"/>
          </w:tcPr>
          <w:p>
            <w:pPr>
              <w:jc w:val="center"/>
              <w:ind w:right="3261"/>
              <w:spacing w:after="0"/>
              <w:rPr>
                <w:sz w:val="20"/>
                <w:szCs w:val="20"/>
                <w:color w:val="auto"/>
              </w:rPr>
            </w:pPr>
            <w:r>
              <w:rPr>
                <w:rFonts w:ascii="Arial" w:cs="Arial" w:eastAsia="Arial" w:hAnsi="Arial"/>
                <w:sz w:val="14"/>
                <w:szCs w:val="14"/>
                <w:b w:val="1"/>
                <w:bCs w:val="1"/>
                <w:color w:val="auto"/>
                <w:w w:val="92"/>
              </w:rPr>
              <w:t>incorporation or organization)</w:t>
            </w:r>
          </w:p>
        </w:tc>
        <w:tc>
          <w:tcPr>
            <w:tcW w:w="1380" w:type="dxa"/>
            <w:vAlign w:val="bottom"/>
          </w:tcPr>
          <w:p>
            <w:pPr>
              <w:jc w:val="center"/>
              <w:ind w:left="243"/>
              <w:spacing w:after="0"/>
              <w:rPr>
                <w:sz w:val="20"/>
                <w:szCs w:val="20"/>
                <w:color w:val="auto"/>
              </w:rPr>
            </w:pPr>
            <w:r>
              <w:rPr>
                <w:rFonts w:ascii="Arial" w:cs="Arial" w:eastAsia="Arial" w:hAnsi="Arial"/>
                <w:sz w:val="14"/>
                <w:szCs w:val="14"/>
                <w:b w:val="1"/>
                <w:bCs w:val="1"/>
                <w:color w:val="auto"/>
                <w:w w:val="90"/>
              </w:rPr>
              <w:t>identification no.)</w:t>
            </w:r>
          </w:p>
        </w:tc>
      </w:tr>
      <w:tr>
        <w:trPr>
          <w:trHeight w:val="389"/>
        </w:trPr>
        <w:tc>
          <w:tcPr>
            <w:tcW w:w="5820" w:type="dxa"/>
            <w:vAlign w:val="bottom"/>
          </w:tcPr>
          <w:p>
            <w:pPr>
              <w:jc w:val="center"/>
              <w:ind w:right="3261"/>
              <w:spacing w:after="0"/>
              <w:rPr>
                <w:sz w:val="20"/>
                <w:szCs w:val="20"/>
                <w:color w:val="auto"/>
              </w:rPr>
            </w:pPr>
            <w:r>
              <w:rPr>
                <w:rFonts w:ascii="Arial" w:cs="Arial" w:eastAsia="Arial" w:hAnsi="Arial"/>
                <w:sz w:val="18"/>
                <w:szCs w:val="18"/>
                <w:b w:val="1"/>
                <w:bCs w:val="1"/>
                <w:color w:val="auto"/>
                <w:w w:val="88"/>
              </w:rPr>
              <w:t>325 West Huron Street, Suite 412</w:t>
            </w:r>
          </w:p>
        </w:tc>
        <w:tc>
          <w:tcPr>
            <w:tcW w:w="1380" w:type="dxa"/>
            <w:vAlign w:val="bottom"/>
          </w:tcPr>
          <w:p>
            <w:pPr>
              <w:spacing w:after="0"/>
              <w:rPr>
                <w:sz w:val="24"/>
                <w:szCs w:val="24"/>
                <w:color w:val="auto"/>
              </w:rPr>
            </w:pPr>
          </w:p>
        </w:tc>
      </w:tr>
      <w:tr>
        <w:trPr>
          <w:trHeight w:val="220"/>
        </w:trPr>
        <w:tc>
          <w:tcPr>
            <w:tcW w:w="5820" w:type="dxa"/>
            <w:vAlign w:val="bottom"/>
          </w:tcPr>
          <w:p>
            <w:pPr>
              <w:jc w:val="center"/>
              <w:ind w:right="3281"/>
              <w:spacing w:after="0"/>
              <w:rPr>
                <w:sz w:val="20"/>
                <w:szCs w:val="20"/>
                <w:color w:val="auto"/>
              </w:rPr>
            </w:pPr>
            <w:r>
              <w:rPr>
                <w:rFonts w:ascii="Arial" w:cs="Arial" w:eastAsia="Arial" w:hAnsi="Arial"/>
                <w:sz w:val="18"/>
                <w:szCs w:val="18"/>
                <w:b w:val="1"/>
                <w:bCs w:val="1"/>
                <w:color w:val="auto"/>
                <w:w w:val="88"/>
              </w:rPr>
              <w:t>Chicago, Illinois</w:t>
            </w:r>
          </w:p>
        </w:tc>
        <w:tc>
          <w:tcPr>
            <w:tcW w:w="1380" w:type="dxa"/>
            <w:vAlign w:val="bottom"/>
          </w:tcPr>
          <w:p>
            <w:pPr>
              <w:jc w:val="right"/>
              <w:ind w:right="223"/>
              <w:spacing w:after="0"/>
              <w:rPr>
                <w:sz w:val="20"/>
                <w:szCs w:val="20"/>
                <w:color w:val="auto"/>
              </w:rPr>
            </w:pPr>
            <w:r>
              <w:rPr>
                <w:rFonts w:ascii="Arial" w:cs="Arial" w:eastAsia="Arial" w:hAnsi="Arial"/>
                <w:sz w:val="18"/>
                <w:szCs w:val="18"/>
                <w:b w:val="1"/>
                <w:bCs w:val="1"/>
                <w:color w:val="auto"/>
              </w:rPr>
              <w:t>60654</w:t>
            </w:r>
          </w:p>
        </w:tc>
      </w:tr>
      <w:tr>
        <w:trPr>
          <w:trHeight w:val="183"/>
        </w:trPr>
        <w:tc>
          <w:tcPr>
            <w:tcW w:w="5820" w:type="dxa"/>
            <w:vAlign w:val="bottom"/>
          </w:tcPr>
          <w:p>
            <w:pPr>
              <w:jc w:val="center"/>
              <w:ind w:right="326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1380" w:type="dxa"/>
            <w:vAlign w:val="bottom"/>
          </w:tcPr>
          <w:p>
            <w:pPr>
              <w:jc w:val="center"/>
              <w:ind w:left="243"/>
              <w:spacing w:after="0"/>
              <w:rPr>
                <w:sz w:val="20"/>
                <w:szCs w:val="20"/>
                <w:color w:val="auto"/>
              </w:rPr>
            </w:pPr>
            <w:r>
              <w:rPr>
                <w:rFonts w:ascii="Arial" w:cs="Arial" w:eastAsia="Arial" w:hAnsi="Arial"/>
                <w:sz w:val="14"/>
                <w:szCs w:val="14"/>
                <w:b w:val="1"/>
                <w:bCs w:val="1"/>
                <w:color w:val="auto"/>
                <w:w w:val="88"/>
              </w:rPr>
              <w:t>(zip code)</w:t>
            </w:r>
          </w:p>
        </w:tc>
      </w:tr>
      <w:tr>
        <w:trPr>
          <w:trHeight w:val="384"/>
        </w:trPr>
        <w:tc>
          <w:tcPr>
            <w:tcW w:w="5820" w:type="dxa"/>
            <w:vAlign w:val="bottom"/>
          </w:tcPr>
          <w:p>
            <w:pPr>
              <w:jc w:val="right"/>
              <w:ind w:right="1281"/>
              <w:spacing w:after="0"/>
              <w:rPr>
                <w:sz w:val="20"/>
                <w:szCs w:val="20"/>
                <w:color w:val="auto"/>
              </w:rPr>
            </w:pPr>
            <w:r>
              <w:rPr>
                <w:rFonts w:ascii="Arial" w:cs="Arial" w:eastAsia="Arial" w:hAnsi="Arial"/>
                <w:sz w:val="18"/>
                <w:szCs w:val="18"/>
                <w:b w:val="1"/>
                <w:bCs w:val="1"/>
                <w:color w:val="auto"/>
              </w:rPr>
              <w:t>(312) 471-6720</w:t>
            </w:r>
          </w:p>
        </w:tc>
        <w:tc>
          <w:tcPr>
            <w:tcW w:w="1380" w:type="dxa"/>
            <w:vAlign w:val="bottom"/>
          </w:tcPr>
          <w:p>
            <w:pPr>
              <w:spacing w:after="0"/>
              <w:rPr>
                <w:sz w:val="24"/>
                <w:szCs w:val="24"/>
                <w:color w:val="auto"/>
              </w:rPr>
            </w:pPr>
          </w:p>
        </w:tc>
      </w:tr>
      <w:tr>
        <w:trPr>
          <w:trHeight w:val="183"/>
        </w:trPr>
        <w:tc>
          <w:tcPr>
            <w:tcW w:w="5820" w:type="dxa"/>
            <w:vAlign w:val="bottom"/>
          </w:tcPr>
          <w:p>
            <w:pPr>
              <w:jc w:val="center"/>
              <w:ind w:left="1921"/>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380" w:type="dxa"/>
            <w:vAlign w:val="bottom"/>
          </w:tcPr>
          <w:p>
            <w:pPr>
              <w:spacing w:after="0"/>
              <w:rPr>
                <w:sz w:val="15"/>
                <w:szCs w:val="15"/>
                <w:color w:val="auto"/>
              </w:rPr>
            </w:pPr>
          </w:p>
        </w:tc>
      </w:tr>
    </w:tbl>
    <w:p>
      <w:pPr>
        <w:spacing w:after="0" w:line="17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Subordinate Voting Shares</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Multiple Voting Shares</w:t>
      </w:r>
    </w:p>
    <w:p>
      <w:pPr>
        <w:spacing w:after="0" w:line="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Super Voting Shares</w:t>
      </w:r>
    </w:p>
    <w:p>
      <w:pPr>
        <w:jc w:val="center"/>
        <w:ind w:right="-279"/>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212090</wp:posOffset>
            </wp:positionV>
            <wp:extent cx="1433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both"/>
        <w:ind w:left="240" w:right="120" w:firstLine="431"/>
        <w:spacing w:after="0" w:line="222"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0" w:lineRule="exact"/>
        <w:rPr>
          <w:sz w:val="24"/>
          <w:szCs w:val="24"/>
          <w:color w:val="auto"/>
        </w:rPr>
      </w:pPr>
    </w:p>
    <w:p>
      <w:pPr>
        <w:jc w:val="both"/>
        <w:ind w:left="240" w:right="160" w:firstLine="431"/>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0" w:lineRule="exact"/>
        <w:rPr>
          <w:sz w:val="24"/>
          <w:szCs w:val="24"/>
          <w:color w:val="auto"/>
        </w:rPr>
      </w:pPr>
    </w:p>
    <w:p>
      <w:pPr>
        <w:jc w:val="both"/>
        <w:ind w:left="240" w:firstLine="431"/>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0" w:lineRule="exact"/>
        <w:rPr>
          <w:sz w:val="24"/>
          <w:szCs w:val="24"/>
          <w:color w:val="auto"/>
        </w:rPr>
      </w:pPr>
    </w:p>
    <w:tbl>
      <w:tblPr>
        <w:tblLayout w:type="fixed"/>
        <w:tblInd w:w="240" w:type="dxa"/>
        <w:tblCellMar>
          <w:top w:w="0" w:type="dxa"/>
          <w:left w:w="0" w:type="dxa"/>
          <w:bottom w:w="0" w:type="dxa"/>
          <w:right w:w="0" w:type="dxa"/>
        </w:tblCellMar>
      </w:tblPr>
      <w:tr>
        <w:trPr>
          <w:trHeight w:val="277"/>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92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7"/>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920"/>
              <w:spacing w:after="0"/>
              <w:rPr>
                <w:sz w:val="20"/>
                <w:szCs w:val="20"/>
                <w:color w:val="auto"/>
              </w:rPr>
            </w:pPr>
            <w:r>
              <w:rPr>
                <w:rFonts w:ascii="Arial" w:cs="Arial" w:eastAsia="Arial" w:hAnsi="Arial"/>
                <w:sz w:val="18"/>
                <w:szCs w:val="18"/>
                <w:color w:val="auto"/>
                <w:w w:val="96"/>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7"/>
        </w:trPr>
        <w:tc>
          <w:tcPr>
            <w:tcW w:w="2100" w:type="dxa"/>
            <w:vAlign w:val="bottom"/>
          </w:tcPr>
          <w:p>
            <w:pPr>
              <w:spacing w:after="0"/>
              <w:rPr>
                <w:sz w:val="20"/>
                <w:szCs w:val="20"/>
                <w:color w:val="auto"/>
              </w:rPr>
            </w:pPr>
            <w:r>
              <w:rPr>
                <w:rFonts w:ascii="Arial" w:cs="Arial" w:eastAsia="Arial" w:hAnsi="Arial"/>
                <w:sz w:val="18"/>
                <w:szCs w:val="18"/>
                <w:color w:val="auto"/>
                <w:w w:val="97"/>
              </w:rPr>
              <w:t>Emerging growth company</w:t>
            </w:r>
          </w:p>
        </w:tc>
        <w:tc>
          <w:tcPr>
            <w:tcW w:w="32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0" w:lineRule="exact"/>
        <w:rPr>
          <w:sz w:val="24"/>
          <w:szCs w:val="24"/>
          <w:color w:val="auto"/>
        </w:rPr>
      </w:pPr>
    </w:p>
    <w:p>
      <w:pPr>
        <w:ind w:left="240" w:right="100" w:firstLine="431"/>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6" w:lineRule="exact"/>
        <w:rPr>
          <w:sz w:val="24"/>
          <w:szCs w:val="24"/>
          <w:color w:val="auto"/>
        </w:rPr>
      </w:pPr>
    </w:p>
    <w:p>
      <w:pPr>
        <w:ind w:left="660"/>
        <w:spacing w:after="0" w:line="207" w:lineRule="exact"/>
        <w:tabs>
          <w:tab w:leader="none" w:pos="8060" w:val="left"/>
          <w:tab w:leader="none" w:pos="87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0960"/>
          </w:cols>
          <w:pgMar w:left="320" w:top="227" w:right="619" w:bottom="0" w:gutter="0" w:footer="0" w:header="0"/>
        </w:sectPr>
      </w:pPr>
    </w:p>
    <w:bookmarkStart w:id="1" w:name="page2"/>
    <w:bookmarkEnd w:id="1"/>
    <w:p>
      <w:pPr>
        <w:spacing w:after="0" w:line="254" w:lineRule="auto"/>
        <w:rPr>
          <w:sz w:val="20"/>
          <w:szCs w:val="20"/>
          <w:color w:val="auto"/>
        </w:rPr>
      </w:pPr>
      <w:r>
        <w:rPr>
          <w:rFonts w:ascii="Arial" w:cs="Arial" w:eastAsia="Arial" w:hAnsi="Arial"/>
          <w:sz w:val="18"/>
          <w:szCs w:val="18"/>
          <w:color w:val="auto"/>
        </w:rPr>
        <w:t>As of May 12, 2020, there were 145,099,821 shares of the registrant’s Subordinate Voting Shares, 23,850,400 shares of the registrant’s Multiple Voting Shares (on an as converted to Subordinate Voting Shares basis) and 39,081,400 shares of the registrant’s Super Voting Shares (on an as converted to Subordinate Voting Shares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6842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842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ectPr>
          <w:pgSz w:w="11900" w:h="16838" w:orient="portrait"/>
          <w:cols w:equalWidth="0" w:num="1">
            <w:col w:w="10640"/>
          </w:cols>
          <w:pgMar w:left="560" w:top="127" w:right="6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QUARTERLY REPORT ON FORM 10-Q</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179"/>
        </w:trPr>
        <w:tc>
          <w:tcPr>
            <w:tcW w:w="10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7"/>
        </w:trPr>
        <w:tc>
          <w:tcPr>
            <w:tcW w:w="103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9540" w:type="dxa"/>
            <w:vAlign w:val="bottom"/>
          </w:tcPr>
          <w:p>
            <w:pPr>
              <w:ind w:left="4320"/>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0" w:type="dxa"/>
            <w:vAlign w:val="bottom"/>
            <w:vMerge w:val="continue"/>
          </w:tcPr>
          <w:p>
            <w:pPr>
              <w:spacing w:after="0"/>
              <w:rPr>
                <w:sz w:val="18"/>
                <w:szCs w:val="18"/>
                <w:color w:val="auto"/>
              </w:rPr>
            </w:pPr>
          </w:p>
        </w:tc>
        <w:tc>
          <w:tcPr>
            <w:tcW w:w="9540" w:type="dxa"/>
            <w:vAlign w:val="bottom"/>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Interim Condensed Consolidated Balance Sheets as of March 31, 2020 and December 31,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9540" w:type="dxa"/>
            <w:vAlign w:val="bottom"/>
          </w:tcPr>
          <w:p>
            <w:pPr>
              <w:ind w:left="20"/>
              <w:spacing w:after="0"/>
              <w:rPr>
                <w:rFonts w:ascii="Arial" w:cs="Arial" w:eastAsia="Arial" w:hAnsi="Arial"/>
                <w:sz w:val="18"/>
                <w:szCs w:val="18"/>
                <w:u w:val="single" w:color="auto"/>
                <w:color w:val="0000EE"/>
                <w:w w:val="96"/>
              </w:rPr>
            </w:pPr>
            <w:hyperlink w:anchor="page6">
              <w:r>
                <w:rPr>
                  <w:rFonts w:ascii="Arial" w:cs="Arial" w:eastAsia="Arial" w:hAnsi="Arial"/>
                  <w:sz w:val="18"/>
                  <w:szCs w:val="18"/>
                  <w:u w:val="single" w:color="auto"/>
                  <w:color w:val="0000EE"/>
                  <w:w w:val="96"/>
                </w:rPr>
                <w:t>Unaudited Interim Condensed Consolidated Statements of Operations for the three months ended March 31, 2020 and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9540" w:type="dxa"/>
            <w:vAlign w:val="bottom"/>
          </w:tcPr>
          <w:p>
            <w:pPr>
              <w:ind w:left="20"/>
              <w:spacing w:after="0"/>
              <w:rPr>
                <w:rFonts w:ascii="Arial" w:cs="Arial" w:eastAsia="Arial" w:hAnsi="Arial"/>
                <w:sz w:val="18"/>
                <w:szCs w:val="18"/>
                <w:u w:val="single" w:color="auto"/>
                <w:color w:val="0000EE"/>
                <w:w w:val="88"/>
              </w:rPr>
            </w:pPr>
            <w:hyperlink w:anchor="page7">
              <w:r>
                <w:rPr>
                  <w:rFonts w:ascii="Arial" w:cs="Arial" w:eastAsia="Arial" w:hAnsi="Arial"/>
                  <w:sz w:val="18"/>
                  <w:szCs w:val="18"/>
                  <w:u w:val="single" w:color="auto"/>
                  <w:color w:val="0000EE"/>
                  <w:w w:val="88"/>
                </w:rPr>
                <w:t>Unaudited Interim Condensed Consolidated Statements of Shareholders’ Equity for the three months ended March 31, 2020 and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9540" w:type="dxa"/>
            <w:vAlign w:val="bottom"/>
          </w:tcPr>
          <w:p>
            <w:pPr>
              <w:ind w:left="20"/>
              <w:spacing w:after="0"/>
              <w:rPr>
                <w:rFonts w:ascii="Arial" w:cs="Arial" w:eastAsia="Arial" w:hAnsi="Arial"/>
                <w:sz w:val="18"/>
                <w:szCs w:val="18"/>
                <w:u w:val="single" w:color="auto"/>
                <w:color w:val="0000EE"/>
                <w:w w:val="95"/>
              </w:rPr>
            </w:pPr>
            <w:hyperlink w:anchor="page8">
              <w:r>
                <w:rPr>
                  <w:rFonts w:ascii="Arial" w:cs="Arial" w:eastAsia="Arial" w:hAnsi="Arial"/>
                  <w:sz w:val="18"/>
                  <w:szCs w:val="18"/>
                  <w:u w:val="single" w:color="auto"/>
                  <w:color w:val="0000EE"/>
                  <w:w w:val="95"/>
                </w:rPr>
                <w:t>Unaudited Interim Condensed Consolidated Statements of Cash Flows for the three months ended March 31, 2020 and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954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Interim Condensed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540" w:type="dxa"/>
            <w:vAlign w:val="bottom"/>
          </w:tcPr>
          <w:p>
            <w:pPr>
              <w:ind w:left="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40" w:type="dxa"/>
            <w:vAlign w:val="bottom"/>
          </w:tcPr>
          <w:p>
            <w:pPr>
              <w:ind w:left="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99"/>
        </w:trPr>
        <w:tc>
          <w:tcPr>
            <w:tcW w:w="820" w:type="dxa"/>
            <w:vAlign w:val="bottom"/>
          </w:tcPr>
          <w:p>
            <w:pPr>
              <w:spacing w:after="0"/>
              <w:rPr>
                <w:sz w:val="24"/>
                <w:szCs w:val="24"/>
                <w:color w:val="auto"/>
              </w:rPr>
            </w:pPr>
          </w:p>
        </w:tc>
        <w:tc>
          <w:tcPr>
            <w:tcW w:w="9540" w:type="dxa"/>
            <w:vAlign w:val="bottom"/>
          </w:tcPr>
          <w:p>
            <w:pPr>
              <w:ind w:left="4280"/>
              <w:spacing w:after="0"/>
              <w:rPr>
                <w:sz w:val="20"/>
                <w:szCs w:val="20"/>
                <w:color w:val="auto"/>
              </w:rPr>
            </w:pPr>
            <w:r>
              <w:rPr>
                <w:rFonts w:ascii="Arial" w:cs="Arial" w:eastAsia="Arial" w:hAnsi="Arial"/>
                <w:sz w:val="18"/>
                <w:szCs w:val="18"/>
                <w:b w:val="1"/>
                <w:bCs w:val="1"/>
                <w:color w:val="auto"/>
              </w:rPr>
              <w:t>Part II</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360" w:type="dxa"/>
            <w:vAlign w:val="bottom"/>
            <w:gridSpan w:val="2"/>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540" w:type="dxa"/>
            <w:vAlign w:val="bottom"/>
          </w:tcPr>
          <w:p>
            <w:pPr>
              <w:ind w:left="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40" w:type="dxa"/>
            <w:vAlign w:val="bottom"/>
          </w:tcPr>
          <w:p>
            <w:pPr>
              <w:ind w:left="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4"/>
        </w:trPr>
        <w:tc>
          <w:tcPr>
            <w:tcW w:w="820" w:type="dxa"/>
            <w:vAlign w:val="bottom"/>
          </w:tcPr>
          <w:p>
            <w:pPr>
              <w:spacing w:after="0"/>
              <w:rPr>
                <w:sz w:val="20"/>
                <w:szCs w:val="20"/>
                <w:color w:val="auto"/>
              </w:rPr>
            </w:pPr>
            <w:r>
              <w:rPr>
                <w:rFonts w:ascii="Arial" w:cs="Arial" w:eastAsia="Arial" w:hAnsi="Arial"/>
                <w:sz w:val="18"/>
                <w:szCs w:val="18"/>
                <w:b w:val="1"/>
                <w:bCs w:val="1"/>
                <w:color w:val="auto"/>
              </w:rPr>
              <w:t>ITEM2:</w:t>
            </w:r>
          </w:p>
        </w:tc>
        <w:tc>
          <w:tcPr>
            <w:tcW w:w="9540" w:type="dxa"/>
            <w:vAlign w:val="bottom"/>
          </w:tcPr>
          <w:p>
            <w:pPr>
              <w:ind w:left="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Unregistered Sales of Equity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40" w:type="dxa"/>
            <w:vAlign w:val="bottom"/>
          </w:tcPr>
          <w:p>
            <w:pPr>
              <w:ind w:lef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Mine Safety Disclosure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540" w:type="dxa"/>
            <w:vAlign w:val="bottom"/>
          </w:tcPr>
          <w:p>
            <w:pPr>
              <w:ind w:lef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820" w:type="dxa"/>
            <w:vAlign w:val="bottom"/>
          </w:tcPr>
          <w:p>
            <w:pPr>
              <w:spacing w:after="0"/>
              <w:rPr>
                <w:rFonts w:ascii="Arial" w:cs="Arial" w:eastAsia="Arial" w:hAnsi="Arial"/>
                <w:sz w:val="18"/>
                <w:szCs w:val="18"/>
                <w:b w:val="1"/>
                <w:bCs w:val="1"/>
                <w:u w:val="single" w:color="auto"/>
                <w:color w:val="0000EE"/>
                <w:w w:val="85"/>
              </w:rPr>
            </w:pPr>
            <w:hyperlink w:anchor="page39">
              <w:r>
                <w:rPr>
                  <w:rFonts w:ascii="Arial" w:cs="Arial" w:eastAsia="Arial" w:hAnsi="Arial"/>
                  <w:sz w:val="18"/>
                  <w:szCs w:val="18"/>
                  <w:b w:val="1"/>
                  <w:bCs w:val="1"/>
                  <w:u w:val="single" w:color="auto"/>
                  <w:color w:val="0000EE"/>
                  <w:w w:val="85"/>
                </w:rPr>
                <w:t>Signatures</w:t>
              </w:r>
            </w:hyperlink>
          </w:p>
        </w:tc>
        <w:tc>
          <w:tcPr>
            <w:tcW w:w="95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0960"/>
          </w:cols>
          <w:pgMar w:left="320" w:top="452" w:right="6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Use of Names</w:t>
      </w:r>
    </w:p>
    <w:p>
      <w:pPr>
        <w:spacing w:after="0" w:line="116" w:lineRule="exact"/>
        <w:rPr>
          <w:sz w:val="20"/>
          <w:szCs w:val="20"/>
          <w:color w:val="auto"/>
        </w:rPr>
      </w:pPr>
    </w:p>
    <w:p>
      <w:pPr>
        <w:ind w:left="240" w:right="300" w:firstLine="970"/>
        <w:spacing w:after="0" w:line="263" w:lineRule="auto"/>
        <w:rPr>
          <w:sz w:val="20"/>
          <w:szCs w:val="20"/>
          <w:color w:val="auto"/>
        </w:rPr>
      </w:pPr>
      <w:r>
        <w:rPr>
          <w:rFonts w:ascii="Arial" w:cs="Arial" w:eastAsia="Arial" w:hAnsi="Arial"/>
          <w:sz w:val="18"/>
          <w:szCs w:val="18"/>
          <w:color w:val="auto"/>
        </w:rPr>
        <w:t>In this Interim Report on Form 10-Q, unless the context otherwise requires, the terms “we,” “us,” “our,” “Company,” “Corporation” or “Green Thumb” refer to Green Thumb Industries Inc. together with its wholly-owned subsidiaries.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Currency</w:t>
      </w:r>
    </w:p>
    <w:p>
      <w:pPr>
        <w:spacing w:after="0" w:line="116" w:lineRule="exact"/>
        <w:rPr>
          <w:sz w:val="20"/>
          <w:szCs w:val="20"/>
          <w:color w:val="auto"/>
        </w:rPr>
      </w:pPr>
    </w:p>
    <w:p>
      <w:pPr>
        <w:ind w:left="240" w:right="120" w:firstLine="970"/>
        <w:spacing w:after="0" w:line="263" w:lineRule="auto"/>
        <w:rPr>
          <w:sz w:val="20"/>
          <w:szCs w:val="20"/>
          <w:color w:val="auto"/>
        </w:rPr>
      </w:pPr>
      <w:r>
        <w:rPr>
          <w:rFonts w:ascii="Arial" w:cs="Arial" w:eastAsia="Arial" w:hAnsi="Arial"/>
          <w:sz w:val="18"/>
          <w:szCs w:val="18"/>
          <w:color w:val="auto"/>
        </w:rPr>
        <w:t>Unless otherwise indicated, all references to “$” or “US$” in this document refer to United States dollars, and all references to “C$” refer to Canadian dollars.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16" w:lineRule="exact"/>
        <w:rPr>
          <w:sz w:val="20"/>
          <w:szCs w:val="20"/>
          <w:color w:val="auto"/>
        </w:rPr>
      </w:pPr>
    </w:p>
    <w:p>
      <w:pPr>
        <w:ind w:left="240" w:firstLine="970"/>
        <w:spacing w:after="0" w:line="296" w:lineRule="auto"/>
        <w:rPr>
          <w:sz w:val="20"/>
          <w:szCs w:val="20"/>
          <w:color w:val="auto"/>
        </w:rPr>
      </w:pPr>
      <w:r>
        <w:rPr>
          <w:rFonts w:ascii="Arial" w:cs="Arial" w:eastAsia="Arial" w:hAnsi="Arial"/>
          <w:sz w:val="15"/>
          <w:szCs w:val="15"/>
          <w:i w:val="1"/>
          <w:iCs w:val="1"/>
          <w:color w:val="auto"/>
        </w:rPr>
        <w:t>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Furthermore, forward-looking statements may be included in various filings that we make with the Securities and Exchange Commission (the “SEC”),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marijuana remains illegal under federal law, and enforcement of cannabis laws could change;, the Company may face limitations on ownership of cannabis licenses; the Company may become subject to U.S. Food and Drug Administration or the U.S. Bureau of Alcohol, Tobacco and Firearms; the Company may face difficulties acquiring additional financing; the Company operates in a highly regulated sector and may not always succeed in complying fully with applicable regulatory requirements in all jurisdictions where we carry on business; the Company is subject to general economic risks; the Company may be negatively impacted by challenging global economic condition; the Company is subject to risks arising from epidemic diseases, such as the recent outbreak of the COVID-19 illness; the Company may face difficulties in enforcing its contracts; the Company is subject to taxation in Canada and the United States; cannabis businesses are subject to unfavorable tax treatment; cannabis businesses may be subject to civil asset forfeiture; the Company is subject to proceeds of crime statutes; the Company faces security risks; our use of joint ventures may expose us to risks associated with jointly owned investments; 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 the Company faces risks related to its products; the Company is dependent on the popularity of consumer acceptance of the Company’s brand portfolio; the Company faces risks related to its insurance coverage and uninsurable risks; the Company is dependent on key inputs, suppliers and skilled labor; the Company must attract and maintain key personnel or our business will fail; the Company’s business is subject to the risks inherent in agricultural operations; the Company’s sales are difficult to forecast; the Company’s products may be subject to product recalls; the Company may face unfavorable publicity or consumer perception; the Company faces intense competition; the Company’s voting control is concentrated; the Company’s capital structure and voting control may cause unpredictability; and additional issuances of Super Voting Shares, Multiple Voting Shares or Subordinate Voting Shares may result in dilution. Further information on these and other potential factors that could affect the Company’s business and financial condition and the results of operations are included in the “Risk Factors” section of the Company’s Annual Report on Form 10-K for the year ended December 31, 2019, and elsewhere in the Company’s filings with the SEC, which are available on the SEC’s website or at https://investors.gtigrows.com.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320" w:top="452" w:right="5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As of March 31, 2020 and December 31, 2019</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Expressed in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187960</wp:posOffset>
            </wp:positionV>
            <wp:extent cx="6842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20" w:type="dxa"/>
            <w:vAlign w:val="bottom"/>
            <w:shd w:val="clear" w:color="auto" w:fill="CCEEFF"/>
          </w:tcPr>
          <w:p>
            <w:pPr>
              <w:ind w:left="3720"/>
              <w:spacing w:after="0" w:line="191"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i w:val="1"/>
                <w:iCs w:val="1"/>
                <w:color w:val="auto"/>
              </w:rPr>
              <w:t>(Audited)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71,521,954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46,667,334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6,725,972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7,530,253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50,170,268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46,034,481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6,225,954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6,780,657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6,171,998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140,816,146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109,062,611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8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160,463,256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155,596,675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Right of Use Assets, Net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97,034,010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63,647,812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13,853,214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14,068,821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Investment in Associate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426,328,731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435,246,898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372,218,999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375,084,991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1,699,805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1,223,014,161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1,167,536,624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214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8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17,945,740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42,486,913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35,939,850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Notes Payable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Current Portion of Lease Liabilities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1,473,812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3,833,268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Liability for Acquisition of Noncontrolling Interest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Contingent Consideration Payable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41,581,975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50,391,181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Payable</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19,078,904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128,250,270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111,367,255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8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Lease Liabilities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98,032,455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61,115,737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 Net of Current Portion</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92,690,031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91,140,194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Contingent Consideration Payable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8,762,527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8,545,558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Warrant Liability</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15,879,843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33,976,361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36,279,361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370,208,644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324,327,948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HOLDERS’ EQUITY</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20" w:type="dxa"/>
            <w:vAlign w:val="bottom"/>
          </w:tcPr>
          <w:p>
            <w:pPr>
              <w:spacing w:after="0" w:line="199" w:lineRule="exact"/>
              <w:rPr>
                <w:sz w:val="20"/>
                <w:szCs w:val="20"/>
                <w:color w:val="auto"/>
              </w:rPr>
            </w:pPr>
            <w:r>
              <w:rPr>
                <w:rFonts w:ascii="Arial" w:cs="Arial" w:eastAsia="Arial" w:hAnsi="Arial"/>
                <w:sz w:val="18"/>
                <w:szCs w:val="18"/>
                <w:color w:val="auto"/>
                <w:w w:val="89"/>
              </w:rPr>
              <w:t>Subordinate Voting Shares (Shares Authorized, Issued and Outstanding at March 31, 2020: Unlimited, 144,811,572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w w:val="92"/>
              </w:rPr>
              <w:t>and 144,811,572, respectively at December 31, 2019: Unlimited, 128,999,964 and 128,999,964, respectively)</w:t>
            </w: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2"/>
              </w:rPr>
              <w:t>Multiple Voting Shares (Shares Authorized, Issued and Outstanding at March 31, 2020: Unlimited, 238,504 and</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238,504, respectively at December 31, 2018: Unlimited, 373,350 and 373,350, respectively)</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5"/>
        </w:trPr>
        <w:tc>
          <w:tcPr>
            <w:tcW w:w="8240" w:type="dxa"/>
            <w:vAlign w:val="bottom"/>
            <w:gridSpan w:val="2"/>
          </w:tcPr>
          <w:p>
            <w:pPr>
              <w:spacing w:after="0"/>
              <w:rPr>
                <w:sz w:val="20"/>
                <w:szCs w:val="20"/>
                <w:color w:val="auto"/>
              </w:rPr>
            </w:pPr>
            <w:r>
              <w:rPr>
                <w:rFonts w:ascii="Arial" w:cs="Arial" w:eastAsia="Arial" w:hAnsi="Arial"/>
                <w:sz w:val="18"/>
                <w:szCs w:val="18"/>
                <w:color w:val="auto"/>
                <w:w w:val="94"/>
              </w:rPr>
              <w:t>Super Voting Shares (Shares Authorized, Issued and Outstanding at March 31, 2020: Unlimited, 390,814 and</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390,814, respectively at December 31, 2019: Unlimited, 402,289 and 402,289, respectively)</w:t>
            </w: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Capital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990,290,509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980,638,701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Contributed Surplus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8,302,730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3,960,854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Share Issuances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16,587,798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(164,697,854)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(160,491,590)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Equity of Green Thumb Industries Inc.</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850,483,183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840,695,763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tcPr>
          <w:p>
            <w:pPr>
              <w:ind w:left="68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2,322,334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852,805,517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843,208,676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6"/>
              </w:rPr>
              <w:t>1,223,014,161</w:t>
            </w:r>
          </w:p>
        </w:tc>
        <w:tc>
          <w:tcPr>
            <w:tcW w:w="1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6"/>
              </w:rPr>
              <w:t>1,167,536,624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193040</wp:posOffset>
            </wp:positionV>
            <wp:extent cx="6842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3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320" w:top="452" w:right="559" w:bottom="992"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Unaudited Interim Condensed Consolidated Statements of Operations</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Expressed in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187960</wp:posOffset>
            </wp:positionV>
            <wp:extent cx="6842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39"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3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Revenues, net of discounts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102,602,602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5"/>
              </w:rPr>
              <w:t>27,913,163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(49,615,188)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(15,123,942)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52,987,414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12,789,221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45,434,757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26,418,881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tcPr>
          <w:p>
            <w:pPr>
              <w:ind w:left="680"/>
              <w:spacing w:after="0"/>
              <w:rPr>
                <w:sz w:val="20"/>
                <w:szCs w:val="20"/>
                <w:color w:val="auto"/>
              </w:rPr>
            </w:pPr>
            <w:r>
              <w:rPr>
                <w:rFonts w:ascii="Arial" w:cs="Arial" w:eastAsia="Arial" w:hAnsi="Arial"/>
                <w:sz w:val="18"/>
                <w:szCs w:val="18"/>
                <w:b w:val="1"/>
                <w:bCs w:val="1"/>
                <w:color w:val="auto"/>
              </w:rPr>
              <w:t>Total Expenses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45,434,757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26,418,881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7,552,657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(13,629,660)</w:t>
            </w:r>
          </w:p>
        </w:tc>
        <w:tc>
          <w:tcPr>
            <w:tcW w:w="0" w:type="dxa"/>
            <w:vAlign w:val="bottom"/>
          </w:tcPr>
          <w:p>
            <w:pPr>
              <w:spacing w:after="0"/>
              <w:rPr>
                <w:sz w:val="1"/>
                <w:szCs w:val="1"/>
                <w:color w:val="auto"/>
              </w:rPr>
            </w:pPr>
          </w:p>
        </w:tc>
      </w:tr>
      <w:tr>
        <w:trPr>
          <w:trHeight w:val="217"/>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(5,041,442)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(451,878)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tcPr>
          <w:p>
            <w:pPr>
              <w:ind w:left="680"/>
              <w:spacing w:after="0"/>
              <w:rPr>
                <w:sz w:val="20"/>
                <w:szCs w:val="20"/>
                <w:color w:val="auto"/>
              </w:rPr>
            </w:pPr>
            <w:r>
              <w:rPr>
                <w:rFonts w:ascii="Arial" w:cs="Arial" w:eastAsia="Arial" w:hAnsi="Arial"/>
                <w:sz w:val="18"/>
                <w:szCs w:val="18"/>
                <w:b w:val="1"/>
                <w:bCs w:val="1"/>
                <w:color w:val="auto"/>
              </w:rPr>
              <w:t>Total Other Income (Expense)</w:t>
            </w:r>
          </w:p>
        </w:tc>
        <w:tc>
          <w:tcPr>
            <w:tcW w:w="1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1,832,783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9,385,440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(8,468,055)</w:t>
            </w:r>
          </w:p>
        </w:tc>
        <w:tc>
          <w:tcPr>
            <w:tcW w:w="0" w:type="dxa"/>
            <w:vAlign w:val="bottom"/>
          </w:tcPr>
          <w:p>
            <w:pPr>
              <w:spacing w:after="0"/>
              <w:rPr>
                <w:sz w:val="1"/>
                <w:szCs w:val="1"/>
                <w:color w:val="auto"/>
              </w:rPr>
            </w:pPr>
          </w:p>
        </w:tc>
      </w:tr>
      <w:tr>
        <w:trPr>
          <w:trHeight w:val="224"/>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1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13,149,000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Non-Controlling Interest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(3,763,560)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(9,704,055)</w:t>
            </w:r>
          </w:p>
        </w:tc>
        <w:tc>
          <w:tcPr>
            <w:tcW w:w="0" w:type="dxa"/>
            <w:vAlign w:val="bottom"/>
          </w:tcPr>
          <w:p>
            <w:pPr>
              <w:spacing w:after="0"/>
              <w:rPr>
                <w:sz w:val="1"/>
                <w:szCs w:val="1"/>
                <w:color w:val="auto"/>
              </w:rPr>
            </w:pPr>
          </w:p>
        </w:tc>
      </w:tr>
      <w:tr>
        <w:trPr>
          <w:trHeight w:val="3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442,704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(140,999)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(4,206,264)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(9,563,056)</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40" w:type="dxa"/>
            <w:vAlign w:val="bottom"/>
            <w:gridSpan w:val="2"/>
            <w:vMerge w:val="continue"/>
          </w:tcPr>
          <w:p>
            <w:pPr>
              <w:spacing w:after="0"/>
              <w:rPr>
                <w:sz w:val="17"/>
                <w:szCs w:val="17"/>
                <w:color w:val="auto"/>
              </w:rPr>
            </w:pPr>
          </w:p>
        </w:tc>
        <w:tc>
          <w:tcPr>
            <w:tcW w:w="136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(0.02)</w:t>
            </w:r>
          </w:p>
        </w:tc>
        <w:tc>
          <w:tcPr>
            <w:tcW w:w="16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line="204"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22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Weighted average number of shares outstanding - basic and diluted</w:t>
            </w:r>
          </w:p>
        </w:tc>
        <w:tc>
          <w:tcPr>
            <w:tcW w:w="1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208,468,356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167,171,886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193040</wp:posOffset>
            </wp:positionV>
            <wp:extent cx="6842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3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320" w:top="452"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187960</wp:posOffset>
            </wp:positionV>
            <wp:extent cx="6842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35"/>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 to</w:t>
            </w:r>
          </w:p>
        </w:tc>
        <w:tc>
          <w:tcPr>
            <w:tcW w:w="12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Contributed</w:t>
            </w: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w w:val="89"/>
              </w:rPr>
              <w:t>Deferred Share</w:t>
            </w:r>
          </w:p>
        </w:tc>
        <w:tc>
          <w:tcPr>
            <w:tcW w:w="24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260" w:type="dxa"/>
            <w:vAlign w:val="bottom"/>
            <w:gridSpan w:val="4"/>
          </w:tcPr>
          <w:p>
            <w:pPr>
              <w:ind w:left="10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Be Issued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Surplus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Issuance</w:t>
            </w:r>
          </w:p>
        </w:tc>
        <w:tc>
          <w:tcPr>
            <w:tcW w:w="15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Earnings (Deficit)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Balance, January 1, 2019</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7"/>
              </w:rPr>
              <w:t>$397,590,465</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3"/>
              </w:rPr>
              <w:t>27,773,234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6"/>
              </w:rPr>
              <w:t>14,202,659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60"/>
              <w:spacing w:after="0" w:line="205"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4"/>
              </w:rPr>
              <w:t>$ (100,876,937)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9"/>
              </w:rPr>
              <w:t>3,497,459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$342,186,880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60" w:type="dxa"/>
            <w:vAlign w:val="bottom"/>
          </w:tcPr>
          <w:p>
            <w:pPr>
              <w:spacing w:after="0" w:line="199" w:lineRule="exact"/>
              <w:rPr>
                <w:sz w:val="20"/>
                <w:szCs w:val="20"/>
                <w:color w:val="auto"/>
              </w:rPr>
            </w:pPr>
            <w:r>
              <w:rPr>
                <w:rFonts w:ascii="Arial" w:cs="Arial" w:eastAsia="Arial" w:hAnsi="Arial"/>
                <w:sz w:val="18"/>
                <w:szCs w:val="18"/>
                <w:color w:val="auto"/>
              </w:rPr>
              <w:t>Adoption of ASC 842,</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ind w:left="160"/>
              <w:spacing w:after="0"/>
              <w:rPr>
                <w:sz w:val="20"/>
                <w:szCs w:val="20"/>
                <w:color w:val="auto"/>
              </w:rPr>
            </w:pPr>
            <w:r>
              <w:rPr>
                <w:rFonts w:ascii="Arial" w:cs="Arial" w:eastAsia="Arial" w:hAnsi="Arial"/>
                <w:sz w:val="18"/>
                <w:szCs w:val="18"/>
                <w:i w:val="1"/>
                <w:iCs w:val="1"/>
                <w:color w:val="auto"/>
              </w:rPr>
              <w:t>Leases</w:t>
            </w:r>
          </w:p>
        </w:tc>
        <w:tc>
          <w:tcPr>
            <w:tcW w:w="1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(498,246)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(498,246)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for change in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ownership</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27,773,234</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(27,773,234)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4,200,382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4,200,382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60" w:type="dxa"/>
            <w:vAlign w:val="bottom"/>
          </w:tcPr>
          <w:p>
            <w:pPr>
              <w:spacing w:after="0" w:line="199" w:lineRule="exact"/>
              <w:rPr>
                <w:sz w:val="20"/>
                <w:szCs w:val="20"/>
                <w:color w:val="auto"/>
              </w:rPr>
            </w:pPr>
            <w:r>
              <w:rPr>
                <w:rFonts w:ascii="Arial" w:cs="Arial" w:eastAsia="Arial" w:hAnsi="Arial"/>
                <w:sz w:val="18"/>
                <w:szCs w:val="18"/>
                <w:color w:val="auto"/>
              </w:rPr>
              <w:t>Contributions from limited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liability company unit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holders</w:t>
            </w:r>
          </w:p>
        </w:tc>
        <w:tc>
          <w:tcPr>
            <w:tcW w:w="1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1,650,000</w:t>
            </w: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Issuance of shares under</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business combinations and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168,904,857</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(4,789,147)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164,115,710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60" w:type="dxa"/>
            <w:vAlign w:val="bottom"/>
          </w:tcPr>
          <w:p>
            <w:pPr>
              <w:spacing w:after="0" w:line="199" w:lineRule="exact"/>
              <w:rPr>
                <w:sz w:val="20"/>
                <w:szCs w:val="20"/>
                <w:color w:val="auto"/>
              </w:rPr>
            </w:pPr>
            <w:r>
              <w:rPr>
                <w:rFonts w:ascii="Arial" w:cs="Arial" w:eastAsia="Arial" w:hAnsi="Arial"/>
                <w:sz w:val="18"/>
                <w:szCs w:val="18"/>
                <w:color w:val="auto"/>
              </w:rPr>
              <w:t>Issuance of shares for</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redemption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15,025,523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(2,048,653)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12,976,870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Deferred Share Issuances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15,280,000</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9"/>
              </w:rPr>
              <w:t>Stock based compensation</w:t>
            </w:r>
          </w:p>
        </w:tc>
        <w:tc>
          <w:tcPr>
            <w:tcW w:w="1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5,844,800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5,844,800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Distributions to limited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liability company unit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(536,159)</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(536,159)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(9,563,056)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(140,999)</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(9,704,055)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609,294,079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17,410,041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15,280,000</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(110,938,239)</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4,470,301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535,516,182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January 1, 2020</w:t>
            </w: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80" w:type="dxa"/>
            <w:vAlign w:val="bottom"/>
            <w:gridSpan w:val="2"/>
            <w:vMerge w:val="continue"/>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8"/>
              </w:rPr>
              <w:t>$980,638,701</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97"/>
              </w:rPr>
              <w:t>3,960,854</w:t>
            </w:r>
          </w:p>
        </w:tc>
        <w:tc>
          <w:tcPr>
            <w:tcW w:w="160" w:type="dxa"/>
            <w:vAlign w:val="bottom"/>
          </w:tcPr>
          <w:p>
            <w:pPr>
              <w:spacing w:after="0"/>
              <w:rPr>
                <w:sz w:val="17"/>
                <w:szCs w:val="17"/>
                <w:color w:val="auto"/>
              </w:rPr>
            </w:pPr>
          </w:p>
        </w:tc>
        <w:tc>
          <w:tcPr>
            <w:tcW w:w="220" w:type="dxa"/>
            <w:vAlign w:val="bottom"/>
            <w:gridSpan w:val="2"/>
          </w:tcPr>
          <w:p>
            <w:pPr>
              <w:ind w:left="12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Pr>
          <w:p>
            <w:pPr>
              <w:ind w:left="40"/>
              <w:spacing w:after="0" w:line="203" w:lineRule="exact"/>
              <w:rPr>
                <w:sz w:val="20"/>
                <w:szCs w:val="20"/>
                <w:color w:val="auto"/>
              </w:rPr>
            </w:pPr>
            <w:r>
              <w:rPr>
                <w:rFonts w:ascii="Arial" w:cs="Arial" w:eastAsia="Arial" w:hAnsi="Arial"/>
                <w:sz w:val="18"/>
                <w:szCs w:val="18"/>
                <w:color w:val="auto"/>
                <w:w w:val="84"/>
              </w:rPr>
              <w:t>16,587,798</w:t>
            </w:r>
          </w:p>
        </w:tc>
        <w:tc>
          <w:tcPr>
            <w:tcW w:w="150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 (160,491,590)</w:t>
            </w:r>
          </w:p>
        </w:tc>
        <w:tc>
          <w:tcPr>
            <w:tcW w:w="28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9"/>
              </w:rPr>
              <w:t>2,512,913</w:t>
            </w:r>
          </w:p>
        </w:tc>
        <w:tc>
          <w:tcPr>
            <w:tcW w:w="16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6"/>
              </w:rPr>
              <w:t>$843,208,676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Contributions from limited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liability company unit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60" w:type="dxa"/>
            <w:vAlign w:val="bottom"/>
          </w:tcPr>
          <w:p>
            <w:pPr>
              <w:spacing w:after="0" w:line="199" w:lineRule="exact"/>
              <w:rPr>
                <w:sz w:val="20"/>
                <w:szCs w:val="20"/>
                <w:color w:val="auto"/>
              </w:rPr>
            </w:pPr>
            <w:r>
              <w:rPr>
                <w:rFonts w:ascii="Arial" w:cs="Arial" w:eastAsia="Arial" w:hAnsi="Arial"/>
                <w:sz w:val="18"/>
                <w:szCs w:val="18"/>
                <w:color w:val="auto"/>
              </w:rPr>
              <w:t>Issuance of shares under</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w w:val="91"/>
              </w:rPr>
              <w:t>business combinations 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684,551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(678,489)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and other adjustments to</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accounting</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8,967,257</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8,967,257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9"/>
              </w:rPr>
              <w:t>Stock based compensation</w:t>
            </w:r>
          </w:p>
        </w:tc>
        <w:tc>
          <w:tcPr>
            <w:tcW w:w="1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5,073,742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5,073,742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Distributions to third party</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limited liability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unit holders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(683,283)</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(736,660)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(4,206,264)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442,704</w:t>
            </w:r>
          </w:p>
        </w:tc>
        <w:tc>
          <w:tcPr>
            <w:tcW w:w="16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(3,763,560)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990,290,509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8,302,730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16,587,798</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(164,697,854)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2,322,334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852,805,517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193040</wp:posOffset>
            </wp:positionV>
            <wp:extent cx="6842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3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20"/>
          </w:cols>
          <w:pgMar w:left="320" w:top="452"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162560</wp:posOffset>
            </wp:positionV>
            <wp:extent cx="6842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8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39"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3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CASH FLOW FROM OPERATING ACTIVITIES</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Net loss attributable to Green Thumb Industries Inc.</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(4,206,264)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(9,563,056)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non-controlling interest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(140,999)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12,705,172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680"/>
              <w:spacing w:after="0"/>
              <w:rPr>
                <w:sz w:val="20"/>
                <w:szCs w:val="20"/>
                <w:color w:val="auto"/>
              </w:rPr>
            </w:pPr>
            <w:r>
              <w:rPr>
                <w:rFonts w:ascii="Arial" w:cs="Arial" w:eastAsia="Arial" w:hAnsi="Arial"/>
                <w:sz w:val="18"/>
                <w:szCs w:val="18"/>
                <w:color w:val="auto"/>
              </w:rPr>
              <w:t>Amortization of operating lease assets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4,257,515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disposal of property and equipment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680"/>
              <w:spacing w:after="0"/>
              <w:rPr>
                <w:sz w:val="20"/>
                <w:szCs w:val="20"/>
                <w:color w:val="auto"/>
              </w:rPr>
            </w:pPr>
            <w:r>
              <w:rPr>
                <w:rFonts w:ascii="Arial" w:cs="Arial" w:eastAsia="Arial" w:hAnsi="Arial"/>
                <w:sz w:val="18"/>
                <w:szCs w:val="18"/>
                <w:color w:val="auto"/>
              </w:rPr>
              <w:t>Bad debt expense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315,261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680"/>
              <w:spacing w:after="0"/>
              <w:rPr>
                <w:sz w:val="20"/>
                <w:szCs w:val="20"/>
                <w:color w:val="auto"/>
              </w:rPr>
            </w:pPr>
            <w:r>
              <w:rPr>
                <w:rFonts w:ascii="Arial" w:cs="Arial" w:eastAsia="Arial" w:hAnsi="Arial"/>
                <w:sz w:val="18"/>
                <w:szCs w:val="18"/>
                <w:color w:val="auto"/>
              </w:rPr>
              <w:t>Stock based compensation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5,073,742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5,844,800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(increase) in fair value of investments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(593,522)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680"/>
              <w:spacing w:after="0"/>
              <w:rPr>
                <w:sz w:val="20"/>
                <w:szCs w:val="20"/>
                <w:color w:val="auto"/>
              </w:rPr>
            </w:pPr>
            <w:r>
              <w:rPr>
                <w:rFonts w:ascii="Arial" w:cs="Arial" w:eastAsia="Arial" w:hAnsi="Arial"/>
                <w:sz w:val="18"/>
                <w:szCs w:val="18"/>
                <w:color w:val="auto"/>
                <w:w w:val="98"/>
              </w:rPr>
              <w:t>Changes in value of liabilities related to put option and purchase of noncontrolling interests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(448,166)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on contingent consideration payable and acquisition liabilities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680"/>
              <w:spacing w:after="0"/>
              <w:rPr>
                <w:sz w:val="20"/>
                <w:szCs w:val="20"/>
                <w:color w:val="auto"/>
              </w:rPr>
            </w:pPr>
            <w:r>
              <w:rPr>
                <w:rFonts w:ascii="Arial" w:cs="Arial" w:eastAsia="Arial" w:hAnsi="Arial"/>
                <w:sz w:val="18"/>
                <w:szCs w:val="18"/>
                <w:color w:val="auto"/>
              </w:rPr>
              <w:t>Increase (decrease) in fair value of contingent consideration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(170,990)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 fair value of warrants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(7,382,843)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680"/>
              <w:spacing w:after="0"/>
              <w:rPr>
                <w:sz w:val="20"/>
                <w:szCs w:val="20"/>
                <w:color w:val="auto"/>
              </w:rPr>
            </w:pPr>
            <w:r>
              <w:rPr>
                <w:rFonts w:ascii="Arial" w:cs="Arial" w:eastAsia="Arial" w:hAnsi="Arial"/>
                <w:sz w:val="18"/>
                <w:szCs w:val="18"/>
                <w:color w:val="auto"/>
              </w:rPr>
              <w:t>Decrease (increase) in fair value of note receivable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810,337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(4,109,793)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debt discount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1,585,322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680"/>
              <w:spacing w:after="0"/>
              <w:rPr>
                <w:sz w:val="20"/>
                <w:szCs w:val="20"/>
                <w:color w:val="auto"/>
              </w:rPr>
            </w:pPr>
            <w:r>
              <w:rPr>
                <w:rFonts w:ascii="Arial" w:cs="Arial" w:eastAsia="Arial" w:hAnsi="Arial"/>
                <w:sz w:val="18"/>
                <w:szCs w:val="18"/>
                <w:color w:val="auto"/>
              </w:rPr>
              <w:t>Inventory</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(4,135,787)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(2,591,611)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(3,561,809)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680"/>
              <w:spacing w:after="0"/>
              <w:rPr>
                <w:sz w:val="20"/>
                <w:szCs w:val="20"/>
                <w:color w:val="auto"/>
              </w:rPr>
            </w:pPr>
            <w:r>
              <w:rPr>
                <w:rFonts w:ascii="Arial" w:cs="Arial" w:eastAsia="Arial" w:hAnsi="Arial"/>
                <w:sz w:val="18"/>
                <w:szCs w:val="18"/>
                <w:color w:val="auto"/>
              </w:rPr>
              <w:t>Deposits and other assets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1,963,074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7,955,363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680"/>
              <w:spacing w:after="0"/>
              <w:rPr>
                <w:sz w:val="20"/>
                <w:szCs w:val="20"/>
                <w:color w:val="auto"/>
              </w:rPr>
            </w:pPr>
            <w:r>
              <w:rPr>
                <w:rFonts w:ascii="Arial" w:cs="Arial" w:eastAsia="Arial" w:hAnsi="Arial"/>
                <w:sz w:val="18"/>
                <w:szCs w:val="18"/>
                <w:color w:val="auto"/>
              </w:rPr>
              <w:t>Accrued liabilities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264,226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(5,338,647)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 liabilities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(3,086,451)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(284,336)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tcPr>
          <w:p>
            <w:pPr>
              <w:ind w:left="680"/>
              <w:spacing w:after="0"/>
              <w:rPr>
                <w:sz w:val="20"/>
                <w:szCs w:val="20"/>
                <w:color w:val="auto"/>
              </w:rPr>
            </w:pPr>
            <w:r>
              <w:rPr>
                <w:rFonts w:ascii="Arial" w:cs="Arial" w:eastAsia="Arial" w:hAnsi="Arial"/>
                <w:sz w:val="18"/>
                <w:szCs w:val="18"/>
                <w:color w:val="auto"/>
              </w:rPr>
              <w:t>Income tax payable</w:t>
            </w:r>
          </w:p>
        </w:tc>
        <w:tc>
          <w:tcPr>
            <w:tcW w:w="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13,573,000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10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27,048,097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(4,299,306)</w:t>
            </w:r>
          </w:p>
        </w:tc>
        <w:tc>
          <w:tcPr>
            <w:tcW w:w="0" w:type="dxa"/>
            <w:vAlign w:val="bottom"/>
          </w:tcPr>
          <w:p>
            <w:pPr>
              <w:spacing w:after="0"/>
              <w:rPr>
                <w:sz w:val="1"/>
                <w:szCs w:val="1"/>
                <w:color w:val="auto"/>
              </w:rPr>
            </w:pPr>
          </w:p>
        </w:tc>
      </w:tr>
      <w:tr>
        <w:trPr>
          <w:trHeight w:val="217"/>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7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(13,246,608)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(12,295,601)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Proceeds from disposal of assets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11,799,025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businesses, net of cash acquired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(12,941,549)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NET CASH USED IN INVESTING ACTIVITIES</w:t>
            </w: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(1,447,583)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(25,237,150)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7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Contributions from limited liability company unit holders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to third parties and limited liability company unit holders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(736,660)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(536,159)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Principal repayment of notes payable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(59,234)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(481,490)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(745,894)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7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24,854,620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(28,904,105)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tcPr>
          <w:p>
            <w:pPr>
              <w:ind w:left="68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46,667,334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145,986,072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CASH AND CASH EQUIVALENTS, END OF PERIOD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71,521,954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117,081,967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133985</wp:posOffset>
            </wp:positionV>
            <wp:extent cx="6842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20"/>
          </w:cols>
          <w:pgMar w:left="320" w:top="452"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187960</wp:posOffset>
            </wp:positionV>
            <wp:extent cx="6842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38"/>
        </w:trPr>
        <w:tc>
          <w:tcPr>
            <w:tcW w:w="8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39"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3"/>
              <w:spacing w:after="0" w:line="13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46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2,910,111</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6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OTHER NONCASH INVESTING AND FINANCING ACTIVITIES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846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6,966,907</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Noncash increase in right of use asset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w w:val="86"/>
              </w:rPr>
              <w:t>(33,742,287)</w:t>
            </w:r>
          </w:p>
        </w:tc>
        <w:tc>
          <w:tcPr>
            <w:tcW w:w="1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w w:val="95"/>
              </w:rPr>
              <w:t>(22,233,609)</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Noncash increase in lease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3"/>
              </w:rPr>
              <w:t>33,742,287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22,731,855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 xml:space="preserve">Net liability upon adoption of ASC 842, </w:t>
            </w:r>
            <w:r>
              <w:rPr>
                <w:rFonts w:ascii="Arial" w:cs="Arial" w:eastAsia="Arial" w:hAnsi="Arial"/>
                <w:sz w:val="18"/>
                <w:szCs w:val="18"/>
                <w:i w:val="1"/>
                <w:iCs w:val="1"/>
                <w:color w:val="auto"/>
              </w:rPr>
              <w:t>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3"/>
              <w:spacing w:after="0" w:line="205"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(498,246)</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Exercise of put option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4,200,382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Issuance of shares under acquisition agreement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8,967,257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line="205"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Deferred share issuances to prior owners of noncontrolling interest</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4" w:lineRule="exact"/>
              <w:rPr>
                <w:sz w:val="20"/>
                <w:szCs w:val="20"/>
                <w:color w:val="auto"/>
              </w:rPr>
            </w:pPr>
            <w:r>
              <w:rPr>
                <w:rFonts w:ascii="Arial" w:cs="Arial" w:eastAsia="Arial" w:hAnsi="Arial"/>
                <w:sz w:val="18"/>
                <w:szCs w:val="18"/>
                <w:color w:val="auto"/>
              </w:rPr>
              <w:t>400,143</w:t>
            </w:r>
          </w:p>
        </w:tc>
        <w:tc>
          <w:tcPr>
            <w:tcW w:w="120" w:type="dxa"/>
            <w:vAlign w:val="bottom"/>
          </w:tcPr>
          <w:p>
            <w:pPr>
              <w:spacing w:after="0"/>
              <w:rPr>
                <w:sz w:val="17"/>
                <w:szCs w:val="17"/>
                <w:color w:val="auto"/>
              </w:rPr>
            </w:pPr>
          </w:p>
        </w:tc>
        <w:tc>
          <w:tcPr>
            <w:tcW w:w="18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15,280,000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Issuance of shares under business combinations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6,062</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w w:val="87"/>
              </w:rPr>
              <w:t>(164,549,779)</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Acquisitions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8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60" w:type="dxa"/>
            <w:vAlign w:val="bottom"/>
          </w:tcPr>
          <w:p>
            <w:pPr>
              <w:ind w:left="340"/>
              <w:spacing w:after="0"/>
              <w:rPr>
                <w:sz w:val="20"/>
                <w:szCs w:val="20"/>
                <w:color w:val="auto"/>
              </w:rPr>
            </w:pPr>
            <w:r>
              <w:rPr>
                <w:rFonts w:ascii="Arial" w:cs="Arial" w:eastAsia="Arial" w:hAnsi="Arial"/>
                <w:sz w:val="18"/>
                <w:szCs w:val="18"/>
                <w:color w:val="auto"/>
              </w:rPr>
              <w:t>Right of use assets</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Identifiable intangible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6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(2,865,992)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158,664,327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60" w:type="dxa"/>
            <w:vAlign w:val="bottom"/>
          </w:tcPr>
          <w:p>
            <w:pPr>
              <w:ind w:left="340"/>
              <w:spacing w:after="0"/>
              <w:rPr>
                <w:sz w:val="20"/>
                <w:szCs w:val="20"/>
                <w:color w:val="auto"/>
              </w:rPr>
            </w:pPr>
            <w:r>
              <w:rPr>
                <w:rFonts w:ascii="Arial" w:cs="Arial" w:eastAsia="Arial" w:hAnsi="Arial"/>
                <w:sz w:val="18"/>
                <w:szCs w:val="18"/>
                <w:color w:val="auto"/>
              </w:rPr>
              <w:t>Liabilities assumed</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(302,604)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(3,352,704)</w:t>
            </w: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(565,336)</w:t>
            </w:r>
          </w:p>
        </w:tc>
        <w:tc>
          <w:tcPr>
            <w:tcW w:w="0" w:type="dxa"/>
            <w:vAlign w:val="bottom"/>
          </w:tcPr>
          <w:p>
            <w:pPr>
              <w:spacing w:after="0"/>
              <w:rPr>
                <w:sz w:val="1"/>
                <w:szCs w:val="1"/>
                <w:color w:val="auto"/>
              </w:rPr>
            </w:pPr>
          </w:p>
        </w:tc>
      </w:tr>
      <w:tr>
        <w:trPr>
          <w:trHeight w:val="211"/>
        </w:trPr>
        <w:tc>
          <w:tcPr>
            <w:tcW w:w="8460" w:type="dxa"/>
            <w:vAlign w:val="bottom"/>
          </w:tcPr>
          <w:p>
            <w:pPr>
              <w:ind w:left="340"/>
              <w:spacing w:after="0"/>
              <w:rPr>
                <w:sz w:val="20"/>
                <w:szCs w:val="20"/>
                <w:color w:val="auto"/>
              </w:rPr>
            </w:pPr>
            <w:r>
              <w:rPr>
                <w:rFonts w:ascii="Arial" w:cs="Arial" w:eastAsia="Arial" w:hAnsi="Arial"/>
                <w:sz w:val="18"/>
                <w:szCs w:val="18"/>
                <w:color w:val="auto"/>
              </w:rPr>
              <w:t>Contingent liabilities</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(27,079,852)</w:t>
            </w: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share issuances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(15,280,000)</w:t>
            </w:r>
          </w:p>
        </w:tc>
        <w:tc>
          <w:tcPr>
            <w:tcW w:w="0" w:type="dxa"/>
            <w:vAlign w:val="bottom"/>
          </w:tcPr>
          <w:p>
            <w:pPr>
              <w:spacing w:after="0"/>
              <w:rPr>
                <w:sz w:val="1"/>
                <w:szCs w:val="1"/>
                <w:color w:val="auto"/>
              </w:rPr>
            </w:pPr>
          </w:p>
        </w:tc>
      </w:tr>
      <w:tr>
        <w:trPr>
          <w:trHeight w:val="211"/>
        </w:trPr>
        <w:tc>
          <w:tcPr>
            <w:tcW w:w="8460" w:type="dxa"/>
            <w:vAlign w:val="bottom"/>
          </w:tcPr>
          <w:p>
            <w:pPr>
              <w:ind w:left="340"/>
              <w:spacing w:after="0"/>
              <w:rPr>
                <w:sz w:val="20"/>
                <w:szCs w:val="20"/>
                <w:color w:val="auto"/>
              </w:rPr>
            </w:pPr>
            <w:r>
              <w:rPr>
                <w:rFonts w:ascii="Arial" w:cs="Arial" w:eastAsia="Arial" w:hAnsi="Arial"/>
                <w:sz w:val="18"/>
                <w:szCs w:val="18"/>
                <w:color w:val="auto"/>
              </w:rPr>
              <w:t>Equity interests issued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503,389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(164,549,779)</w:t>
            </w: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of note receivable previously issued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(9,012,000)</w:t>
            </w:r>
          </w:p>
        </w:tc>
        <w:tc>
          <w:tcPr>
            <w:tcW w:w="0" w:type="dxa"/>
            <w:vAlign w:val="bottom"/>
          </w:tcPr>
          <w:p>
            <w:pPr>
              <w:spacing w:after="0"/>
              <w:rPr>
                <w:sz w:val="1"/>
                <w:szCs w:val="1"/>
                <w:color w:val="auto"/>
              </w:rPr>
            </w:pPr>
          </w:p>
        </w:tc>
      </w:tr>
      <w:tr>
        <w:trPr>
          <w:trHeight w:val="211"/>
        </w:trPr>
        <w:tc>
          <w:tcPr>
            <w:tcW w:w="8460" w:type="dxa"/>
            <w:vAlign w:val="bottom"/>
          </w:tcPr>
          <w:p>
            <w:pPr>
              <w:ind w:left="340"/>
              <w:spacing w:after="0"/>
              <w:rPr>
                <w:sz w:val="20"/>
                <w:szCs w:val="20"/>
                <w:color w:val="auto"/>
              </w:rPr>
            </w:pPr>
            <w:r>
              <w:rPr>
                <w:rFonts w:ascii="Arial" w:cs="Arial" w:eastAsia="Arial" w:hAnsi="Arial"/>
                <w:sz w:val="18"/>
                <w:szCs w:val="18"/>
                <w:color w:val="auto"/>
              </w:rPr>
              <w:t>Acquisition liability</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(228,813)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(839,825)</w:t>
            </w: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(22,620,000)</w:t>
            </w:r>
          </w:p>
        </w:tc>
        <w:tc>
          <w:tcPr>
            <w:tcW w:w="0" w:type="dxa"/>
            <w:vAlign w:val="bottom"/>
          </w:tcPr>
          <w:p>
            <w:pPr>
              <w:spacing w:after="0"/>
              <w:rPr>
                <w:sz w:val="1"/>
                <w:szCs w:val="1"/>
                <w:color w:val="auto"/>
              </w:rPr>
            </w:pPr>
          </w:p>
        </w:tc>
      </w:tr>
      <w:tr>
        <w:trPr>
          <w:trHeight w:val="217"/>
        </w:trPr>
        <w:tc>
          <w:tcPr>
            <w:tcW w:w="8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12,941,549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6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RECONCILIATION OF CASH, AND CASH EQUIVALENTS AND RESTRICTED CASH</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84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64,613,618</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117,081,967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6,908,336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60" w:type="dxa"/>
            <w:vAlign w:val="bottom"/>
          </w:tcPr>
          <w:p>
            <w:pPr>
              <w:spacing w:after="0"/>
              <w:rPr>
                <w:sz w:val="20"/>
                <w:szCs w:val="20"/>
                <w:color w:val="auto"/>
              </w:rPr>
            </w:pPr>
            <w:r>
              <w:rPr>
                <w:rFonts w:ascii="Arial" w:cs="Arial" w:eastAsia="Arial" w:hAnsi="Arial"/>
                <w:sz w:val="18"/>
                <w:szCs w:val="18"/>
                <w:b w:val="1"/>
                <w:bCs w:val="1"/>
                <w:color w:val="auto"/>
              </w:rPr>
              <w:t>TOTAL CASH, AND CASH EQUIVALENTS AND RESTRICTED 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71,521,954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117,081,967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193040</wp:posOffset>
            </wp:positionV>
            <wp:extent cx="6842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3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20"/>
          </w:cols>
          <w:pgMar w:left="320" w:top="452"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60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17" w:lineRule="exact"/>
        <w:rPr>
          <w:sz w:val="20"/>
          <w:szCs w:val="20"/>
          <w:color w:val="auto"/>
        </w:rPr>
      </w:pPr>
    </w:p>
    <w:p>
      <w:pPr>
        <w:ind w:left="580" w:hanging="343"/>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Overview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22860</wp:posOffset>
            </wp:positionV>
            <wp:extent cx="6842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Description of Business</w:t>
      </w:r>
    </w:p>
    <w:p>
      <w:pPr>
        <w:spacing w:after="0" w:line="110" w:lineRule="exact"/>
        <w:rPr>
          <w:sz w:val="20"/>
          <w:szCs w:val="20"/>
          <w:color w:val="auto"/>
        </w:rPr>
      </w:pPr>
    </w:p>
    <w:p>
      <w:pPr>
        <w:ind w:left="240" w:right="60" w:firstLine="431"/>
        <w:spacing w:after="0" w:line="284" w:lineRule="auto"/>
        <w:rPr>
          <w:sz w:val="20"/>
          <w:szCs w:val="20"/>
          <w:color w:val="auto"/>
        </w:rPr>
      </w:pPr>
      <w:r>
        <w:rPr>
          <w:rFonts w:ascii="Arial" w:cs="Arial" w:eastAsia="Arial" w:hAnsi="Arial"/>
          <w:sz w:val="16"/>
          <w:szCs w:val="16"/>
          <w:color w:val="auto"/>
        </w:rPr>
        <w:t>Green Thumb Industries Inc. (“Green Thumb” or the “Company”) is promoting well-being through the power of cannabis through branded consumer packaged goods and people-first retail experiences, while being committed to community and sustainable profitable growth. Green Thumb owns, manufactures, and distributes a portfolio of cannabis consumer packaged goods brands including Beboe, Dogwalkers, Dr. Solomon’s, incredibles, Rythm and The Feel Collection, primarily to third-party retail stores across the United States as well as to Green Thumb owned retail stores. The Company also owns and operates retail cannabis stores that include a rapidly growing national chain of retail cannabis stores called Rise</w:t>
      </w:r>
      <w:r>
        <w:rPr>
          <w:rFonts w:ascii="Arial" w:cs="Arial" w:eastAsia="Arial" w:hAnsi="Arial"/>
          <w:sz w:val="13"/>
          <w:szCs w:val="13"/>
          <w:color w:val="auto"/>
        </w:rPr>
        <w:t>tm</w:t>
      </w:r>
      <w:r>
        <w:rPr>
          <w:rFonts w:ascii="Arial" w:cs="Arial" w:eastAsia="Arial" w:hAnsi="Arial"/>
          <w:sz w:val="16"/>
          <w:szCs w:val="16"/>
          <w:color w:val="auto"/>
        </w:rPr>
        <w:t xml:space="preserve"> and a Las Vegas, Nevada area chain of retail cannabis stores called Essence. As of March 31, 2020, Green Thumb has operating revenue in twelve markets (California, Colorado, Connecticut, Florida, Illinois, Maryland, Massachusetts, Nevada, New Jersey, New York, Ohio, and Pennsylvania).</w:t>
      </w:r>
    </w:p>
    <w:p>
      <w:pPr>
        <w:spacing w:after="0" w:line="166" w:lineRule="exact"/>
        <w:rPr>
          <w:sz w:val="20"/>
          <w:szCs w:val="20"/>
          <w:color w:val="auto"/>
        </w:rPr>
      </w:pPr>
    </w:p>
    <w:p>
      <w:pPr>
        <w:ind w:left="240" w:right="160"/>
        <w:spacing w:after="0" w:line="251" w:lineRule="auto"/>
        <w:rPr>
          <w:sz w:val="20"/>
          <w:szCs w:val="20"/>
          <w:color w:val="auto"/>
        </w:rPr>
      </w:pPr>
      <w:r>
        <w:rPr>
          <w:rFonts w:ascii="Arial" w:cs="Arial" w:eastAsia="Arial" w:hAnsi="Arial"/>
          <w:sz w:val="18"/>
          <w:szCs w:val="18"/>
          <w:color w:val="auto"/>
        </w:rPr>
        <w:t>On June 12, 2018, the Company completed a reverse takeover transaction (“RTO”) as further described in Note 3 of Green Thumb’s Annual Report on Form 10-K for the year ended December 31, 2019 filed with the SEC on April 15, 2020 (“2019 Form 10-K”). Following the RTO, the Company was listed on the Canadian Securities Exchange (the “CSE”) under ticker symbol “GTII” and on the OTCQX, part of the OTC Markets Group, under the ticker “GTBIF”.</w:t>
      </w:r>
    </w:p>
    <w:p>
      <w:pPr>
        <w:spacing w:after="0" w:line="190" w:lineRule="exact"/>
        <w:rPr>
          <w:sz w:val="20"/>
          <w:szCs w:val="20"/>
          <w:color w:val="auto"/>
        </w:rPr>
      </w:pPr>
    </w:p>
    <w:p>
      <w:pPr>
        <w:ind w:left="240" w:right="280"/>
        <w:spacing w:after="0" w:line="263"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Suite 412, Chicago, IL 60654.</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 Basis of Presentation</w:t>
      </w:r>
    </w:p>
    <w:p>
      <w:pPr>
        <w:spacing w:after="0" w:line="110" w:lineRule="exact"/>
        <w:rPr>
          <w:sz w:val="20"/>
          <w:szCs w:val="20"/>
          <w:color w:val="auto"/>
        </w:rPr>
      </w:pPr>
    </w:p>
    <w:p>
      <w:pPr>
        <w:ind w:left="240" w:firstLine="431"/>
        <w:spacing w:after="0" w:line="301" w:lineRule="auto"/>
        <w:rPr>
          <w:sz w:val="20"/>
          <w:szCs w:val="20"/>
          <w:color w:val="auto"/>
        </w:rPr>
      </w:pPr>
      <w:r>
        <w:rPr>
          <w:rFonts w:ascii="Arial" w:cs="Arial" w:eastAsia="Arial" w:hAnsi="Arial"/>
          <w:sz w:val="15"/>
          <w:szCs w:val="15"/>
          <w:color w:val="auto"/>
        </w:rPr>
        <w:t>The accompanying unaudited condensed consolidated financial statements include the accounts of Green Thumb Industries Inc. and have been prepared in accordance with accounting principles generally accepted in the United States (“GAAP”) for interim financial information and in accordance with the rules and regulations of the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and combined financial statements and accompanying notes included in the 2019 Form 10-K. In the opinion of management, the financial data presented includes all adjustments necessary to present fairly the financial position, results of operations and cash flows for the interim periods presented. Results of interim periods should not be considered indicative of the results for the full year. These unaudited condensed consolidated interim financial statements include estimates and assumptions of management that affect the amounts reported in the unaudited condensed consolidated financial statements. Actual results could differ from these estimates.</w:t>
      </w:r>
    </w:p>
    <w:p>
      <w:pPr>
        <w:spacing w:after="0" w:line="161" w:lineRule="exact"/>
        <w:rPr>
          <w:sz w:val="20"/>
          <w:szCs w:val="20"/>
          <w:color w:val="auto"/>
        </w:rPr>
      </w:pPr>
    </w:p>
    <w:p>
      <w:pPr>
        <w:ind w:left="240" w:right="100" w:firstLine="431"/>
        <w:spacing w:after="0" w:line="263" w:lineRule="auto"/>
        <w:rPr>
          <w:sz w:val="20"/>
          <w:szCs w:val="20"/>
          <w:color w:val="auto"/>
        </w:rPr>
      </w:pPr>
      <w:r>
        <w:rPr>
          <w:rFonts w:ascii="Arial" w:cs="Arial" w:eastAsia="Arial" w:hAnsi="Arial"/>
          <w:sz w:val="18"/>
          <w:szCs w:val="18"/>
          <w:color w:val="auto"/>
        </w:rPr>
        <w:t>The results of operations for the three months ended March 31, 2020 are not necessarily indicative of the results to be expected for the entire year ending December 31, 2020.</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 Significant Accounting Policies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changes to the Company’s significant accounting policies as described in Note 2 of the Company’s 2019 Form 10-K.</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 Loss per Share</w:t>
      </w:r>
    </w:p>
    <w:p>
      <w:pPr>
        <w:spacing w:after="0" w:line="110" w:lineRule="exact"/>
        <w:rPr>
          <w:sz w:val="20"/>
          <w:szCs w:val="20"/>
          <w:color w:val="auto"/>
        </w:rPr>
      </w:pPr>
    </w:p>
    <w:p>
      <w:pPr>
        <w:ind w:left="240" w:right="100" w:firstLine="431"/>
        <w:spacing w:after="0" w:line="305" w:lineRule="auto"/>
        <w:rPr>
          <w:sz w:val="20"/>
          <w:szCs w:val="20"/>
          <w:color w:val="auto"/>
        </w:rPr>
      </w:pPr>
      <w:r>
        <w:rPr>
          <w:rFonts w:ascii="Arial" w:cs="Arial" w:eastAsia="Arial" w:hAnsi="Arial"/>
          <w:sz w:val="15"/>
          <w:szCs w:val="15"/>
          <w:color w:val="auto"/>
        </w:rPr>
        <w:t>Basic loss per share is calculated using the treasury stock method, by dividing the net loss attributable to shareholders by the weighted average number of common shares outstanding during each of the periods presented. Contingently issuable shares (including shares held in escrow) are not considered outstanding common shares and consequently are not included in the loss per share calculations. Diluted loss per share is calculated by adjusting the weighted average number of common shares outstanding to assume conversion of all dilutive potential common shares. The Company has three categories of potentially dilutive common share equivalents: restricted stock units, stock options and warrants. At March 31, 2020, the Company had 5,974,938 options outstanding, 1,477,898 restricted stock units and 2,387,470 warrants outstanding. At March 31, 2019, the Company had 2,411,192 options outstanding, 1,585,000 restricted stock units outstanding and no warrants outstanding.</w:t>
      </w:r>
    </w:p>
    <w:p>
      <w:pPr>
        <w:spacing w:after="0" w:line="156" w:lineRule="exact"/>
        <w:rPr>
          <w:sz w:val="20"/>
          <w:szCs w:val="20"/>
          <w:color w:val="auto"/>
        </w:rPr>
      </w:pPr>
    </w:p>
    <w:p>
      <w:pPr>
        <w:ind w:left="240" w:right="100" w:firstLine="431"/>
        <w:spacing w:after="0" w:line="270" w:lineRule="auto"/>
        <w:rPr>
          <w:sz w:val="20"/>
          <w:szCs w:val="20"/>
          <w:color w:val="auto"/>
        </w:rPr>
      </w:pPr>
      <w:r>
        <w:rPr>
          <w:rFonts w:ascii="Arial" w:cs="Arial" w:eastAsia="Arial" w:hAnsi="Arial"/>
          <w:sz w:val="17"/>
          <w:szCs w:val="17"/>
          <w:color w:val="auto"/>
        </w:rPr>
        <w:t>In order to determine diluted loss per share, it is assumed that any proceeds from the exercise of dilutive stock options would be used to repurchase common shares at the average market price during the period. The diluted loss per share calculation excludes any potential conversion of stock options and convertible debt that would decrease loss per share. As a result, the Company’s calculation of basic loss per share and diluted loss per share include the same number of share equivalents for three months ended March 31, 2020 and 2019.</w:t>
      </w:r>
    </w:p>
    <w:p>
      <w:pPr>
        <w:sectPr>
          <w:pgSz w:w="11900" w:h="16838" w:orient="portrait"/>
          <w:cols w:equalWidth="0" w:num="1">
            <w:col w:w="11020"/>
          </w:cols>
          <w:pgMar w:left="320" w:top="452" w:right="559" w:bottom="1440" w:gutter="0" w:footer="0" w:header="0"/>
        </w:sectPr>
      </w:pPr>
    </w:p>
    <w:bookmarkStart w:id="10" w:name="page11"/>
    <w:bookmarkEnd w:id="10"/>
    <w:p>
      <w:pPr>
        <w:ind w:left="660" w:hanging="233"/>
        <w:spacing w:after="0"/>
        <w:tabs>
          <w:tab w:leader="none" w:pos="66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w:t>
      </w:r>
    </w:p>
    <w:p>
      <w:pPr>
        <w:spacing w:after="0" w:line="123" w:lineRule="exact"/>
        <w:rPr>
          <w:rFonts w:ascii="Arial" w:cs="Arial" w:eastAsia="Arial" w:hAnsi="Arial"/>
          <w:sz w:val="18"/>
          <w:szCs w:val="18"/>
          <w:i w:val="1"/>
          <w:iCs w:val="1"/>
          <w:color w:val="auto"/>
        </w:rPr>
      </w:pPr>
    </w:p>
    <w:p>
      <w:pPr>
        <w:ind w:left="940" w:right="240" w:hanging="521"/>
        <w:spacing w:after="0" w:line="303" w:lineRule="auto"/>
        <w:tabs>
          <w:tab w:leader="none" w:pos="940" w:val="left"/>
        </w:tabs>
        <w:numPr>
          <w:ilvl w:val="1"/>
          <w:numId w:val="5"/>
        </w:numPr>
        <w:rPr>
          <w:rFonts w:ascii="Arial" w:cs="Arial" w:eastAsia="Arial" w:hAnsi="Arial"/>
          <w:sz w:val="15"/>
          <w:szCs w:val="15"/>
          <w:color w:val="auto"/>
        </w:rPr>
      </w:pPr>
      <w:r>
        <w:rPr>
          <w:rFonts w:ascii="Arial" w:cs="Arial" w:eastAsia="Arial" w:hAnsi="Arial"/>
          <w:sz w:val="15"/>
          <w:szCs w:val="15"/>
          <w:color w:val="auto"/>
        </w:rPr>
        <w:t xml:space="preserve">In June 2016, the Financial Accounting Standards Board (“FASB”) issued an Accounting Standards Update (“ASU”) No. 2016-13, </w:t>
      </w:r>
      <w:r>
        <w:rPr>
          <w:rFonts w:ascii="Arial" w:cs="Arial" w:eastAsia="Arial" w:hAnsi="Arial"/>
          <w:sz w:val="15"/>
          <w:szCs w:val="15"/>
          <w:i w:val="1"/>
          <w:iCs w:val="1"/>
          <w:color w:val="auto"/>
        </w:rPr>
        <w:t xml:space="preserve">Financial Instruments - Credit Losses (Topic 326) Measurement of Credit Losses on Financial Instruments </w:t>
      </w:r>
      <w:r>
        <w:rPr>
          <w:rFonts w:ascii="Arial" w:cs="Arial" w:eastAsia="Arial" w:hAnsi="Arial"/>
          <w:sz w:val="15"/>
          <w:szCs w:val="15"/>
          <w:color w:val="auto"/>
        </w:rPr>
        <w:t>(“ASU 2016-13”), which</w:t>
      </w:r>
      <w:r>
        <w:rPr>
          <w:rFonts w:ascii="Arial" w:cs="Arial" w:eastAsia="Arial" w:hAnsi="Arial"/>
          <w:sz w:val="15"/>
          <w:szCs w:val="15"/>
          <w:i w:val="1"/>
          <w:iCs w:val="1"/>
          <w:color w:val="auto"/>
        </w:rPr>
        <w:t xml:space="preserve"> </w:t>
      </w:r>
      <w:r>
        <w:rPr>
          <w:rFonts w:ascii="Arial" w:cs="Arial" w:eastAsia="Arial" w:hAnsi="Arial"/>
          <w:sz w:val="15"/>
          <w:szCs w:val="15"/>
          <w:color w:val="auto"/>
        </w:rPr>
        <w:t>replaces the incurred loss model with a current expected credit loss (“CECL”) model and requires consideration of a broader range of reasonable and supportable information to explain credit loss estimates. This standard applies to financial assets, measured at amortized cost, including loans, held-to-maturity debt securities, net investments in leases and trade accounts receivable. The guidance must be adopted using a modified retrospective transition method through a cumulative-effect adjustment to retained earnings in the period of adoption. The Company adopted ASU 2016-13 on January 1, 2020. The adoption of the standard did not have a material impact on the Company’s unaudited interim condensed consolidated financial statements.</w:t>
      </w:r>
    </w:p>
    <w:p>
      <w:pPr>
        <w:spacing w:after="0" w:line="66" w:lineRule="exact"/>
        <w:rPr>
          <w:rFonts w:ascii="Arial" w:cs="Arial" w:eastAsia="Arial" w:hAnsi="Arial"/>
          <w:sz w:val="15"/>
          <w:szCs w:val="15"/>
          <w:color w:val="auto"/>
        </w:rPr>
      </w:pPr>
    </w:p>
    <w:p>
      <w:pPr>
        <w:ind w:left="940" w:right="20" w:hanging="521"/>
        <w:spacing w:after="0" w:line="247" w:lineRule="auto"/>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January 2017, the FASB issued Accounting Standards Update No. 2017-04 “</w:t>
      </w:r>
      <w:r>
        <w:rPr>
          <w:rFonts w:ascii="Arial" w:cs="Arial" w:eastAsia="Arial" w:hAnsi="Arial"/>
          <w:sz w:val="18"/>
          <w:szCs w:val="18"/>
          <w:i w:val="1"/>
          <w:iCs w:val="1"/>
          <w:color w:val="auto"/>
        </w:rPr>
        <w:t>Intangibles— Goodwill and Other (Topic 350): Simplifying</w:t>
      </w:r>
      <w:r>
        <w:rPr>
          <w:rFonts w:ascii="Arial" w:cs="Arial" w:eastAsia="Arial" w:hAnsi="Arial"/>
          <w:sz w:val="18"/>
          <w:szCs w:val="18"/>
          <w:color w:val="auto"/>
        </w:rPr>
        <w:t xml:space="preserve"> </w:t>
      </w:r>
      <w:r>
        <w:rPr>
          <w:rFonts w:ascii="Arial" w:cs="Arial" w:eastAsia="Arial" w:hAnsi="Arial"/>
          <w:sz w:val="18"/>
          <w:szCs w:val="18"/>
          <w:i w:val="1"/>
          <w:iCs w:val="1"/>
          <w:color w:val="auto"/>
        </w:rPr>
        <w:t>the Test for Goodwill Impairment</w:t>
      </w:r>
      <w:r>
        <w:rPr>
          <w:rFonts w:ascii="Arial" w:cs="Arial" w:eastAsia="Arial" w:hAnsi="Arial"/>
          <w:sz w:val="18"/>
          <w:szCs w:val="18"/>
          <w:color w:val="auto"/>
        </w:rPr>
        <w:t>” (“ASU 2017-04”), which simplifies the accounting for goodwill impairment. ASU 2017-04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 The Company adopted the new standard in the first quarter of 2020. The adoption of the standard did not have a material impact on the Company’s unaudited interim condensed consolidated financial statements.</w:t>
      </w:r>
    </w:p>
    <w:p>
      <w:pPr>
        <w:spacing w:after="0" w:line="105" w:lineRule="exact"/>
        <w:rPr>
          <w:sz w:val="20"/>
          <w:szCs w:val="20"/>
          <w:color w:val="auto"/>
        </w:rPr>
      </w:pPr>
    </w:p>
    <w:p>
      <w:pPr>
        <w:ind w:left="940" w:right="40" w:hanging="527"/>
        <w:spacing w:after="0" w:line="249" w:lineRule="auto"/>
        <w:tabs>
          <w:tab w:leader="none" w:pos="92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iii)</w:t>
      </w:r>
      <w:r>
        <w:rPr>
          <w:rFonts w:ascii="Arial" w:cs="Arial" w:eastAsia="Arial" w:hAnsi="Arial"/>
          <w:sz w:val="18"/>
          <w:szCs w:val="18"/>
          <w:color w:val="auto"/>
        </w:rPr>
        <w:tab/>
        <w:t xml:space="preserve">In August 2018, the FASB issued ASU 2018-13, </w:t>
      </w:r>
      <w:r>
        <w:rPr>
          <w:rFonts w:ascii="Arial" w:cs="Arial" w:eastAsia="Arial" w:hAnsi="Arial"/>
          <w:sz w:val="18"/>
          <w:szCs w:val="18"/>
          <w:i w:val="1"/>
          <w:iCs w:val="1"/>
          <w:color w:val="auto"/>
        </w:rPr>
        <w:t>Disclosure Framework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(Topic 820)</w:t>
      </w:r>
      <w:r>
        <w:rPr>
          <w:rFonts w:ascii="Arial" w:cs="Arial" w:eastAsia="Arial" w:hAnsi="Arial"/>
          <w:sz w:val="18"/>
          <w:szCs w:val="18"/>
          <w:color w:val="auto"/>
        </w:rPr>
        <w:t>. ASU 2018-13 adds, modifies, and removes certain fair value measurement disclosure requirements. ASU 2018-13 is effective for annual and interim periods beginning after December 15, 2019. The Company adopted the new standard in the first quarter of 2020. The adoption of the standard did not have a material impact on the Company’s unaudited interim condensed consolidated financial statements.</w:t>
      </w: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 Coronavirus Pandemic</w:t>
      </w:r>
    </w:p>
    <w:p>
      <w:pPr>
        <w:spacing w:after="0" w:line="110" w:lineRule="exact"/>
        <w:rPr>
          <w:sz w:val="20"/>
          <w:szCs w:val="20"/>
          <w:color w:val="auto"/>
        </w:rPr>
      </w:pPr>
    </w:p>
    <w:p>
      <w:pPr>
        <w:jc w:val="both"/>
        <w:ind w:right="340" w:firstLine="431"/>
        <w:spacing w:after="0" w:line="328" w:lineRule="auto"/>
        <w:rPr>
          <w:sz w:val="20"/>
          <w:szCs w:val="20"/>
          <w:color w:val="auto"/>
        </w:rPr>
      </w:pPr>
      <w:r>
        <w:rPr>
          <w:rFonts w:ascii="Arial" w:cs="Arial" w:eastAsia="Arial" w:hAnsi="Arial"/>
          <w:sz w:val="15"/>
          <w:szCs w:val="15"/>
          <w:color w:val="auto"/>
        </w:rPr>
        <w:t>In March 2020, the World Health Organization categorized coronavirus disease 2019 (“COVID-19”) as a pandemic. COVID-19 continues to spread throughout the U.S. and other countries across the world, and the duration and severity of its effects are currently unknown. The Company is implementing and evaluating actions to strengthen its financial position and support the continuity of its business and operations.</w:t>
      </w:r>
    </w:p>
    <w:p>
      <w:pPr>
        <w:spacing w:after="0" w:line="138" w:lineRule="exact"/>
        <w:rPr>
          <w:sz w:val="20"/>
          <w:szCs w:val="20"/>
          <w:color w:val="auto"/>
        </w:rPr>
      </w:pPr>
    </w:p>
    <w:p>
      <w:pPr>
        <w:ind w:firstLine="431"/>
        <w:spacing w:after="0" w:line="301" w:lineRule="auto"/>
        <w:rPr>
          <w:sz w:val="20"/>
          <w:szCs w:val="20"/>
          <w:color w:val="auto"/>
        </w:rPr>
      </w:pPr>
      <w:r>
        <w:rPr>
          <w:rFonts w:ascii="Arial" w:cs="Arial" w:eastAsia="Arial" w:hAnsi="Arial"/>
          <w:sz w:val="15"/>
          <w:szCs w:val="15"/>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 and intangible assets; operating lease right of use assets and operating lease liabilities; assessment of the annual effective tax rate; valuation of deferred income taxes; the allowance for doubtful accounts; assessment of our lease and non-lease contract expenses; and measurement of compensation cost for bonus and other compensation plans. The Company’s assessment of conditions and events, considered in the aggregate, indicate it will be able to meet its obligations as they become due within one year after the date of these financial statements. There continues to be a high level of uncertainty in estimating the expected economic and operational impacts relative to COVID-19 as it is an evolving situation. The estimates and assumptions used in the first quarter 2020 financial statements may change in future periods as the expected impacts from COVID-19 are revised, resulting in further potential impacts to the Company’s financial statements.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740"/>
          </w:cols>
          <w:pgMar w:left="560" w:top="127" w:right="5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4" w:lineRule="exact"/>
        <w:rPr>
          <w:sz w:val="20"/>
          <w:szCs w:val="20"/>
          <w:color w:val="auto"/>
        </w:rPr>
      </w:pPr>
    </w:p>
    <w:p>
      <w:pPr>
        <w:ind w:left="2840"/>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24" w:lineRule="exact"/>
        <w:rPr>
          <w:sz w:val="20"/>
          <w:szCs w:val="20"/>
          <w:color w:val="auto"/>
        </w:rPr>
      </w:pPr>
    </w:p>
    <w:p>
      <w:pPr>
        <w:ind w:left="580" w:hanging="343"/>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22860</wp:posOffset>
            </wp:positionV>
            <wp:extent cx="68421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inventories include the following at March 31, 2020 and December 31, 2019:</w:t>
      </w:r>
    </w:p>
    <w:p>
      <w:pPr>
        <w:spacing w:after="0" w:line="21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4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jc w:val="right"/>
              <w:ind w:right="21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Borders>
              <w:top w:val="single" w:sz="8" w:color="CCEEFF"/>
            </w:tcBorders>
            <w:gridSpan w:val="6"/>
            <w:shd w:val="clear" w:color="auto" w:fill="CCEEFF"/>
          </w:tcPr>
          <w:p>
            <w:pPr>
              <w:spacing w:after="0" w:line="203" w:lineRule="exact"/>
              <w:rPr>
                <w:sz w:val="20"/>
                <w:szCs w:val="20"/>
                <w:color w:val="auto"/>
              </w:rPr>
            </w:pPr>
            <w:r>
              <w:rPr>
                <w:rFonts w:ascii="Arial" w:cs="Arial" w:eastAsia="Arial" w:hAnsi="Arial"/>
                <w:sz w:val="18"/>
                <w:szCs w:val="18"/>
                <w:color w:val="auto"/>
              </w:rPr>
              <w:t>Raw Material</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4"/>
            <w:shd w:val="clear" w:color="auto" w:fill="CCEEFF"/>
          </w:tcPr>
          <w:p>
            <w:pPr>
              <w:jc w:val="right"/>
              <w:spacing w:after="0" w:line="205" w:lineRule="exact"/>
              <w:rPr>
                <w:sz w:val="20"/>
                <w:szCs w:val="20"/>
                <w:color w:val="auto"/>
              </w:rPr>
            </w:pPr>
            <w:r>
              <w:rPr>
                <w:rFonts w:ascii="Arial" w:cs="Arial" w:eastAsia="Arial" w:hAnsi="Arial"/>
                <w:sz w:val="18"/>
                <w:szCs w:val="18"/>
                <w:color w:val="auto"/>
                <w:w w:val="90"/>
              </w:rPr>
              <w:t>$ 3,658,076</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4"/>
            <w:shd w:val="clear" w:color="auto" w:fill="CCEEFF"/>
          </w:tcPr>
          <w:p>
            <w:pPr>
              <w:jc w:val="right"/>
              <w:spacing w:after="0" w:line="205" w:lineRule="exact"/>
              <w:rPr>
                <w:sz w:val="20"/>
                <w:szCs w:val="20"/>
                <w:color w:val="auto"/>
              </w:rPr>
            </w:pPr>
            <w:r>
              <w:rPr>
                <w:rFonts w:ascii="Arial" w:cs="Arial" w:eastAsia="Arial" w:hAnsi="Arial"/>
                <w:sz w:val="18"/>
                <w:szCs w:val="18"/>
                <w:color w:val="auto"/>
                <w:w w:val="90"/>
              </w:rPr>
              <w:t>$ 6,375,032</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Arial" w:cs="Arial" w:eastAsia="Arial" w:hAnsi="Arial"/>
                <w:sz w:val="18"/>
                <w:szCs w:val="18"/>
                <w:color w:val="auto"/>
              </w:rPr>
              <w:t>Packaging and Miscellaneous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5,550,391</w:t>
            </w:r>
          </w:p>
        </w:tc>
        <w:tc>
          <w:tcPr>
            <w:tcW w:w="4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4,887,970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22,945,070</w:t>
            </w: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20,162,723</w:t>
            </w:r>
          </w:p>
        </w:tc>
        <w:tc>
          <w:tcPr>
            <w:tcW w:w="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6"/>
          </w:tcPr>
          <w:p>
            <w:pPr>
              <w:spacing w:after="0"/>
              <w:rPr>
                <w:sz w:val="20"/>
                <w:szCs w:val="20"/>
                <w:color w:val="auto"/>
              </w:rPr>
            </w:pPr>
            <w:r>
              <w:rPr>
                <w:rFonts w:ascii="Arial" w:cs="Arial" w:eastAsia="Arial" w:hAnsi="Arial"/>
                <w:sz w:val="18"/>
                <w:szCs w:val="18"/>
                <w:color w:val="auto"/>
              </w:rPr>
              <w:t>Finished Goods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19,654,279</w:t>
            </w:r>
          </w:p>
        </w:tc>
        <w:tc>
          <w:tcPr>
            <w:tcW w:w="4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16,640,629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(1,637,548)</w:t>
            </w:r>
          </w:p>
        </w:tc>
        <w:tc>
          <w:tcPr>
            <w:tcW w:w="12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(2,031,873)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20" w:type="dxa"/>
            <w:vAlign w:val="bottom"/>
            <w:gridSpan w:val="7"/>
          </w:tcPr>
          <w:p>
            <w:pPr>
              <w:ind w:left="220"/>
              <w:spacing w:after="0"/>
              <w:rPr>
                <w:sz w:val="20"/>
                <w:szCs w:val="20"/>
                <w:color w:val="auto"/>
              </w:rPr>
            </w:pPr>
            <w:r>
              <w:rPr>
                <w:rFonts w:ascii="Arial" w:cs="Arial" w:eastAsia="Arial" w:hAnsi="Arial"/>
                <w:sz w:val="18"/>
                <w:szCs w:val="18"/>
                <w:b w:val="1"/>
                <w:bCs w:val="1"/>
                <w:color w:val="auto"/>
              </w:rPr>
              <w:t>Total Inventories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50,170,268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46,034,481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3.  PROPERTY AND EQUIPMENT</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900" w:type="dxa"/>
            <w:vAlign w:val="bottom"/>
            <w:tcBorders>
              <w:bottom w:val="single" w:sz="8" w:color="auto"/>
            </w:tcBorders>
            <w:gridSpan w:val="10"/>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760" w:type="dxa"/>
            <w:vAlign w:val="bottom"/>
            <w:gridSpan w:val="19"/>
          </w:tcPr>
          <w:p>
            <w:pPr>
              <w:spacing w:after="0"/>
              <w:rPr>
                <w:sz w:val="20"/>
                <w:szCs w:val="20"/>
                <w:color w:val="auto"/>
              </w:rPr>
            </w:pPr>
            <w:r>
              <w:rPr>
                <w:rFonts w:ascii="Arial" w:cs="Arial" w:eastAsia="Arial" w:hAnsi="Arial"/>
                <w:sz w:val="18"/>
                <w:szCs w:val="18"/>
                <w:color w:val="auto"/>
              </w:rPr>
              <w:t>At March 31, 2020, property and equipment consisted of the following:</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Computer</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Production</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2"/>
              <w:spacing w:after="0" w:line="145" w:lineRule="exact"/>
              <w:rPr>
                <w:sz w:val="20"/>
                <w:szCs w:val="20"/>
                <w:color w:val="auto"/>
              </w:rPr>
            </w:pPr>
            <w:r>
              <w:rPr>
                <w:rFonts w:ascii="Arial" w:cs="Arial" w:eastAsia="Arial" w:hAnsi="Arial"/>
                <w:sz w:val="14"/>
                <w:szCs w:val="14"/>
                <w:color w:val="auto"/>
              </w:rPr>
              <w:t>Equipment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center"/>
              <w:ind w:right="440"/>
              <w:spacing w:after="0" w:line="145" w:lineRule="exact"/>
              <w:rPr>
                <w:sz w:val="20"/>
                <w:szCs w:val="20"/>
                <w:color w:val="auto"/>
              </w:rPr>
            </w:pPr>
            <w:r>
              <w:rPr>
                <w:rFonts w:ascii="Arial" w:cs="Arial" w:eastAsia="Arial" w:hAnsi="Arial"/>
                <w:sz w:val="14"/>
                <w:szCs w:val="14"/>
                <w:color w:val="auto"/>
                <w:w w:val="94"/>
              </w:rPr>
              <w:t>and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jc w:val="center"/>
              <w:ind w:right="200"/>
              <w:spacing w:after="0" w:line="145" w:lineRule="exact"/>
              <w:rPr>
                <w:sz w:val="20"/>
                <w:szCs w:val="20"/>
                <w:color w:val="auto"/>
              </w:rPr>
            </w:pPr>
            <w:r>
              <w:rPr>
                <w:rFonts w:ascii="Arial" w:cs="Arial" w:eastAsia="Arial" w:hAnsi="Arial"/>
                <w:sz w:val="14"/>
                <w:szCs w:val="14"/>
                <w:color w:val="auto"/>
                <w:w w:val="85"/>
              </w:rPr>
              <w:t>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60"/>
              <w:spacing w:after="0" w:line="145" w:lineRule="exact"/>
              <w:rPr>
                <w:sz w:val="20"/>
                <w:szCs w:val="20"/>
                <w:color w:val="auto"/>
              </w:rPr>
            </w:pPr>
            <w:r>
              <w:rPr>
                <w:rFonts w:ascii="Arial" w:cs="Arial" w:eastAsia="Arial" w:hAnsi="Arial"/>
                <w:sz w:val="14"/>
                <w:szCs w:val="14"/>
                <w:color w:val="auto"/>
                <w:w w:val="95"/>
              </w:rPr>
              <w:t>Buildings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3"/>
              <w:spacing w:after="0" w:line="145" w:lineRule="exact"/>
              <w:rPr>
                <w:sz w:val="20"/>
                <w:szCs w:val="20"/>
                <w:color w:val="auto"/>
              </w:rPr>
            </w:pPr>
            <w:r>
              <w:rPr>
                <w:rFonts w:ascii="Arial" w:cs="Arial" w:eastAsia="Arial" w:hAnsi="Arial"/>
                <w:sz w:val="14"/>
                <w:szCs w:val="14"/>
                <w:color w:val="auto"/>
                <w:w w:val="96"/>
              </w:rPr>
              <w:t>Furniture</w:t>
            </w:r>
          </w:p>
        </w:tc>
        <w:tc>
          <w:tcPr>
            <w:tcW w:w="1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94"/>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73"/>
              <w:spacing w:after="0" w:line="145" w:lineRule="exact"/>
              <w:rPr>
                <w:sz w:val="20"/>
                <w:szCs w:val="20"/>
                <w:color w:val="auto"/>
              </w:rPr>
            </w:pPr>
            <w:r>
              <w:rPr>
                <w:rFonts w:ascii="Arial" w:cs="Arial" w:eastAsia="Arial" w:hAnsi="Arial"/>
                <w:sz w:val="14"/>
                <w:szCs w:val="14"/>
                <w:color w:val="auto"/>
                <w:w w:val="99"/>
              </w:rPr>
              <w:t>Leasehold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20"/>
              <w:spacing w:after="0" w:line="145" w:lineRule="exact"/>
              <w:rPr>
                <w:sz w:val="20"/>
                <w:szCs w:val="20"/>
                <w:color w:val="auto"/>
              </w:rPr>
            </w:pPr>
            <w:r>
              <w:rPr>
                <w:rFonts w:ascii="Arial" w:cs="Arial" w:eastAsia="Arial" w:hAnsi="Arial"/>
                <w:sz w:val="14"/>
                <w:szCs w:val="14"/>
                <w:color w:val="auto"/>
                <w:w w:val="89"/>
              </w:rPr>
              <w:t>Processing</w:t>
            </w:r>
          </w:p>
        </w:tc>
        <w:tc>
          <w:tcPr>
            <w:tcW w:w="60" w:type="dxa"/>
            <w:vAlign w:val="bottom"/>
          </w:tcPr>
          <w:p>
            <w:pPr>
              <w:spacing w:after="0"/>
              <w:rPr>
                <w:sz w:val="12"/>
                <w:szCs w:val="12"/>
                <w:color w:val="auto"/>
              </w:rPr>
            </w:pPr>
          </w:p>
        </w:tc>
        <w:tc>
          <w:tcPr>
            <w:tcW w:w="800" w:type="dxa"/>
            <w:vAlign w:val="bottom"/>
            <w:gridSpan w:val="4"/>
          </w:tcPr>
          <w:p>
            <w:pPr>
              <w:jc w:val="right"/>
              <w:spacing w:after="0" w:line="145" w:lineRule="exact"/>
              <w:rPr>
                <w:sz w:val="20"/>
                <w:szCs w:val="20"/>
                <w:color w:val="auto"/>
              </w:rPr>
            </w:pPr>
            <w:r>
              <w:rPr>
                <w:rFonts w:ascii="Arial" w:cs="Arial" w:eastAsia="Arial" w:hAnsi="Arial"/>
                <w:sz w:val="14"/>
                <w:szCs w:val="14"/>
                <w:color w:val="auto"/>
              </w:rPr>
              <w:t>Capitalized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jc w:val="center"/>
              <w:ind w:right="200"/>
              <w:spacing w:after="0" w:line="145" w:lineRule="exact"/>
              <w:rPr>
                <w:sz w:val="20"/>
                <w:szCs w:val="20"/>
                <w:color w:val="auto"/>
              </w:rPr>
            </w:pPr>
            <w:r>
              <w:rPr>
                <w:rFonts w:ascii="Arial" w:cs="Arial" w:eastAsia="Arial" w:hAnsi="Arial"/>
                <w:sz w:val="14"/>
                <w:szCs w:val="14"/>
                <w:color w:val="auto"/>
                <w:w w:val="94"/>
              </w:rPr>
              <w:t>Under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Land</w:t>
            </w:r>
          </w:p>
        </w:tc>
        <w:tc>
          <w:tcPr>
            <w:tcW w:w="6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w w:val="92"/>
              </w:rPr>
              <w:t>Improvements</w:t>
            </w: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w w:val="96"/>
              </w:rPr>
              <w:t>and Fixtures</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Software</w:t>
            </w:r>
          </w:p>
        </w:tc>
        <w:tc>
          <w:tcPr>
            <w:tcW w:w="1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w w:val="92"/>
              </w:rPr>
              <w:t>Improvements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Equipment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3"/>
          </w:tcPr>
          <w:p>
            <w:pPr>
              <w:jc w:val="right"/>
              <w:ind w:right="115"/>
              <w:spacing w:after="0"/>
              <w:rPr>
                <w:sz w:val="20"/>
                <w:szCs w:val="20"/>
                <w:color w:val="auto"/>
              </w:rPr>
            </w:pPr>
            <w:r>
              <w:rPr>
                <w:rFonts w:ascii="Arial" w:cs="Arial" w:eastAsia="Arial" w:hAnsi="Arial"/>
                <w:sz w:val="14"/>
                <w:szCs w:val="14"/>
                <w:color w:val="auto"/>
                <w:w w:val="85"/>
              </w:rPr>
              <w:t>Interest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200"/>
              <w:spacing w:after="0"/>
              <w:rPr>
                <w:sz w:val="20"/>
                <w:szCs w:val="20"/>
                <w:color w:val="auto"/>
              </w:rPr>
            </w:pPr>
            <w:r>
              <w:rPr>
                <w:rFonts w:ascii="Arial" w:cs="Arial" w:eastAsia="Arial" w:hAnsi="Arial"/>
                <w:sz w:val="14"/>
                <w:szCs w:val="14"/>
                <w:color w:val="auto"/>
                <w:w w:val="91"/>
              </w:rPr>
              <w:t>Construction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2"/>
        </w:trPr>
        <w:tc>
          <w:tcPr>
            <w:tcW w:w="20" w:type="dxa"/>
            <w:vAlign w:val="bottom"/>
            <w:tcBorders>
              <w:bottom w:val="single" w:sz="8" w:color="auto"/>
            </w:tcBorders>
          </w:tcPr>
          <w:p>
            <w:pPr>
              <w:spacing w:after="0"/>
              <w:rPr>
                <w:sz w:val="14"/>
                <w:szCs w:val="14"/>
                <w:color w:val="auto"/>
              </w:rPr>
            </w:pPr>
          </w:p>
        </w:tc>
        <w:tc>
          <w:tcPr>
            <w:tcW w:w="300" w:type="dxa"/>
            <w:vAlign w:val="bottom"/>
            <w:tcBorders>
              <w:top w:val="single" w:sz="8" w:color="CCEEFF"/>
              <w:bottom w:val="single" w:sz="8" w:color="auto"/>
            </w:tcBorders>
            <w:shd w:val="clear" w:color="auto" w:fill="CCEEFF"/>
          </w:tcPr>
          <w:p>
            <w:pPr>
              <w:spacing w:after="0" w:line="152" w:lineRule="exact"/>
              <w:rPr>
                <w:sz w:val="20"/>
                <w:szCs w:val="20"/>
                <w:color w:val="auto"/>
              </w:rPr>
            </w:pPr>
            <w:r>
              <w:rPr>
                <w:rFonts w:ascii="Arial" w:cs="Arial" w:eastAsia="Arial" w:hAnsi="Arial"/>
                <w:sz w:val="17"/>
                <w:szCs w:val="17"/>
                <w:color w:val="auto"/>
                <w:w w:val="79"/>
              </w:rPr>
              <w:t>Cost</w:t>
            </w:r>
          </w:p>
        </w:tc>
        <w:tc>
          <w:tcPr>
            <w:tcW w:w="162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5"/>
          </w:tcPr>
          <w:p>
            <w:pPr>
              <w:spacing w:after="0"/>
              <w:rPr>
                <w:sz w:val="20"/>
                <w:szCs w:val="20"/>
                <w:color w:val="auto"/>
              </w:rPr>
            </w:pPr>
            <w:r>
              <w:rPr>
                <w:rFonts w:ascii="Arial" w:cs="Arial" w:eastAsia="Arial" w:hAnsi="Arial"/>
                <w:sz w:val="18"/>
                <w:szCs w:val="18"/>
                <w:color w:val="auto"/>
              </w:rPr>
              <w:t>As at January 1, 2020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3,272,439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33,377,471</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2,509,918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$7,073,807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68,681,497</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w w:val="99"/>
              </w:rPr>
              <w:t>$25,926,146</w:t>
            </w:r>
          </w:p>
        </w:tc>
        <w:tc>
          <w:tcPr>
            <w:tcW w:w="10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w w:val="93"/>
              </w:rPr>
              <w:t>$2,500,000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21,372,116</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164,713,394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Transfers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21,800,000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1,852,000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(5,887,000)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8"/>
              </w:rPr>
              <w:t>(18,439,000)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5"/>
          </w:tcPr>
          <w:p>
            <w:pPr>
              <w:spacing w:after="0"/>
              <w:rPr>
                <w:sz w:val="20"/>
                <w:szCs w:val="20"/>
                <w:color w:val="auto"/>
              </w:rPr>
            </w:pPr>
            <w:r>
              <w:rPr>
                <w:rFonts w:ascii="Arial" w:cs="Arial" w:eastAsia="Arial" w:hAnsi="Arial"/>
                <w:sz w:val="18"/>
                <w:szCs w:val="18"/>
                <w:color w:val="auto"/>
              </w:rPr>
              <w:t>Additions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356,935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68,229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934,802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382,276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242,976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18,304,708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20,328,475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Disposals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(205,000)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(5,337,930)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7"/>
              </w:rPr>
              <w:t>(6,508,636)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(12,051,566)</w:t>
            </w:r>
          </w:p>
        </w:tc>
        <w:tc>
          <w:tcPr>
            <w:tcW w:w="0" w:type="dxa"/>
            <w:vAlign w:val="bottom"/>
          </w:tcPr>
          <w:p>
            <w:pPr>
              <w:spacing w:after="0"/>
              <w:rPr>
                <w:sz w:val="1"/>
                <w:szCs w:val="1"/>
                <w:color w:val="auto"/>
              </w:rPr>
            </w:pPr>
          </w:p>
        </w:tc>
      </w:tr>
      <w:tr>
        <w:trPr>
          <w:trHeight w:val="20"/>
        </w:trPr>
        <w:tc>
          <w:tcPr>
            <w:tcW w:w="1940" w:type="dxa"/>
            <w:vAlign w:val="bottom"/>
            <w:gridSpan w:val="6"/>
            <w:vMerge w:val="restart"/>
          </w:tcPr>
          <w:p>
            <w:pPr>
              <w:spacing w:after="0"/>
              <w:rPr>
                <w:sz w:val="20"/>
                <w:szCs w:val="20"/>
                <w:color w:val="auto"/>
              </w:rPr>
            </w:pPr>
            <w:r>
              <w:rPr>
                <w:rFonts w:ascii="Arial" w:cs="Arial" w:eastAsia="Arial" w:hAnsi="Arial"/>
                <w:sz w:val="18"/>
                <w:szCs w:val="18"/>
                <w:color w:val="auto"/>
              </w:rPr>
              <w:t>As at March 31, 2020</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940" w:type="dxa"/>
            <w:vAlign w:val="bottom"/>
            <w:gridSpan w:val="6"/>
            <w:vMerge w:val="continue"/>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3,067,439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49,878,090</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3,540,853</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7,142,036</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71,468,299</w:t>
            </w:r>
          </w:p>
        </w:tc>
        <w:tc>
          <w:tcPr>
            <w:tcW w:w="10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20,421,422</w:t>
            </w:r>
          </w:p>
        </w:tc>
        <w:tc>
          <w:tcPr>
            <w:tcW w:w="10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2,742,976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14,729,188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172,990,303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shd w:val="clear" w:color="auto" w:fill="CCEEFF"/>
          </w:tcPr>
          <w:p>
            <w:pPr>
              <w:spacing w:after="0" w:line="165" w:lineRule="exact"/>
              <w:rPr>
                <w:sz w:val="20"/>
                <w:szCs w:val="20"/>
                <w:color w:val="auto"/>
              </w:rPr>
            </w:pPr>
            <w:r>
              <w:rPr>
                <w:rFonts w:ascii="Arial" w:cs="Arial" w:eastAsia="Arial" w:hAnsi="Arial"/>
                <w:sz w:val="18"/>
                <w:szCs w:val="18"/>
                <w:color w:val="auto"/>
                <w:w w:val="90"/>
              </w:rPr>
              <w:t>Accumulated Depreciation</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As at January 1, 2020</w:t>
            </w: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7"/>
              </w:rPr>
              <w:t>2,236,254</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617,016</w:t>
            </w:r>
          </w:p>
        </w:tc>
        <w:tc>
          <w:tcPr>
            <w:tcW w:w="9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$1,558,180</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7"/>
              </w:rPr>
              <w:t>2,998,287</w:t>
            </w:r>
          </w:p>
        </w:tc>
        <w:tc>
          <w:tcPr>
            <w:tcW w:w="2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4"/>
              </w:rPr>
              <w:t>1,706,982</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15"/>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9,116,719</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1,507,456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1,111,192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3,787,005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5"/>
          </w:tcPr>
          <w:p>
            <w:pPr>
              <w:spacing w:after="0"/>
              <w:rPr>
                <w:sz w:val="20"/>
                <w:szCs w:val="20"/>
                <w:color w:val="auto"/>
              </w:rPr>
            </w:pPr>
            <w:r>
              <w:rPr>
                <w:rFonts w:ascii="Arial" w:cs="Arial" w:eastAsia="Arial" w:hAnsi="Arial"/>
                <w:sz w:val="18"/>
                <w:szCs w:val="18"/>
                <w:color w:val="auto"/>
              </w:rPr>
              <w:t>Disposals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(376,677)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jc w:val="right"/>
              <w:ind w:right="15"/>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(376,677)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1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 at March 31, 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2,382,553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1,874,241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4,505,743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2,818,174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12,527,047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spacing w:after="0" w:line="205" w:lineRule="exact"/>
              <w:rPr>
                <w:sz w:val="20"/>
                <w:szCs w:val="20"/>
                <w:color w:val="auto"/>
              </w:rPr>
            </w:pPr>
            <w:r>
              <w:rPr>
                <w:rFonts w:ascii="Arial" w:cs="Arial" w:eastAsia="Arial" w:hAnsi="Arial"/>
                <w:sz w:val="18"/>
                <w:szCs w:val="18"/>
                <w:color w:val="auto"/>
                <w:w w:val="88"/>
              </w:rPr>
              <w:t>Net book value</w:t>
            </w:r>
          </w:p>
        </w:tc>
        <w:tc>
          <w:tcPr>
            <w:tcW w:w="860" w:type="dxa"/>
            <w:vAlign w:val="bottom"/>
            <w:gridSpan w:val="3"/>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Borders>
              <w:bottom w:val="single" w:sz="8" w:color="auto"/>
            </w:tcBorders>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 at January 1, 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3,272,439</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31,141,217</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1,892,902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$5,515,627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65,683,210</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$24,219,164</w:t>
            </w:r>
          </w:p>
        </w:tc>
        <w:tc>
          <w:tcPr>
            <w:tcW w:w="100" w:type="dxa"/>
            <w:vAlign w:val="bottom"/>
            <w:shd w:val="clear" w:color="auto" w:fill="CCEEFF"/>
          </w:tcPr>
          <w:p>
            <w:pPr>
              <w:spacing w:after="0"/>
              <w:rPr>
                <w:sz w:val="20"/>
                <w:szCs w:val="20"/>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3"/>
              </w:rPr>
              <w:t>$2,500,000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21,372,116</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155,596,675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gridSpan w:val="5"/>
          </w:tcPr>
          <w:p>
            <w:pPr>
              <w:spacing w:after="0"/>
              <w:rPr>
                <w:sz w:val="20"/>
                <w:szCs w:val="20"/>
                <w:color w:val="auto"/>
              </w:rPr>
            </w:pPr>
            <w:r>
              <w:rPr>
                <w:rFonts w:ascii="Arial" w:cs="Arial" w:eastAsia="Arial" w:hAnsi="Arial"/>
                <w:sz w:val="18"/>
                <w:szCs w:val="18"/>
                <w:color w:val="auto"/>
              </w:rPr>
              <w:t>As at March 31, 2020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3,067,439</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47,495,537</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2,683,416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$5,267,795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66,962,556</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w w:val="99"/>
              </w:rPr>
              <w:t>$17,603,248</w:t>
            </w:r>
          </w:p>
        </w:tc>
        <w:tc>
          <w:tcPr>
            <w:tcW w:w="10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w w:val="93"/>
              </w:rPr>
              <w:t>$2,654,077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14,729,188</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160,463,256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December 31, 2019, property and equipment consisted of the following:</w:t>
      </w:r>
    </w:p>
    <w:p>
      <w:pPr>
        <w:spacing w:after="0" w:line="22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Production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35"/>
              <w:spacing w:after="0" w:line="145" w:lineRule="exact"/>
              <w:rPr>
                <w:sz w:val="20"/>
                <w:szCs w:val="20"/>
                <w:color w:val="auto"/>
              </w:rPr>
            </w:pPr>
            <w:r>
              <w:rPr>
                <w:rFonts w:ascii="Arial" w:cs="Arial" w:eastAsia="Arial" w:hAnsi="Arial"/>
                <w:sz w:val="14"/>
                <w:szCs w:val="14"/>
                <w:color w:val="auto"/>
                <w:w w:val="94"/>
              </w:rPr>
              <w:t>Computer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94"/>
              </w:rPr>
              <w:t>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85"/>
              </w:rPr>
              <w:t>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right"/>
              <w:ind w:right="180"/>
              <w:spacing w:after="0" w:line="145" w:lineRule="exact"/>
              <w:rPr>
                <w:sz w:val="20"/>
                <w:szCs w:val="20"/>
                <w:color w:val="auto"/>
              </w:rPr>
            </w:pPr>
            <w:r>
              <w:rPr>
                <w:rFonts w:ascii="Arial" w:cs="Arial" w:eastAsia="Arial" w:hAnsi="Arial"/>
                <w:sz w:val="14"/>
                <w:szCs w:val="14"/>
                <w:color w:val="auto"/>
                <w:w w:val="99"/>
              </w:rPr>
              <w:t>Buildings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3"/>
              <w:spacing w:after="0" w:line="145" w:lineRule="exact"/>
              <w:rPr>
                <w:sz w:val="20"/>
                <w:szCs w:val="20"/>
                <w:color w:val="auto"/>
              </w:rPr>
            </w:pPr>
            <w:r>
              <w:rPr>
                <w:rFonts w:ascii="Arial" w:cs="Arial" w:eastAsia="Arial" w:hAnsi="Arial"/>
                <w:sz w:val="14"/>
                <w:szCs w:val="14"/>
                <w:color w:val="auto"/>
                <w:w w:val="96"/>
              </w:rPr>
              <w:t>Furniture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5"/>
              <w:spacing w:after="0" w:line="145" w:lineRule="exact"/>
              <w:rPr>
                <w:sz w:val="20"/>
                <w:szCs w:val="20"/>
                <w:color w:val="auto"/>
              </w:rPr>
            </w:pPr>
            <w:r>
              <w:rPr>
                <w:rFonts w:ascii="Arial" w:cs="Arial" w:eastAsia="Arial" w:hAnsi="Arial"/>
                <w:sz w:val="14"/>
                <w:szCs w:val="14"/>
                <w:color w:val="auto"/>
                <w:w w:val="89"/>
              </w:rPr>
              <w:t>Equipment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73"/>
              <w:spacing w:after="0" w:line="145" w:lineRule="exact"/>
              <w:rPr>
                <w:sz w:val="20"/>
                <w:szCs w:val="20"/>
                <w:color w:val="auto"/>
              </w:rPr>
            </w:pPr>
            <w:r>
              <w:rPr>
                <w:rFonts w:ascii="Arial" w:cs="Arial" w:eastAsia="Arial" w:hAnsi="Arial"/>
                <w:sz w:val="14"/>
                <w:szCs w:val="14"/>
                <w:color w:val="auto"/>
                <w:w w:val="95"/>
              </w:rPr>
              <w:t>Leasehold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89"/>
              </w:rPr>
              <w:t>Processing</w:t>
            </w:r>
          </w:p>
        </w:tc>
        <w:tc>
          <w:tcPr>
            <w:tcW w:w="60" w:type="dxa"/>
            <w:vAlign w:val="bottom"/>
          </w:tcPr>
          <w:p>
            <w:pPr>
              <w:spacing w:after="0"/>
              <w:rPr>
                <w:sz w:val="12"/>
                <w:szCs w:val="12"/>
                <w:color w:val="auto"/>
              </w:rPr>
            </w:pPr>
          </w:p>
        </w:tc>
        <w:tc>
          <w:tcPr>
            <w:tcW w:w="80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Capitalized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94"/>
              </w:rPr>
              <w:t>Under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Land</w:t>
            </w:r>
          </w:p>
        </w:tc>
        <w:tc>
          <w:tcPr>
            <w:tcW w:w="6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w w:val="94"/>
              </w:rPr>
              <w:t>Improvements</w:t>
            </w: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w w:val="93"/>
              </w:rPr>
              <w:t>and Fixtures</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w w:val="89"/>
              </w:rPr>
              <w:t>and Software</w:t>
            </w:r>
          </w:p>
        </w:tc>
        <w:tc>
          <w:tcPr>
            <w:tcW w:w="1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w w:val="92"/>
              </w:rPr>
              <w:t>Improvements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Equipment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Construction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2"/>
        </w:trPr>
        <w:tc>
          <w:tcPr>
            <w:tcW w:w="20" w:type="dxa"/>
            <w:vAlign w:val="bottom"/>
            <w:tcBorders>
              <w:bottom w:val="single" w:sz="8" w:color="auto"/>
            </w:tcBorders>
          </w:tcPr>
          <w:p>
            <w:pPr>
              <w:spacing w:after="0"/>
              <w:rPr>
                <w:sz w:val="14"/>
                <w:szCs w:val="14"/>
                <w:color w:val="auto"/>
              </w:rPr>
            </w:pPr>
          </w:p>
        </w:tc>
        <w:tc>
          <w:tcPr>
            <w:tcW w:w="300" w:type="dxa"/>
            <w:vAlign w:val="bottom"/>
            <w:tcBorders>
              <w:top w:val="single" w:sz="8" w:color="CCEEFF"/>
              <w:bottom w:val="single" w:sz="8" w:color="auto"/>
            </w:tcBorders>
            <w:shd w:val="clear" w:color="auto" w:fill="CCEEFF"/>
          </w:tcPr>
          <w:p>
            <w:pPr>
              <w:spacing w:after="0" w:line="152" w:lineRule="exact"/>
              <w:rPr>
                <w:sz w:val="20"/>
                <w:szCs w:val="20"/>
                <w:color w:val="auto"/>
              </w:rPr>
            </w:pPr>
            <w:r>
              <w:rPr>
                <w:rFonts w:ascii="Arial" w:cs="Arial" w:eastAsia="Arial" w:hAnsi="Arial"/>
                <w:sz w:val="17"/>
                <w:szCs w:val="17"/>
                <w:color w:val="auto"/>
                <w:w w:val="79"/>
              </w:rPr>
              <w:t>Cost</w:t>
            </w:r>
          </w:p>
        </w:tc>
        <w:tc>
          <w:tcPr>
            <w:tcW w:w="16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2,243,085</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20,861,988</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2,328,847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2,093,205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18,435,893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6,579,446</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16,664,958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69,207,422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9,400,171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13,981,780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4,075,642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(28,533,698)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3,500,974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18,817,329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4,667,127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24,020,898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14,147,722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w w:val="84"/>
              </w:rPr>
              <w:t>2,500,000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33,211,782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3"/>
              </w:rPr>
              <w:t>100,900,501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20" w:type="dxa"/>
            <w:vAlign w:val="bottom"/>
            <w:gridSpan w:val="4"/>
            <w:shd w:val="clear" w:color="auto" w:fill="CCEEFF"/>
          </w:tcPr>
          <w:p>
            <w:pPr>
              <w:spacing w:after="0" w:line="199" w:lineRule="exact"/>
              <w:rPr>
                <w:sz w:val="20"/>
                <w:szCs w:val="20"/>
                <w:color w:val="auto"/>
              </w:rPr>
            </w:pPr>
            <w:r>
              <w:rPr>
                <w:rFonts w:ascii="Arial" w:cs="Arial" w:eastAsia="Arial" w:hAnsi="Arial"/>
                <w:sz w:val="18"/>
                <w:szCs w:val="18"/>
                <w:color w:val="auto"/>
              </w:rPr>
              <w:t>Additions from</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106,235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169,593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12,242,926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3,977,534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16,525,362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4"/>
          </w:tcPr>
          <w:p>
            <w:pPr>
              <w:spacing w:after="0"/>
              <w:rPr>
                <w:sz w:val="20"/>
                <w:szCs w:val="20"/>
                <w:color w:val="auto"/>
              </w:rPr>
            </w:pPr>
            <w:r>
              <w:rPr>
                <w:rFonts w:ascii="Arial" w:cs="Arial" w:eastAsia="Arial" w:hAnsi="Arial"/>
                <w:sz w:val="18"/>
                <w:szCs w:val="18"/>
                <w:color w:val="auto"/>
              </w:rPr>
              <w:t>Disposals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(3,363,676)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(15,702,017)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(2,854,198)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7"/>
              </w:rPr>
              <w:t>(21,919,891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19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As at December 31, 2019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shd w:val="clear" w:color="auto" w:fill="CCEEFF"/>
              </w:rPr>
              <w:t>3,272,439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33,377,471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shd w:val="clear" w:color="auto" w:fill="CCEEFF"/>
              </w:rPr>
              <w:t>2,509,918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7,073,807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shd w:val="clear" w:color="auto" w:fill="CCEEFF"/>
              </w:rPr>
              <w:t>68,681,497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shd w:val="clear" w:color="auto" w:fill="CCEEFF"/>
              </w:rPr>
              <w:t>25,926,146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shd w:val="clear" w:color="auto" w:fill="CCEEFF"/>
              </w:rPr>
              <w:t>2,500,000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21,372,116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shd w:val="clear" w:color="auto" w:fill="CCEEFF"/>
              </w:rPr>
              <w:t>164,713,394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gridSpan w:val="5"/>
            <w:vMerge w:val="restart"/>
          </w:tcPr>
          <w:p>
            <w:pPr>
              <w:spacing w:after="0" w:line="205" w:lineRule="exact"/>
              <w:rPr>
                <w:sz w:val="20"/>
                <w:szCs w:val="20"/>
                <w:color w:val="auto"/>
              </w:rPr>
            </w:pPr>
            <w:r>
              <w:rPr>
                <w:rFonts w:ascii="Arial" w:cs="Arial" w:eastAsia="Arial" w:hAnsi="Arial"/>
                <w:sz w:val="18"/>
                <w:szCs w:val="18"/>
                <w:color w:val="auto"/>
                <w:w w:val="91"/>
              </w:rPr>
              <w:t>Accumulated Depreciation</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9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As at January 1, 2019</w:t>
            </w: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1,351,230</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1,007,998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784,735</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3,883,342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4"/>
          </w:tcPr>
          <w:p>
            <w:pPr>
              <w:spacing w:after="0"/>
              <w:rPr>
                <w:sz w:val="20"/>
                <w:szCs w:val="20"/>
                <w:color w:val="auto"/>
              </w:rPr>
            </w:pPr>
            <w:r>
              <w:rPr>
                <w:rFonts w:ascii="Arial" w:cs="Arial" w:eastAsia="Arial" w:hAnsi="Arial"/>
                <w:sz w:val="18"/>
                <w:szCs w:val="18"/>
                <w:color w:val="auto"/>
              </w:rPr>
              <w:t>Depreciation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1,866,400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127,060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1,308,757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1,990,289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1,535,205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6,827,711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Disposals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(981,376)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(612,958)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(1,594,334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gridSpan w:val="5"/>
            <w:vMerge w:val="restart"/>
          </w:tcPr>
          <w:p>
            <w:pPr>
              <w:spacing w:after="0"/>
              <w:rPr>
                <w:sz w:val="20"/>
                <w:szCs w:val="20"/>
                <w:color w:val="auto"/>
              </w:rPr>
            </w:pPr>
            <w:r>
              <w:rPr>
                <w:rFonts w:ascii="Arial" w:cs="Arial" w:eastAsia="Arial" w:hAnsi="Arial"/>
                <w:sz w:val="18"/>
                <w:szCs w:val="18"/>
                <w:color w:val="auto"/>
                <w:w w:val="94"/>
              </w:rPr>
              <w:t>As at December 31, 2019</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940" w:type="dxa"/>
            <w:vAlign w:val="bottom"/>
            <w:gridSpan w:val="5"/>
            <w:vMerge w:val="continue"/>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2,236,254</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617,016</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1,558,180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2,998,287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1,706,982</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9,116,719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shd w:val="clear" w:color="auto" w:fill="CCEEFF"/>
          </w:tcPr>
          <w:p>
            <w:pPr>
              <w:spacing w:after="0" w:line="165" w:lineRule="exact"/>
              <w:rPr>
                <w:sz w:val="20"/>
                <w:szCs w:val="20"/>
                <w:color w:val="auto"/>
              </w:rPr>
            </w:pPr>
            <w:r>
              <w:rPr>
                <w:rFonts w:ascii="Arial" w:cs="Arial" w:eastAsia="Arial" w:hAnsi="Arial"/>
                <w:sz w:val="18"/>
                <w:szCs w:val="18"/>
                <w:color w:val="auto"/>
                <w:w w:val="86"/>
              </w:rPr>
              <w:t>Net book value</w:t>
            </w:r>
          </w:p>
        </w:tc>
        <w:tc>
          <w:tcPr>
            <w:tcW w:w="860" w:type="dxa"/>
            <w:vAlign w:val="bottom"/>
            <w:tcBorders>
              <w:bottom w:val="single" w:sz="8" w:color="CCEEFF"/>
            </w:tcBorders>
            <w:gridSpan w:val="2"/>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4"/>
          </w:tcPr>
          <w:p>
            <w:pPr>
              <w:spacing w:after="0"/>
              <w:rPr>
                <w:sz w:val="20"/>
                <w:szCs w:val="20"/>
                <w:color w:val="auto"/>
              </w:rPr>
            </w:pPr>
            <w:r>
              <w:rPr>
                <w:rFonts w:ascii="Arial" w:cs="Arial" w:eastAsia="Arial" w:hAnsi="Arial"/>
                <w:sz w:val="18"/>
                <w:szCs w:val="18"/>
                <w:color w:val="auto"/>
              </w:rPr>
              <w:t>As at January 1, 2019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2,243,085</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19,510,758</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1,838,891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1,843,782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17,427,895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5,794,711</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16,664,958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65,324,080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As at December 31, 2019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shd w:val="clear" w:color="auto" w:fill="CCEEFF"/>
              </w:rPr>
              <w:t>3,272,439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31,141,217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shd w:val="clear" w:color="auto" w:fill="CCEEFF"/>
              </w:rPr>
              <w:t>1,892,902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5,515,627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shd w:val="clear" w:color="auto" w:fill="CCEEFF"/>
              </w:rPr>
              <w:t>65,683,210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shd w:val="clear" w:color="auto" w:fill="CCEEFF"/>
              </w:rPr>
              <w:t>24,219,164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shd w:val="clear" w:color="auto" w:fill="CCEEFF"/>
              </w:rPr>
              <w:t>2,500,000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21,372,116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shd w:val="clear" w:color="auto" w:fill="CCEEFF"/>
              </w:rPr>
              <w:t>155,596,675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240" w:right="340"/>
        <w:spacing w:after="0" w:line="263"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80" w:lineRule="exact"/>
        <w:rPr>
          <w:sz w:val="20"/>
          <w:szCs w:val="20"/>
          <w:color w:val="auto"/>
        </w:rPr>
      </w:pPr>
    </w:p>
    <w:p>
      <w:pPr>
        <w:ind w:left="240" w:right="540"/>
        <w:spacing w:after="0" w:line="263" w:lineRule="auto"/>
        <w:rPr>
          <w:sz w:val="20"/>
          <w:szCs w:val="20"/>
          <w:color w:val="auto"/>
        </w:rPr>
      </w:pPr>
      <w:r>
        <w:rPr>
          <w:rFonts w:ascii="Arial" w:cs="Arial" w:eastAsia="Arial" w:hAnsi="Arial"/>
          <w:sz w:val="18"/>
          <w:szCs w:val="18"/>
          <w:color w:val="auto"/>
        </w:rPr>
        <w:t>Depreciation expense for the three months ended March 31, 2020 and 2019 totaled $3,787,005 and $1,051,327, respectively, of which $2,677,727 and $649,097, respectively, is included in cost of goods sold.</w:t>
      </w:r>
    </w:p>
    <w:p>
      <w:pPr>
        <w:spacing w:after="0" w:line="1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320" w:top="452" w:right="239" w:bottom="794"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60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17" w:lineRule="exact"/>
        <w:rPr>
          <w:sz w:val="20"/>
          <w:szCs w:val="20"/>
          <w:color w:val="auto"/>
        </w:rPr>
      </w:pPr>
    </w:p>
    <w:p>
      <w:pPr>
        <w:ind w:left="580" w:hanging="343"/>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22860</wp:posOffset>
            </wp:positionV>
            <wp:extent cx="6842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75" w:lineRule="exact"/>
        <w:rPr>
          <w:sz w:val="20"/>
          <w:szCs w:val="20"/>
          <w:color w:val="auto"/>
        </w:rPr>
      </w:pPr>
    </w:p>
    <w:p>
      <w:pPr>
        <w:ind w:left="240" w:right="80"/>
        <w:spacing w:after="0" w:line="328" w:lineRule="auto"/>
        <w:rPr>
          <w:sz w:val="20"/>
          <w:szCs w:val="20"/>
          <w:color w:val="auto"/>
        </w:rPr>
      </w:pPr>
      <w:r>
        <w:rPr>
          <w:rFonts w:ascii="Arial" w:cs="Arial" w:eastAsia="Arial" w:hAnsi="Arial"/>
          <w:sz w:val="15"/>
          <w:szCs w:val="15"/>
          <w:color w:val="auto"/>
        </w:rPr>
        <w:t>On January 31, 2020, the Company closed on a sale and lease back transaction to sell its Toledo, Ohio cultivation and processing facility to Innovative Industrial Properties (IIP). Under the long-term agreement, the Company has leased back the facility and continues to operate and manage it. As a result of the sale, the Company disposed of $205,000 of land and $2,695,000 of construction in progress. There was no gain or loss on the sale.</w:t>
      </w:r>
    </w:p>
    <w:p>
      <w:pPr>
        <w:spacing w:after="0" w:line="138" w:lineRule="exact"/>
        <w:rPr>
          <w:sz w:val="20"/>
          <w:szCs w:val="20"/>
          <w:color w:val="auto"/>
        </w:rPr>
      </w:pPr>
    </w:p>
    <w:p>
      <w:pPr>
        <w:ind w:left="240" w:right="160"/>
        <w:spacing w:after="0" w:line="317" w:lineRule="auto"/>
        <w:rPr>
          <w:sz w:val="20"/>
          <w:szCs w:val="20"/>
          <w:color w:val="auto"/>
        </w:rPr>
      </w:pPr>
      <w:r>
        <w:rPr>
          <w:rFonts w:ascii="Arial" w:cs="Arial" w:eastAsia="Arial" w:hAnsi="Arial"/>
          <w:sz w:val="15"/>
          <w:szCs w:val="15"/>
          <w:color w:val="auto"/>
        </w:rPr>
        <w:t>On March 6, 2020, the Company closed on a sale and lease back transaction to sell its Oglesby, Illinois cultivation and processing facility to IIP. Under the long-term agreement, the Company has leased back the facility and continues to operate and manage it. As a result of the sale, the Company disposed of $4,961,253 of buildings and $3,813,636 of construction in progress. The Company recognized a gain on the sale of Oglesby facility $239,096 which was recorded within other income (expense) on the condensed consolidated interim statement of operations.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further information regarding these transactions, see Note 5 - Leases.</w:t>
      </w:r>
    </w:p>
    <w:p>
      <w:pPr>
        <w:spacing w:after="0" w:line="315" w:lineRule="exact"/>
        <w:rPr>
          <w:sz w:val="20"/>
          <w:szCs w:val="20"/>
          <w:color w:val="auto"/>
        </w:rPr>
      </w:pPr>
    </w:p>
    <w:p>
      <w:pPr>
        <w:ind w:left="580" w:hanging="343"/>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62" w:lineRule="exact"/>
        <w:rPr>
          <w:sz w:val="20"/>
          <w:szCs w:val="20"/>
          <w:color w:val="auto"/>
        </w:rPr>
      </w:pPr>
    </w:p>
    <w:p>
      <w:pPr>
        <w:ind w:left="240" w:right="160"/>
        <w:spacing w:after="0" w:line="251"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 estimated useful life of each intangible. The estimated useful lives, residual values, and amortization methods are reviewed at each year end, and any changes in estimates are accounted for prospectively.</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2020 intangible assets consisted of the following:</w:t>
      </w:r>
    </w:p>
    <w:p>
      <w:pPr>
        <w:spacing w:after="0" w:line="21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Licenses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Trade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Customer</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Competition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and Permits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Names</w:t>
            </w:r>
          </w:p>
        </w:tc>
        <w:tc>
          <w:tcPr>
            <w:tcW w:w="2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Relationships</w:t>
            </w:r>
          </w:p>
        </w:tc>
        <w:tc>
          <w:tcPr>
            <w:tcW w:w="2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Agreements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auto"/>
            </w:tcBorders>
          </w:tcPr>
          <w:p>
            <w:pPr>
              <w:spacing w:after="0"/>
              <w:rPr>
                <w:sz w:val="14"/>
                <w:szCs w:val="14"/>
                <w:color w:val="auto"/>
              </w:rPr>
            </w:pPr>
          </w:p>
        </w:tc>
        <w:tc>
          <w:tcPr>
            <w:tcW w:w="300" w:type="dxa"/>
            <w:vAlign w:val="bottom"/>
            <w:tcBorders>
              <w:top w:val="single" w:sz="8" w:color="CCEEFF"/>
              <w:bottom w:val="single" w:sz="8" w:color="auto"/>
            </w:tcBorders>
            <w:shd w:val="clear" w:color="auto" w:fill="CCEEFF"/>
          </w:tcPr>
          <w:p>
            <w:pPr>
              <w:spacing w:after="0" w:line="152" w:lineRule="exact"/>
              <w:rPr>
                <w:sz w:val="20"/>
                <w:szCs w:val="20"/>
                <w:color w:val="auto"/>
              </w:rPr>
            </w:pPr>
            <w:r>
              <w:rPr>
                <w:rFonts w:ascii="Arial" w:cs="Arial" w:eastAsia="Arial" w:hAnsi="Arial"/>
                <w:sz w:val="17"/>
                <w:szCs w:val="17"/>
                <w:color w:val="auto"/>
                <w:w w:val="79"/>
              </w:rPr>
              <w:t>Cost</w:t>
            </w:r>
          </w:p>
        </w:tc>
        <w:tc>
          <w:tcPr>
            <w:tcW w:w="32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336,954,213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97,455,590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25,258,000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2,585,480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462,253,283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gridSpan w:val="4"/>
          </w:tcPr>
          <w:p>
            <w:pPr>
              <w:spacing w:after="0"/>
              <w:rPr>
                <w:sz w:val="20"/>
                <w:szCs w:val="20"/>
                <w:color w:val="auto"/>
              </w:rPr>
            </w:pPr>
            <w:r>
              <w:rPr>
                <w:rFonts w:ascii="Arial" w:cs="Arial" w:eastAsia="Arial" w:hAnsi="Arial"/>
                <w:sz w:val="18"/>
                <w:szCs w:val="18"/>
                <w:color w:val="auto"/>
              </w:rPr>
              <w:t>As at March 31, 2020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336,954,213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97,455,590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25,258,000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2,585,480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462,253,283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color w:val="auto"/>
                <w:w w:val="89"/>
              </w:rPr>
              <w:t>Accumulated Amortization</w:t>
            </w:r>
          </w:p>
        </w:tc>
        <w:tc>
          <w:tcPr>
            <w:tcW w:w="16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18,477,500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4,121,800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3,932,416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474,669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27,006,385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6,166,204</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1,679,259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941,119</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131,585</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8,918,167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gridSpan w:val="4"/>
          </w:tcPr>
          <w:p>
            <w:pPr>
              <w:spacing w:after="0"/>
              <w:rPr>
                <w:sz w:val="20"/>
                <w:szCs w:val="20"/>
                <w:color w:val="auto"/>
              </w:rPr>
            </w:pPr>
            <w:r>
              <w:rPr>
                <w:rFonts w:ascii="Arial" w:cs="Arial" w:eastAsia="Arial" w:hAnsi="Arial"/>
                <w:sz w:val="18"/>
                <w:szCs w:val="18"/>
                <w:color w:val="auto"/>
              </w:rPr>
              <w:t>As at March 31, 2020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24,643,704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5,801,059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4,873,535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606,254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35,924,552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318,476,713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93,333,790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21,325,584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2,110,811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435,246,898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March 31, 2020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312,310,509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91,654,531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20,384,465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1,979,226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426,328,731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80" w:type="dxa"/>
            <w:vAlign w:val="bottom"/>
            <w:gridSpan w:val="3"/>
          </w:tcPr>
          <w:p>
            <w:pPr>
              <w:jc w:val="right"/>
              <w:ind w:right="456"/>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2"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60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17" w:lineRule="exact"/>
        <w:rPr>
          <w:sz w:val="20"/>
          <w:szCs w:val="20"/>
          <w:color w:val="auto"/>
        </w:rPr>
      </w:pPr>
    </w:p>
    <w:p>
      <w:pPr>
        <w:ind w:left="240" w:right="6060" w:hanging="3"/>
        <w:spacing w:after="0" w:line="612" w:lineRule="auto"/>
        <w:tabs>
          <w:tab w:leader="none" w:pos="592"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INTANGIBLE ASSETS AND GOODWILL </w:t>
      </w:r>
      <w:r>
        <w:rPr>
          <w:rFonts w:ascii="Arial" w:cs="Arial" w:eastAsia="Arial" w:hAnsi="Arial"/>
          <w:sz w:val="15"/>
          <w:szCs w:val="15"/>
          <w:color w:val="auto"/>
        </w:rPr>
        <w:t>(Continued)</w:t>
      </w:r>
      <w:r>
        <w:rPr>
          <w:rFonts w:ascii="Arial" w:cs="Arial" w:eastAsia="Arial" w:hAnsi="Arial"/>
          <w:sz w:val="15"/>
          <w:szCs w:val="15"/>
          <w:b w:val="1"/>
          <w:bCs w:val="1"/>
          <w:color w:val="auto"/>
        </w:rPr>
        <w:t xml:space="preserve"> </w:t>
      </w:r>
      <w:r>
        <w:rPr>
          <w:rFonts w:ascii="Arial" w:cs="Arial" w:eastAsia="Arial" w:hAnsi="Arial"/>
          <w:sz w:val="15"/>
          <w:szCs w:val="15"/>
          <w:color w:val="auto"/>
        </w:rPr>
        <w:t>At December 31, 2019 intangible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-378460</wp:posOffset>
            </wp:positionV>
            <wp:extent cx="6842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Licenses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Trade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Customer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4"/>
              <w:spacing w:after="0" w:line="146" w:lineRule="exact"/>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Competition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and Permits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Names</w:t>
            </w:r>
          </w:p>
        </w:tc>
        <w:tc>
          <w:tcPr>
            <w:tcW w:w="2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Relationships</w:t>
            </w:r>
          </w:p>
        </w:tc>
        <w:tc>
          <w:tcPr>
            <w:tcW w:w="2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Agreements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auto"/>
            </w:tcBorders>
          </w:tcPr>
          <w:p>
            <w:pPr>
              <w:spacing w:after="0"/>
              <w:rPr>
                <w:sz w:val="14"/>
                <w:szCs w:val="14"/>
                <w:color w:val="auto"/>
              </w:rPr>
            </w:pPr>
          </w:p>
        </w:tc>
        <w:tc>
          <w:tcPr>
            <w:tcW w:w="300" w:type="dxa"/>
            <w:vAlign w:val="bottom"/>
            <w:tcBorders>
              <w:top w:val="single" w:sz="8" w:color="CCEEFF"/>
              <w:bottom w:val="single" w:sz="8" w:color="auto"/>
            </w:tcBorders>
            <w:shd w:val="clear" w:color="auto" w:fill="CCEEFF"/>
          </w:tcPr>
          <w:p>
            <w:pPr>
              <w:spacing w:after="0" w:line="152" w:lineRule="exact"/>
              <w:rPr>
                <w:sz w:val="20"/>
                <w:szCs w:val="20"/>
                <w:color w:val="auto"/>
              </w:rPr>
            </w:pPr>
            <w:r>
              <w:rPr>
                <w:rFonts w:ascii="Arial" w:cs="Arial" w:eastAsia="Arial" w:hAnsi="Arial"/>
                <w:sz w:val="17"/>
                <w:szCs w:val="17"/>
                <w:color w:val="auto"/>
                <w:w w:val="79"/>
              </w:rPr>
              <w:t>Cost</w:t>
            </w:r>
          </w:p>
        </w:tc>
        <w:tc>
          <w:tcPr>
            <w:tcW w:w="32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89,705,213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20,480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90,905,693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247,249,000</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97,095,590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24,438,000</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2,565,000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371,347,590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336,954,213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97,455,590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25,258,000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2,585,480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462,253,283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color w:val="auto"/>
                <w:w w:val="89"/>
              </w:rPr>
              <w:t>Accumulated Amortization</w:t>
            </w:r>
          </w:p>
        </w:tc>
        <w:tc>
          <w:tcPr>
            <w:tcW w:w="16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2,322,715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204,500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12,800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2,540,015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16,154,785</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4,121,800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3,727,916</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461,869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24,466,370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gridSpan w:val="4"/>
          </w:tcPr>
          <w:p>
            <w:pPr>
              <w:spacing w:after="0"/>
              <w:rPr>
                <w:sz w:val="20"/>
                <w:szCs w:val="20"/>
                <w:color w:val="auto"/>
              </w:rPr>
            </w:pPr>
            <w:r>
              <w:rPr>
                <w:rFonts w:ascii="Arial" w:cs="Arial" w:eastAsia="Arial" w:hAnsi="Arial"/>
                <w:sz w:val="18"/>
                <w:szCs w:val="18"/>
                <w:color w:val="auto"/>
              </w:rPr>
              <w:t>As at December 31, 2019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18,477,500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4,121,800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3,932,416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474,669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27,006,385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87,382,498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615,500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7,680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88,365,678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318,476,713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93,333,790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21,325,584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2,110,811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435,246,898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Company recorded amortization expense for the three months ended March 31, 2020 and 2019 of $8,918,167 and $2,210,006, respectively.</w:t>
      </w:r>
    </w:p>
    <w:p>
      <w:pPr>
        <w:spacing w:after="0" w:line="2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March 31, 2020:</w:t>
      </w:r>
    </w:p>
    <w:p>
      <w:pPr>
        <w:spacing w:after="0" w:line="216"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Year Ending December 31,</w:t>
            </w: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75"/>
        </w:trPr>
        <w:tc>
          <w:tcPr>
            <w:tcW w:w="1620" w:type="dxa"/>
            <w:vAlign w:val="bottom"/>
            <w:gridSpan w:val="2"/>
            <w:vMerge w:val="continue"/>
          </w:tcPr>
          <w:p>
            <w:pPr>
              <w:spacing w:after="0"/>
              <w:rPr>
                <w:sz w:val="15"/>
                <w:szCs w:val="15"/>
                <w:color w:val="auto"/>
              </w:rPr>
            </w:pPr>
          </w:p>
        </w:tc>
        <w:tc>
          <w:tcPr>
            <w:tcW w:w="4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Remainder of 2020</w:t>
            </w:r>
          </w:p>
        </w:tc>
        <w:tc>
          <w:tcPr>
            <w:tcW w:w="4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95"/>
              </w:rPr>
              <w:t>24,995,106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2021</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33,151,991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32,721,251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2023</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32,638,437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32,057,103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Thereafter</w:t>
            </w:r>
          </w:p>
        </w:tc>
        <w:tc>
          <w:tcPr>
            <w:tcW w:w="4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270,764,843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426,328,731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Goodwill</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2020, Goodwill consisted of the following:</w:t>
      </w:r>
    </w:p>
    <w:p>
      <w:pPr>
        <w:spacing w:after="0" w:line="21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2"/>
              </w:rPr>
              <w:t>Consumer</w:t>
            </w:r>
          </w:p>
        </w:tc>
        <w:tc>
          <w:tcPr>
            <w:tcW w:w="140" w:type="dxa"/>
            <w:vAlign w:val="bottom"/>
          </w:tcPr>
          <w:p>
            <w:pPr>
              <w:spacing w:after="0"/>
              <w:rPr>
                <w:sz w:val="14"/>
                <w:szCs w:val="14"/>
                <w:color w:val="auto"/>
              </w:rPr>
            </w:pPr>
          </w:p>
        </w:tc>
        <w:tc>
          <w:tcPr>
            <w:tcW w:w="10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6"/>
              </w:rPr>
              <w:t>Packaged Goods</w:t>
            </w: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38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As at January 1, 2020</w:t>
            </w:r>
          </w:p>
        </w:tc>
        <w:tc>
          <w:tcPr>
            <w:tcW w:w="13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w w:val="87"/>
              </w:rPr>
              <w:t>$119,873,759</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$ 255,211,232</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1"/>
              </w:rPr>
              <w:t>$375,084,991</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13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(115,992)</w:t>
            </w:r>
          </w:p>
        </w:tc>
        <w:tc>
          <w:tcPr>
            <w:tcW w:w="8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(2,750,000)</w:t>
            </w:r>
          </w:p>
        </w:tc>
        <w:tc>
          <w:tcPr>
            <w:tcW w:w="14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(2,865,992)</w:t>
            </w:r>
          </w:p>
        </w:tc>
        <w:tc>
          <w:tcPr>
            <w:tcW w:w="0" w:type="dxa"/>
            <w:vAlign w:val="bottom"/>
          </w:tcPr>
          <w:p>
            <w:pPr>
              <w:spacing w:after="0"/>
              <w:rPr>
                <w:sz w:val="1"/>
                <w:szCs w:val="1"/>
                <w:color w:val="auto"/>
              </w:rPr>
            </w:pPr>
          </w:p>
        </w:tc>
      </w:tr>
      <w:tr>
        <w:trPr>
          <w:trHeight w:val="26"/>
        </w:trPr>
        <w:tc>
          <w:tcPr>
            <w:tcW w:w="8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March 31, 2020</w:t>
            </w:r>
          </w:p>
        </w:tc>
        <w:tc>
          <w:tcPr>
            <w:tcW w:w="13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119,757,767</w:t>
            </w:r>
          </w:p>
        </w:tc>
        <w:tc>
          <w:tcPr>
            <w:tcW w:w="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$ 252,461,232</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372,218,999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At December 31, 2019, Goodwill consisted of the following:</w:t>
            </w: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74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24"/>
                <w:szCs w:val="24"/>
                <w:color w:val="auto"/>
              </w:rPr>
            </w:pPr>
          </w:p>
        </w:tc>
        <w:tc>
          <w:tcPr>
            <w:tcW w:w="10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6"/>
              </w:rPr>
              <w:t>Packaged Goods</w:t>
            </w: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38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As at January 1, 2019</w:t>
            </w:r>
          </w:p>
        </w:tc>
        <w:tc>
          <w:tcPr>
            <w:tcW w:w="1580" w:type="dxa"/>
            <w:vAlign w:val="bottom"/>
            <w:tcBorders>
              <w:top w:val="single" w:sz="8" w:color="CCEEFF"/>
            </w:tcBorders>
            <w:gridSpan w:val="2"/>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w w:val="89"/>
              </w:rPr>
              <w:t>$ 15,286,360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w w:val="88"/>
              </w:rPr>
              <w:t>$  23,918,000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w w:val="91"/>
              </w:rPr>
              <w:t>$ 39,204,360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Acquisition of Advanced Grow Labs, LLC</w:t>
            </w:r>
          </w:p>
        </w:tc>
        <w:tc>
          <w:tcPr>
            <w:tcW w:w="2620" w:type="dxa"/>
            <w:vAlign w:val="bottom"/>
            <w:gridSpan w:val="5"/>
          </w:tcPr>
          <w:p>
            <w:pPr>
              <w:jc w:val="right"/>
              <w:ind w:right="80"/>
              <w:spacing w:after="0"/>
              <w:rPr>
                <w:sz w:val="20"/>
                <w:szCs w:val="20"/>
                <w:color w:val="auto"/>
              </w:rPr>
            </w:pPr>
            <w:r>
              <w:rPr>
                <w:rFonts w:ascii="Arial" w:cs="Arial" w:eastAsia="Arial" w:hAnsi="Arial"/>
                <w:sz w:val="18"/>
                <w:szCs w:val="18"/>
                <w:color w:val="auto"/>
              </w:rPr>
              <w:t>16,756,250</w:t>
            </w:r>
          </w:p>
        </w:tc>
        <w:tc>
          <w:tcPr>
            <w:tcW w:w="1380" w:type="dxa"/>
            <w:vAlign w:val="bottom"/>
            <w:gridSpan w:val="5"/>
          </w:tcPr>
          <w:p>
            <w:pPr>
              <w:jc w:val="right"/>
              <w:ind w:right="140"/>
              <w:spacing w:after="0"/>
              <w:rPr>
                <w:sz w:val="20"/>
                <w:szCs w:val="20"/>
                <w:color w:val="auto"/>
              </w:rPr>
            </w:pPr>
            <w:r>
              <w:rPr>
                <w:rFonts w:ascii="Arial" w:cs="Arial" w:eastAsia="Arial" w:hAnsi="Arial"/>
                <w:sz w:val="18"/>
                <w:szCs w:val="18"/>
                <w:color w:val="auto"/>
              </w:rPr>
              <w:t>44,572,349</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61,328,599</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Integral Associates, LLC</w:t>
            </w:r>
          </w:p>
        </w:tc>
        <w:tc>
          <w:tcPr>
            <w:tcW w:w="26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46,655,753</w:t>
            </w:r>
          </w:p>
        </w:tc>
        <w:tc>
          <w:tcPr>
            <w:tcW w:w="13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69,323,570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115,979,323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88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2620" w:type="dxa"/>
            <w:vAlign w:val="bottom"/>
            <w:gridSpan w:val="5"/>
          </w:tcPr>
          <w:p>
            <w:pPr>
              <w:jc w:val="right"/>
              <w:ind w:right="80"/>
              <w:spacing w:after="0"/>
              <w:rPr>
                <w:sz w:val="20"/>
                <w:szCs w:val="20"/>
                <w:color w:val="auto"/>
              </w:rPr>
            </w:pPr>
            <w:r>
              <w:rPr>
                <w:rFonts w:ascii="Arial" w:cs="Arial" w:eastAsia="Arial" w:hAnsi="Arial"/>
                <w:sz w:val="18"/>
                <w:szCs w:val="18"/>
                <w:color w:val="auto"/>
              </w:rPr>
              <w:t>32,936,590</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120,963,598</w:t>
            </w:r>
          </w:p>
        </w:tc>
        <w:tc>
          <w:tcPr>
            <w:tcW w:w="1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153,900,188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26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8,238,808</w:t>
            </w:r>
          </w:p>
        </w:tc>
        <w:tc>
          <w:tcPr>
            <w:tcW w:w="13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(3,566,285)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4,672,523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As at December 31, 2019</w:t>
            </w:r>
          </w:p>
        </w:tc>
        <w:tc>
          <w:tcPr>
            <w:tcW w:w="1580" w:type="dxa"/>
            <w:vAlign w:val="bottom"/>
            <w:gridSpan w:val="2"/>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119,873,759</w:t>
            </w:r>
          </w:p>
        </w:tc>
        <w:tc>
          <w:tcPr>
            <w:tcW w:w="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$ 255,211,232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375,084,991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60" w:type="dxa"/>
            <w:vAlign w:val="bottom"/>
            <w:vMerge w:val="restart"/>
          </w:tcPr>
          <w:p>
            <w:pPr>
              <w:jc w:val="right"/>
              <w:ind w:right="432"/>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2" w:right="5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50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44" w:lineRule="exact"/>
        <w:rPr>
          <w:sz w:val="20"/>
          <w:szCs w:val="20"/>
          <w:color w:val="auto"/>
        </w:rPr>
      </w:pPr>
    </w:p>
    <w:p>
      <w:pPr>
        <w:ind w:left="580" w:hanging="343"/>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22860</wp:posOffset>
            </wp:positionV>
            <wp:extent cx="6842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Operating Leases Under Accounting Standards Update No. 2016-02</w:t>
      </w:r>
    </w:p>
    <w:p>
      <w:pPr>
        <w:spacing w:after="0" w:line="116" w:lineRule="exact"/>
        <w:rPr>
          <w:sz w:val="20"/>
          <w:szCs w:val="20"/>
          <w:color w:val="auto"/>
        </w:rPr>
      </w:pPr>
    </w:p>
    <w:p>
      <w:pPr>
        <w:ind w:left="660"/>
        <w:spacing w:after="0" w:line="248" w:lineRule="auto"/>
        <w:rPr>
          <w:sz w:val="20"/>
          <w:szCs w:val="20"/>
          <w:color w:val="auto"/>
        </w:rPr>
      </w:pPr>
      <w:r>
        <w:rPr>
          <w:rFonts w:ascii="Arial" w:cs="Arial" w:eastAsia="Arial" w:hAnsi="Arial"/>
          <w:sz w:val="18"/>
          <w:szCs w:val="18"/>
          <w:color w:val="auto"/>
        </w:rPr>
        <w:t>In February 2016, the FASB issued Accounting Standards Update No. 2016-02 “Leases (Topic 842)” (“ASU 2016-02”), which requires lessees to put most leases on the balance sheet but recognize expense on the income statement in a manner similar to current accounting. On January 1, 2019, the Company adopted the standard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 Additionally, an adjustment was recorded to retrained earnings to account for the initial adoption of the standard.</w:t>
      </w:r>
    </w:p>
    <w:p>
      <w:pPr>
        <w:spacing w:after="0" w:line="90"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For additional information regarding the adoption of Account Standards Updated No. 2016-02, “Leases (Topic 842)” see Note 9 – Leases in the 2019 Form 10-K</w:t>
      </w:r>
      <w:r>
        <w:rPr>
          <w:rFonts w:ascii="Arial" w:cs="Arial" w:eastAsia="Arial" w:hAnsi="Arial"/>
          <w:sz w:val="18"/>
          <w:szCs w:val="18"/>
          <w:b w:val="1"/>
          <w:bCs w:val="1"/>
          <w:color w:val="auto"/>
        </w:rPr>
        <w:t>.</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related to operating leases as of and for the three months ending March 31, 2020 were as follows:</w:t>
      </w:r>
    </w:p>
    <w:p>
      <w:pPr>
        <w:spacing w:after="0" w:line="23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As of</w:t>
      </w:r>
    </w:p>
    <w:p>
      <w:pPr>
        <w:jc w:val="center"/>
        <w:ind w:left="5960"/>
        <w:spacing w:after="0" w:line="226" w:lineRule="auto"/>
        <w:rPr>
          <w:sz w:val="20"/>
          <w:szCs w:val="20"/>
          <w:color w:val="auto"/>
        </w:rPr>
      </w:pPr>
      <w:r>
        <w:rPr>
          <w:rFonts w:ascii="Arial" w:cs="Arial" w:eastAsia="Arial" w:hAnsi="Arial"/>
          <w:sz w:val="14"/>
          <w:szCs w:val="14"/>
          <w:b w:val="1"/>
          <w:bCs w:val="1"/>
          <w:color w:val="auto"/>
        </w:rPr>
        <w:t>March 31, 2020</w:t>
      </w:r>
    </w:p>
    <w:tbl>
      <w:tblPr>
        <w:tblLayout w:type="fixed"/>
        <w:tblInd w:w="660" w:type="dxa"/>
        <w:tblCellMar>
          <w:top w:w="0" w:type="dxa"/>
          <w:left w:w="0" w:type="dxa"/>
          <w:bottom w:w="0" w:type="dxa"/>
          <w:right w:w="0" w:type="dxa"/>
        </w:tblCellMar>
      </w:tblPr>
      <w:tr>
        <w:trPr>
          <w:trHeight w:val="204"/>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580" w:type="dxa"/>
            <w:vAlign w:val="bottom"/>
            <w:tcBorders>
              <w:top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Weighted average remaining lease term</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4"/>
            <w:shd w:val="clear" w:color="auto" w:fill="CCEEFF"/>
          </w:tcPr>
          <w:p>
            <w:pPr>
              <w:jc w:val="right"/>
              <w:spacing w:after="0" w:line="205" w:lineRule="exact"/>
              <w:rPr>
                <w:sz w:val="20"/>
                <w:szCs w:val="20"/>
                <w:color w:val="auto"/>
              </w:rPr>
            </w:pPr>
            <w:r>
              <w:rPr>
                <w:rFonts w:ascii="Arial" w:cs="Arial" w:eastAsia="Arial" w:hAnsi="Arial"/>
                <w:sz w:val="18"/>
                <w:szCs w:val="18"/>
                <w:color w:val="auto"/>
                <w:w w:val="92"/>
              </w:rPr>
              <w:t>12.56 Years</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3"/>
              </w:rPr>
              <w:t>12.9%</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6940" w:type="dxa"/>
            <w:vAlign w:val="bottom"/>
            <w:gridSpan w:val="8"/>
          </w:tcPr>
          <w:p>
            <w:pPr>
              <w:jc w:val="right"/>
              <w:ind w:right="760"/>
              <w:spacing w:after="0"/>
              <w:rPr>
                <w:sz w:val="20"/>
                <w:szCs w:val="20"/>
                <w:color w:val="auto"/>
              </w:rPr>
            </w:pPr>
            <w:r>
              <w:rPr>
                <w:rFonts w:ascii="Arial" w:cs="Arial" w:eastAsia="Arial" w:hAnsi="Arial"/>
                <w:sz w:val="18"/>
                <w:szCs w:val="18"/>
                <w:color w:val="auto"/>
                <w:w w:val="89"/>
              </w:rPr>
              <w:t>Maturities of lease liabilities for operating leases as of March 31, 2020 were as follows: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440" w:type="dxa"/>
            <w:vAlign w:val="bottom"/>
          </w:tcPr>
          <w:p>
            <w:pPr>
              <w:spacing w:after="0"/>
              <w:rPr>
                <w:sz w:val="24"/>
                <w:szCs w:val="24"/>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Year Ending December 31,</w:t>
            </w:r>
          </w:p>
        </w:tc>
        <w:tc>
          <w:tcPr>
            <w:tcW w:w="2840" w:type="dxa"/>
            <w:vAlign w:val="bottom"/>
            <w:vMerge w:val="restart"/>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Maturities of Lease Liability</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40" w:type="dxa"/>
            <w:vAlign w:val="bottom"/>
          </w:tcPr>
          <w:p>
            <w:pPr>
              <w:spacing w:after="0"/>
              <w:rPr>
                <w:sz w:val="12"/>
                <w:szCs w:val="12"/>
                <w:color w:val="auto"/>
              </w:rPr>
            </w:pPr>
          </w:p>
        </w:tc>
        <w:tc>
          <w:tcPr>
            <w:tcW w:w="1620" w:type="dxa"/>
            <w:vAlign w:val="bottom"/>
            <w:tcBorders>
              <w:bottom w:val="single" w:sz="8" w:color="auto"/>
            </w:tcBorders>
            <w:gridSpan w:val="2"/>
            <w:vMerge w:val="continue"/>
          </w:tcPr>
          <w:p>
            <w:pPr>
              <w:spacing w:after="0"/>
              <w:rPr>
                <w:sz w:val="12"/>
                <w:szCs w:val="12"/>
                <w:color w:val="auto"/>
              </w:rPr>
            </w:pPr>
          </w:p>
        </w:tc>
        <w:tc>
          <w:tcPr>
            <w:tcW w:w="28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60"/>
              <w:spacing w:after="0" w:line="125" w:lineRule="exact"/>
              <w:rPr>
                <w:sz w:val="20"/>
                <w:szCs w:val="20"/>
                <w:color w:val="auto"/>
              </w:rPr>
            </w:pPr>
            <w:r>
              <w:rPr>
                <w:rFonts w:ascii="Arial" w:cs="Arial" w:eastAsia="Arial" w:hAnsi="Arial"/>
                <w:sz w:val="14"/>
                <w:szCs w:val="14"/>
                <w:b w:val="1"/>
                <w:bCs w:val="1"/>
                <w:color w:val="auto"/>
              </w:rPr>
              <w:t>Third Party</w:t>
            </w:r>
          </w:p>
        </w:tc>
        <w:tc>
          <w:tcPr>
            <w:tcW w:w="160" w:type="dxa"/>
            <w:vAlign w:val="bottom"/>
          </w:tcPr>
          <w:p>
            <w:pPr>
              <w:spacing w:after="0"/>
              <w:rPr>
                <w:sz w:val="12"/>
                <w:szCs w:val="12"/>
                <w:color w:val="auto"/>
              </w:rPr>
            </w:pPr>
          </w:p>
        </w:tc>
        <w:tc>
          <w:tcPr>
            <w:tcW w:w="980" w:type="dxa"/>
            <w:vAlign w:val="bottom"/>
            <w:gridSpan w:val="4"/>
          </w:tcPr>
          <w:p>
            <w:pPr>
              <w:jc w:val="right"/>
              <w:ind w:right="120"/>
              <w:spacing w:after="0" w:line="125" w:lineRule="exact"/>
              <w:rPr>
                <w:sz w:val="20"/>
                <w:szCs w:val="20"/>
                <w:color w:val="auto"/>
              </w:rPr>
            </w:pPr>
            <w:r>
              <w:rPr>
                <w:rFonts w:ascii="Arial" w:cs="Arial" w:eastAsia="Arial" w:hAnsi="Arial"/>
                <w:sz w:val="14"/>
                <w:szCs w:val="14"/>
                <w:b w:val="1"/>
                <w:bCs w:val="1"/>
                <w:color w:val="auto"/>
                <w:w w:val="93"/>
              </w:rPr>
              <w:t>Related Party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90"/>
              <w:spacing w:after="0" w:line="12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4460" w:type="dxa"/>
            <w:vAlign w:val="bottom"/>
            <w:tcBorders>
              <w:top w:val="single" w:sz="8" w:color="CCEEFF"/>
            </w:tcBorders>
            <w:gridSpan w:val="3"/>
            <w:shd w:val="clear" w:color="auto" w:fill="CCEEFF"/>
          </w:tcPr>
          <w:p>
            <w:pPr>
              <w:spacing w:after="0" w:line="198" w:lineRule="exact"/>
              <w:rPr>
                <w:sz w:val="20"/>
                <w:szCs w:val="20"/>
                <w:color w:val="auto"/>
              </w:rPr>
            </w:pPr>
            <w:r>
              <w:rPr>
                <w:rFonts w:ascii="Arial" w:cs="Arial" w:eastAsia="Arial" w:hAnsi="Arial"/>
                <w:sz w:val="18"/>
                <w:szCs w:val="18"/>
                <w:color w:val="auto"/>
              </w:rPr>
              <w:t>Remainder of 2020</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12,039,451</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w w:val="97"/>
              </w:rPr>
              <w:t>1,048,267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13,087,718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2021</w:t>
            </w:r>
          </w:p>
        </w:tc>
        <w:tc>
          <w:tcPr>
            <w:tcW w:w="7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20,432,259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1,424,852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21,857,111</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20,053,541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1,458,246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21,511,787</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2023</w:t>
            </w:r>
          </w:p>
        </w:tc>
        <w:tc>
          <w:tcPr>
            <w:tcW w:w="7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20,030,831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1,492,437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21,523,268</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18,980,307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1,384,035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20,364,342</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2025 and Thereafter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179,064,584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11,524,619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190,589,203</w:t>
            </w:r>
          </w:p>
        </w:tc>
        <w:tc>
          <w:tcPr>
            <w:tcW w:w="0" w:type="dxa"/>
            <w:vAlign w:val="bottom"/>
          </w:tcPr>
          <w:p>
            <w:pPr>
              <w:spacing w:after="0"/>
              <w:rPr>
                <w:sz w:val="1"/>
                <w:szCs w:val="1"/>
                <w:color w:val="auto"/>
              </w:rPr>
            </w:pPr>
          </w:p>
        </w:tc>
      </w:tr>
      <w:tr>
        <w:trPr>
          <w:trHeight w:val="26"/>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40" w:type="dxa"/>
            <w:vAlign w:val="bottom"/>
          </w:tcPr>
          <w:p>
            <w:pPr>
              <w:spacing w:after="0"/>
              <w:rPr>
                <w:sz w:val="18"/>
                <w:szCs w:val="18"/>
                <w:color w:val="auto"/>
              </w:rPr>
            </w:pPr>
          </w:p>
        </w:tc>
        <w:tc>
          <w:tcPr>
            <w:tcW w:w="4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270,600,973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18,332,456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288,933,429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Less: Interest</w:t>
            </w: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0" w:type="dxa"/>
            <w:vAlign w:val="bottom"/>
          </w:tcPr>
          <w:p>
            <w:pPr>
              <w:spacing w:after="0"/>
              <w:rPr>
                <w:sz w:val="18"/>
                <w:szCs w:val="18"/>
                <w:color w:val="auto"/>
              </w:rPr>
            </w:pPr>
          </w:p>
        </w:tc>
        <w:tc>
          <w:tcPr>
            <w:tcW w:w="446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(180,217,232)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(9,209,930)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(189,427,162)</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4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90,383,741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9,122,526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99,506,267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For the three months ended March 31, 2020 and 2019, the Company recorded $4,257,515 and $905,056, respectively in operating lease expense.</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Related Party Operating Leases</w:t>
      </w:r>
    </w:p>
    <w:p>
      <w:pPr>
        <w:spacing w:after="0" w:line="116"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During 2019, Green Thumb entered into three related party transactions with respect to its leasing arrangements for three Green Thumb facilities in Florida, Illinois and Nevada.</w:t>
      </w:r>
    </w:p>
    <w:p>
      <w:pPr>
        <w:spacing w:after="0" w:line="75" w:lineRule="exact"/>
        <w:rPr>
          <w:sz w:val="20"/>
          <w:szCs w:val="20"/>
          <w:color w:val="auto"/>
        </w:rPr>
      </w:pPr>
    </w:p>
    <w:p>
      <w:pPr>
        <w:ind w:left="660" w:right="180"/>
        <w:spacing w:after="0" w:line="266" w:lineRule="auto"/>
        <w:rPr>
          <w:sz w:val="20"/>
          <w:szCs w:val="20"/>
          <w:color w:val="auto"/>
        </w:rPr>
      </w:pPr>
      <w:r>
        <w:rPr>
          <w:rFonts w:ascii="Arial" w:cs="Arial" w:eastAsia="Arial" w:hAnsi="Arial"/>
          <w:sz w:val="17"/>
          <w:szCs w:val="17"/>
          <w:color w:val="auto"/>
        </w:rPr>
        <w:t>With respect to leasing arrangements in Florida and Illinois, Wendy Berger, a director of the Company, is a principal of WBS Equities, LLC, which is the Manager of Mosaic Real Estate, LLC. Additionally, Mosaic Real Estate, LLC is owned in part by Ms. Berger (through the Wendy Berger 1998 Revocable Trust), Benjamin Kovler, the Chief Executive Officer and a director of the Company (through KP Capital, LLC), and Mr. Georgiadis, the Chief Financial Officer and a director of the Company (through Three One Four Holdings, LLC). The terms of these leases range from 7 years to 15 years. For the three months ended March 31, 2020 and 2019, the Company recorded lease expense of $222,339 and $21,754, respectively, associated with these lease arrangements.</w:t>
      </w:r>
    </w:p>
    <w:p>
      <w:pPr>
        <w:spacing w:after="0" w:line="11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2"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56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17" w:lineRule="exact"/>
        <w:rPr>
          <w:sz w:val="20"/>
          <w:szCs w:val="20"/>
          <w:color w:val="auto"/>
        </w:rPr>
      </w:pPr>
    </w:p>
    <w:p>
      <w:pPr>
        <w:ind w:left="580" w:hanging="343"/>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22860</wp:posOffset>
            </wp:positionV>
            <wp:extent cx="6842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94" w:lineRule="exact"/>
        <w:rPr>
          <w:sz w:val="20"/>
          <w:szCs w:val="20"/>
          <w:color w:val="auto"/>
        </w:rPr>
      </w:pPr>
    </w:p>
    <w:p>
      <w:pPr>
        <w:jc w:val="both"/>
        <w:ind w:left="660" w:right="200"/>
        <w:spacing w:after="0" w:line="328" w:lineRule="auto"/>
        <w:rPr>
          <w:sz w:val="20"/>
          <w:szCs w:val="20"/>
          <w:color w:val="auto"/>
        </w:rPr>
      </w:pPr>
      <w:r>
        <w:rPr>
          <w:rFonts w:ascii="Arial" w:cs="Arial" w:eastAsia="Arial" w:hAnsi="Arial"/>
          <w:sz w:val="15"/>
          <w:szCs w:val="15"/>
          <w:color w:val="auto"/>
        </w:rPr>
        <w:t>In addition to the leases entered into in 2019, the Company had pre-existing operating leases with the same related parties for three dispensaries located in Maryland, Nevada and Massachusetts. These leases commenced in 2017 and have terms of 7 to 15 years. For the three months ended March 31, 2020 and 2019, lease expense associated with these leases was $190,462 and $138,128, respectively.</w:t>
      </w:r>
    </w:p>
    <w:p>
      <w:pPr>
        <w:spacing w:after="0" w:line="32" w:lineRule="exact"/>
        <w:rPr>
          <w:sz w:val="20"/>
          <w:szCs w:val="20"/>
          <w:color w:val="auto"/>
        </w:rPr>
      </w:pPr>
    </w:p>
    <w:p>
      <w:pPr>
        <w:ind w:left="660"/>
        <w:spacing w:after="0" w:line="317" w:lineRule="auto"/>
        <w:rPr>
          <w:sz w:val="20"/>
          <w:szCs w:val="20"/>
          <w:color w:val="auto"/>
        </w:rPr>
      </w:pPr>
      <w:r>
        <w:rPr>
          <w:rFonts w:ascii="Arial" w:cs="Arial" w:eastAsia="Arial" w:hAnsi="Arial"/>
          <w:sz w:val="15"/>
          <w:szCs w:val="15"/>
          <w:color w:val="auto"/>
        </w:rPr>
        <w:t>In connection with the Company’s acquisition of Integral Associates, LLC, the Company, through a subsidiary, leases property from Durango Teco Partners, LLC, in Nevada for an Essence retail store. The lease has a ten year term. Durango Teco Partners, LLC is owned in part by Armeco capital LLC, which is in turn owned in part by Alejandro Yemenidjian, a former owner of Integral Associates, LLC and a current director of the Company. For the three months ended March 31, 2020, the Company recorded lease expense of $30,980 associated with this lease.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Sales Lease Back Transaction</w:t>
      </w:r>
    </w:p>
    <w:p>
      <w:pPr>
        <w:spacing w:after="0" w:line="116" w:lineRule="exact"/>
        <w:rPr>
          <w:sz w:val="20"/>
          <w:szCs w:val="20"/>
          <w:color w:val="auto"/>
        </w:rPr>
      </w:pPr>
    </w:p>
    <w:p>
      <w:pPr>
        <w:ind w:left="660" w:right="80"/>
        <w:spacing w:after="0" w:line="307" w:lineRule="auto"/>
        <w:rPr>
          <w:sz w:val="20"/>
          <w:szCs w:val="20"/>
          <w:color w:val="auto"/>
        </w:rPr>
      </w:pPr>
      <w:r>
        <w:rPr>
          <w:rFonts w:ascii="Arial" w:cs="Arial" w:eastAsia="Arial" w:hAnsi="Arial"/>
          <w:sz w:val="15"/>
          <w:szCs w:val="15"/>
          <w:color w:val="auto"/>
        </w:rPr>
        <w:t>On January 31, 2020, the Company closed on a sale and lease back transaction to sell its Toledo, Ohio cultivation and processing facility to IIP. Under a long-term agreement, the Company has leased back the facility and continues to operate and manage it. The purchase price for the property was $2,900,000, excluding transaction costs. The Company is also expected to make certain improvements to the property that will significantly enhance production capacity, for which IIP has agreed to provide reimbursement of up to $4,300,000. Assuming full reimbursement for such improvements, IIP’s total investment in the property will be $7,200,000. The lease was recorded as an operating lease and resulted in a right of use asset and lease liability of $3,583,263 and was recorded net of the improvements allowance of $4,300,000.</w:t>
      </w:r>
    </w:p>
    <w:p>
      <w:pPr>
        <w:spacing w:after="0" w:line="49" w:lineRule="exact"/>
        <w:rPr>
          <w:sz w:val="20"/>
          <w:szCs w:val="20"/>
          <w:color w:val="auto"/>
        </w:rPr>
      </w:pPr>
    </w:p>
    <w:p>
      <w:pPr>
        <w:ind w:left="660"/>
        <w:spacing w:after="0" w:line="307" w:lineRule="auto"/>
        <w:rPr>
          <w:sz w:val="20"/>
          <w:szCs w:val="20"/>
          <w:color w:val="auto"/>
        </w:rPr>
      </w:pPr>
      <w:r>
        <w:rPr>
          <w:rFonts w:ascii="Arial" w:cs="Arial" w:eastAsia="Arial" w:hAnsi="Arial"/>
          <w:sz w:val="15"/>
          <w:szCs w:val="15"/>
          <w:color w:val="auto"/>
        </w:rPr>
        <w:t>On March 6, 2020, the Company closed on a sale and lease back transaction to sell its Oglesby, Illinois cultivation and processing facility to IIP. Under a long-term agreement, the Company has leased back the facility and continues to operate and manage it. The purchase price for the property was $9,000,000, excluding transaction costs. The Company is also expected to make certain improvements to the property that will significantly enhance production capacity, for which IIP has agreed to provide reimbursement of up to $41,000,000. Assuming full reimbursement for such improvements, IIP’s total investment in the property will be $50,000,000. The lease was recorded as an operating lease and resulted in a right of use asset and related lease liability of $26,828,221 and was recorded net of the improvements allowance of $41,000,000.</w:t>
      </w:r>
    </w:p>
    <w:p>
      <w:pPr>
        <w:spacing w:after="0" w:line="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320" w:top="452" w:right="5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52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44" w:lineRule="exact"/>
        <w:rPr>
          <w:sz w:val="20"/>
          <w:szCs w:val="20"/>
          <w:color w:val="auto"/>
        </w:rPr>
      </w:pPr>
    </w:p>
    <w:p>
      <w:pPr>
        <w:ind w:left="240"/>
        <w:spacing w:after="0"/>
        <w:tabs>
          <w:tab w:leader="none" w:pos="560" w:val="left"/>
        </w:tabs>
        <w:rPr>
          <w:sz w:val="20"/>
          <w:szCs w:val="20"/>
          <w:color w:val="auto"/>
        </w:rPr>
      </w:pPr>
      <w:r>
        <w:rPr>
          <w:rFonts w:ascii="Arial" w:cs="Arial" w:eastAsia="Arial" w:hAnsi="Arial"/>
          <w:sz w:val="18"/>
          <w:szCs w:val="18"/>
          <w:b w:val="1"/>
          <w:bCs w:val="1"/>
          <w:color w:val="auto"/>
        </w:rPr>
        <w:t>6.</w:t>
        <w:tab/>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March 31, 2020 and December 31, 2019, notes payable consisted of the following:</w:t>
      </w:r>
    </w:p>
    <w:p>
      <w:pPr>
        <w:spacing w:after="0" w:line="216"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8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w w:val="91"/>
              </w:rPr>
              <w:t>In connection with an acquisition completed in 2017, the Company is required</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to make quarterly charitable contributions of $50,000 through October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2024. The net present value of these required payments has been recorded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a liability with an interest rate of 2.17%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911,723</w:t>
            </w:r>
          </w:p>
        </w:tc>
        <w:tc>
          <w:tcPr>
            <w:tcW w:w="1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5700" w:type="dxa"/>
            <w:vAlign w:val="bottom"/>
            <w:gridSpan w:val="2"/>
          </w:tcPr>
          <w:p>
            <w:pPr>
              <w:spacing w:after="0"/>
              <w:rPr>
                <w:sz w:val="20"/>
                <w:szCs w:val="20"/>
                <w:color w:val="auto"/>
              </w:rPr>
            </w:pPr>
            <w:r>
              <w:rPr>
                <w:rFonts w:ascii="Arial" w:cs="Arial" w:eastAsia="Arial" w:hAnsi="Arial"/>
                <w:sz w:val="18"/>
                <w:szCs w:val="18"/>
                <w:color w:val="auto"/>
              </w:rPr>
              <w:t>Private placement debt dated May 22, 2019, in the original amount of</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w w:val="94"/>
              </w:rPr>
              <w:t>$105,466,429, which matures on May 22, 2022. The debt was issued at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w w:val="92"/>
              </w:rPr>
              <w:t>discount, the carrying value of which is $13,505,195 at March 31, 2020 and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w w:val="99"/>
              </w:rPr>
              <w:t>$15,090,517 at December 31, 2019, and bears interest of 12.00% per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annum.</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91,1961,234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90,375,912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notes payable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92,872,957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91,346,869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700" w:type="dxa"/>
            <w:vAlign w:val="bottom"/>
            <w:gridSpan w:val="2"/>
          </w:tcPr>
          <w:p>
            <w:pPr>
              <w:spacing w:after="0"/>
              <w:rPr>
                <w:sz w:val="20"/>
                <w:szCs w:val="20"/>
                <w:color w:val="auto"/>
              </w:rPr>
            </w:pPr>
            <w:r>
              <w:rPr>
                <w:rFonts w:ascii="Arial" w:cs="Arial" w:eastAsia="Arial" w:hAnsi="Arial"/>
                <w:sz w:val="18"/>
                <w:szCs w:val="18"/>
                <w:color w:val="auto"/>
              </w:rPr>
              <w:t>Less: current portion of notes payable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(182,926)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(206,675)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92,690,031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91,140,194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40"/>
        <w:spacing w:after="0" w:line="251" w:lineRule="auto"/>
        <w:rPr>
          <w:sz w:val="20"/>
          <w:szCs w:val="20"/>
          <w:color w:val="auto"/>
        </w:rPr>
      </w:pPr>
      <w:r>
        <w:rPr>
          <w:rFonts w:ascii="Arial" w:cs="Arial" w:eastAsia="Arial" w:hAnsi="Arial"/>
          <w:sz w:val="18"/>
          <w:szCs w:val="18"/>
          <w:color w:val="auto"/>
        </w:rPr>
        <w:t>For the three months ended March 31, 2020, the Company recognized $3,146,703 in interest expense associated with the private placement debt (before capitalized interest) and $1,585,322 in accretion expense. For the three months ended March 31, 2019, an immaterial amount of interest expense was recognized in association with the Company’s charitable contribution obligation. No accretion expense was recorded for the three months ended March 31, 2019.</w:t>
      </w:r>
    </w:p>
    <w:p>
      <w:pPr>
        <w:spacing w:after="0" w:line="290" w:lineRule="exact"/>
        <w:rPr>
          <w:sz w:val="20"/>
          <w:szCs w:val="20"/>
          <w:color w:val="auto"/>
        </w:rPr>
      </w:pPr>
    </w:p>
    <w:p>
      <w:pPr>
        <w:ind w:left="580" w:hanging="343"/>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62" w:lineRule="exact"/>
        <w:rPr>
          <w:sz w:val="20"/>
          <w:szCs w:val="20"/>
          <w:color w:val="auto"/>
        </w:rPr>
      </w:pPr>
    </w:p>
    <w:p>
      <w:pPr>
        <w:ind w:left="240" w:right="220"/>
        <w:spacing w:after="0" w:line="248" w:lineRule="auto"/>
        <w:rPr>
          <w:sz w:val="20"/>
          <w:szCs w:val="20"/>
          <w:color w:val="auto"/>
        </w:rPr>
      </w:pPr>
      <w:r>
        <w:rPr>
          <w:rFonts w:ascii="Arial" w:cs="Arial" w:eastAsia="Arial" w:hAnsi="Arial"/>
          <w:sz w:val="18"/>
          <w:szCs w:val="18"/>
          <w:color w:val="auto"/>
        </w:rPr>
        <w:t>As part of the April 12, 2019 bridge loan financing, the May 22, 2019 private placement financing and the November 9, 2019 modification, the Company issued warrants to related parties as well as unrelated third-party lenders. The related parties consisted of Benjamin Kovler, the Chief Executive Officer and a director of the Corporation (through KP Capital, LLC); Andrew Grossman, the Executive Vice President of Capital Markets (through AG Funding Group, LLC); and Anthony Georgiadis, the Chief Financial Officer and a director of the Corporation (through Three One Four Holdings, LLC and ABG, LLC). The following table summarizes the number warrants issued to related parties and third parties as of December 31, 2019 and March 31, 2020:</w:t>
      </w:r>
    </w:p>
    <w:p>
      <w:pPr>
        <w:spacing w:after="0" w:line="200"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ind w:right="118"/>
              <w:spacing w:after="0"/>
              <w:rPr>
                <w:sz w:val="20"/>
                <w:szCs w:val="20"/>
                <w:color w:val="auto"/>
              </w:rPr>
            </w:pPr>
            <w:r>
              <w:rPr>
                <w:rFonts w:ascii="Arial" w:cs="Arial" w:eastAsia="Arial" w:hAnsi="Arial"/>
                <w:sz w:val="14"/>
                <w:szCs w:val="14"/>
                <w:color w:val="auto"/>
              </w:rPr>
              <w:t>Third Party</w:t>
            </w:r>
          </w:p>
        </w:tc>
        <w:tc>
          <w:tcPr>
            <w:tcW w:w="620" w:type="dxa"/>
            <w:vAlign w:val="bottom"/>
          </w:tcPr>
          <w:p>
            <w:pPr>
              <w:spacing w:after="0"/>
              <w:rPr>
                <w:sz w:val="14"/>
                <w:szCs w:val="14"/>
                <w:color w:val="auto"/>
              </w:rPr>
            </w:pPr>
          </w:p>
        </w:tc>
        <w:tc>
          <w:tcPr>
            <w:tcW w:w="1040" w:type="dxa"/>
            <w:vAlign w:val="bottom"/>
          </w:tcPr>
          <w:p>
            <w:pPr>
              <w:jc w:val="right"/>
              <w:ind w:right="58"/>
              <w:spacing w:after="0"/>
              <w:rPr>
                <w:sz w:val="20"/>
                <w:szCs w:val="20"/>
                <w:color w:val="auto"/>
              </w:rPr>
            </w:pPr>
            <w:r>
              <w:rPr>
                <w:rFonts w:ascii="Arial" w:cs="Arial" w:eastAsia="Arial" w:hAnsi="Arial"/>
                <w:sz w:val="14"/>
                <w:szCs w:val="14"/>
                <w:color w:val="auto"/>
              </w:rPr>
              <w:t>Related Party</w:t>
            </w:r>
          </w:p>
        </w:tc>
        <w:tc>
          <w:tcPr>
            <w:tcW w:w="640" w:type="dxa"/>
            <w:vAlign w:val="bottom"/>
          </w:tcPr>
          <w:p>
            <w:pPr>
              <w:spacing w:after="0"/>
              <w:rPr>
                <w:sz w:val="14"/>
                <w:szCs w:val="14"/>
                <w:color w:val="auto"/>
              </w:rPr>
            </w:pPr>
          </w:p>
        </w:tc>
        <w:tc>
          <w:tcPr>
            <w:tcW w:w="1240" w:type="dxa"/>
            <w:vAlign w:val="bottom"/>
          </w:tcPr>
          <w:p>
            <w:pPr>
              <w:jc w:val="right"/>
              <w:ind w:right="38"/>
              <w:spacing w:after="0"/>
              <w:rPr>
                <w:sz w:val="20"/>
                <w:szCs w:val="20"/>
                <w:color w:val="auto"/>
              </w:rPr>
            </w:pPr>
            <w:r>
              <w:rPr>
                <w:rFonts w:ascii="Arial" w:cs="Arial" w:eastAsia="Arial" w:hAnsi="Arial"/>
                <w:sz w:val="14"/>
                <w:szCs w:val="14"/>
                <w:color w:val="auto"/>
                <w:w w:val="95"/>
              </w:rPr>
              <w:t>Weighted Average</w:t>
            </w:r>
          </w:p>
        </w:tc>
        <w:tc>
          <w:tcPr>
            <w:tcW w:w="1640" w:type="dxa"/>
            <w:vAlign w:val="bottom"/>
            <w:gridSpan w:val="3"/>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64"/>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Number of Shares</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Number of Shares</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Exercise Price (CAD)</w:t>
            </w:r>
          </w:p>
        </w:tc>
        <w:tc>
          <w:tcPr>
            <w:tcW w:w="5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Contractual Life</w:t>
            </w:r>
          </w:p>
        </w:tc>
      </w:tr>
      <w:tr>
        <w:trPr>
          <w:trHeight w:val="204"/>
        </w:trPr>
        <w:tc>
          <w:tcPr>
            <w:tcW w:w="20" w:type="dxa"/>
            <w:vAlign w:val="bottom"/>
          </w:tcPr>
          <w:p>
            <w:pPr>
              <w:spacing w:after="0"/>
              <w:rPr>
                <w:sz w:val="17"/>
                <w:szCs w:val="17"/>
                <w:color w:val="auto"/>
              </w:rPr>
            </w:pPr>
          </w:p>
        </w:tc>
        <w:tc>
          <w:tcPr>
            <w:tcW w:w="3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as at December 31, 2019</w:t>
            </w:r>
          </w:p>
        </w:tc>
        <w:tc>
          <w:tcPr>
            <w:tcW w:w="6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2,387,470</w:t>
            </w:r>
          </w:p>
        </w:tc>
        <w:tc>
          <w:tcPr>
            <w:tcW w:w="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19,341</w:t>
            </w:r>
          </w:p>
        </w:tc>
        <w:tc>
          <w:tcPr>
            <w:tcW w:w="6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18.59</w:t>
            </w:r>
          </w:p>
        </w:tc>
        <w:tc>
          <w:tcPr>
            <w:tcW w:w="5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4.86</w:t>
            </w:r>
          </w:p>
        </w:tc>
        <w:tc>
          <w:tcPr>
            <w:tcW w:w="60" w:type="dxa"/>
            <w:vAlign w:val="bottom"/>
            <w:tcBorders>
              <w:top w:val="single" w:sz="8" w:color="CCEEFF"/>
            </w:tcBorders>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Balance as at March 31, 2020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2,387,470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18"/>
                <w:szCs w:val="18"/>
                <w:color w:val="auto"/>
              </w:rPr>
            </w:pPr>
          </w:p>
        </w:tc>
      </w:tr>
      <w:tr>
        <w:trPr>
          <w:trHeight w:val="356"/>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40"/>
          </w:cols>
          <w:pgMar w:left="320" w:top="452"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58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17" w:lineRule="exact"/>
        <w:rPr>
          <w:sz w:val="20"/>
          <w:szCs w:val="20"/>
          <w:color w:val="auto"/>
        </w:rPr>
      </w:pPr>
    </w:p>
    <w:p>
      <w:pPr>
        <w:ind w:left="580" w:hanging="343"/>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 LIABILITY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15" w:lineRule="exact"/>
        <w:rPr>
          <w:sz w:val="20"/>
          <w:szCs w:val="20"/>
          <w:color w:val="auto"/>
        </w:rPr>
      </w:pPr>
    </w:p>
    <w:p>
      <w:pPr>
        <w:ind w:left="240" w:right="120"/>
        <w:spacing w:after="0" w:line="251" w:lineRule="auto"/>
        <w:rPr>
          <w:sz w:val="20"/>
          <w:szCs w:val="20"/>
          <w:color w:val="auto"/>
        </w:rPr>
      </w:pPr>
      <w:r>
        <w:rPr>
          <w:rFonts w:ascii="Arial" w:cs="Arial" w:eastAsia="Arial" w:hAnsi="Arial"/>
          <w:sz w:val="18"/>
          <w:szCs w:val="18"/>
          <w:color w:val="auto"/>
        </w:rPr>
        <w:t>The warrants allow the holders to purchase Subordinate Voting Shares at an exercise price determined at the time of issuance. The exercise price of the warrants is denominated in Canadian dollars whereas the Company’s functional currency is U.S. Dollars. As such, the Company is required to measure the warrant liability at fair value using a Monte Carlo simulation model. The following table summarizes the fair value of the warrant liability at March 31, 2020 and December 31, 2019:</w:t>
      </w:r>
    </w:p>
    <w:p>
      <w:pPr>
        <w:spacing w:after="0" w:line="191"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Strike</w:t>
            </w:r>
          </w:p>
        </w:tc>
        <w:tc>
          <w:tcPr>
            <w:tcW w:w="340" w:type="dxa"/>
            <w:vAlign w:val="bottom"/>
          </w:tcPr>
          <w:p>
            <w:pPr>
              <w:spacing w:after="0"/>
              <w:rPr>
                <w:sz w:val="14"/>
                <w:szCs w:val="14"/>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Warrants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4"/>
                <w:szCs w:val="14"/>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5"/>
        </w:trPr>
        <w:tc>
          <w:tcPr>
            <w:tcW w:w="10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9"/>
              </w:rPr>
              <w:t>Warrant Liability</w:t>
            </w:r>
          </w:p>
        </w:tc>
        <w:tc>
          <w:tcPr>
            <w:tcW w:w="328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auto"/>
            </w:tcBorders>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6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C$</w:t>
            </w:r>
          </w:p>
        </w:tc>
        <w:tc>
          <w:tcPr>
            <w:tcW w:w="340" w:type="dxa"/>
            <w:vAlign w:val="bottom"/>
          </w:tcPr>
          <w:p>
            <w:pPr>
              <w:spacing w:after="0"/>
              <w:rPr>
                <w:sz w:val="15"/>
                <w:szCs w:val="15"/>
                <w:color w:val="auto"/>
              </w:rPr>
            </w:pPr>
          </w:p>
        </w:tc>
        <w:tc>
          <w:tcPr>
            <w:tcW w:w="760" w:type="dxa"/>
            <w:vAlign w:val="bottom"/>
          </w:tcPr>
          <w:p>
            <w:pPr>
              <w:jc w:val="right"/>
              <w:ind w:right="121"/>
              <w:spacing w:after="0" w:line="155" w:lineRule="exact"/>
              <w:rPr>
                <w:sz w:val="20"/>
                <w:szCs w:val="20"/>
                <w:color w:val="auto"/>
              </w:rPr>
            </w:pPr>
            <w:r>
              <w:rPr>
                <w:rFonts w:ascii="Arial" w:cs="Arial" w:eastAsia="Arial" w:hAnsi="Arial"/>
                <w:sz w:val="14"/>
                <w:szCs w:val="14"/>
                <w:b w:val="1"/>
                <w:bCs w:val="1"/>
                <w:color w:val="auto"/>
              </w:rPr>
              <w:t>Issued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80" w:type="dxa"/>
            <w:vAlign w:val="bottom"/>
            <w:tcBorders>
              <w:top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color w:val="auto"/>
              </w:rPr>
              <w:t>Bridge Financing Warrants</w:t>
            </w:r>
          </w:p>
        </w:tc>
        <w:tc>
          <w:tcPr>
            <w:tcW w:w="1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color w:val="auto"/>
                <w:w w:val="88"/>
              </w:rPr>
              <w:t>C$22.90</w:t>
            </w:r>
          </w:p>
        </w:tc>
        <w:tc>
          <w:tcPr>
            <w:tcW w:w="3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218,964</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454,000</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97"/>
              </w:rPr>
              <w:t>1,385,400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80" w:type="dxa"/>
            <w:vAlign w:val="bottom"/>
            <w:gridSpan w:val="2"/>
          </w:tcPr>
          <w:p>
            <w:pPr>
              <w:spacing w:after="0"/>
              <w:rPr>
                <w:sz w:val="20"/>
                <w:szCs w:val="20"/>
                <w:color w:val="auto"/>
              </w:rPr>
            </w:pPr>
            <w:r>
              <w:rPr>
                <w:rFonts w:ascii="Arial" w:cs="Arial" w:eastAsia="Arial" w:hAnsi="Arial"/>
                <w:sz w:val="18"/>
                <w:szCs w:val="18"/>
                <w:color w:val="auto"/>
              </w:rPr>
              <w:t>Private Placement Financing Warrants</w:t>
            </w:r>
          </w:p>
        </w:tc>
        <w:tc>
          <w:tcPr>
            <w:tcW w:w="2200" w:type="dxa"/>
            <w:vAlign w:val="bottom"/>
            <w:gridSpan w:val="2"/>
          </w:tcPr>
          <w:p>
            <w:pPr>
              <w:jc w:val="center"/>
              <w:ind w:left="1492"/>
              <w:spacing w:after="0"/>
              <w:rPr>
                <w:sz w:val="20"/>
                <w:szCs w:val="20"/>
                <w:color w:val="auto"/>
              </w:rPr>
            </w:pPr>
            <w:r>
              <w:rPr>
                <w:rFonts w:ascii="Arial" w:cs="Arial" w:eastAsia="Arial" w:hAnsi="Arial"/>
                <w:sz w:val="18"/>
                <w:szCs w:val="18"/>
                <w:color w:val="auto"/>
                <w:w w:val="91"/>
              </w:rPr>
              <w:t>C$19.39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1,822,771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6,526,000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12,189,169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Modification Warrants</w:t>
            </w:r>
          </w:p>
        </w:tc>
        <w:tc>
          <w:tcPr>
            <w:tcW w:w="220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u w:val="single" w:color="auto"/>
                <w:color w:val="auto"/>
                <w:w w:val="91"/>
              </w:rPr>
              <w:t>C$</w:t>
            </w:r>
            <w:r>
              <w:rPr>
                <w:rFonts w:ascii="Arial" w:cs="Arial" w:eastAsia="Arial" w:hAnsi="Arial"/>
                <w:sz w:val="18"/>
                <w:szCs w:val="18"/>
                <w:color w:val="auto"/>
                <w:w w:val="91"/>
              </w:rPr>
              <w:t>12.04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1,517,000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2,305,274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16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2,406,811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8,497,000</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15,879,843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40" w:right="280"/>
        <w:spacing w:after="0" w:line="263" w:lineRule="auto"/>
        <w:rPr>
          <w:sz w:val="20"/>
          <w:szCs w:val="20"/>
          <w:color w:val="auto"/>
        </w:rPr>
      </w:pPr>
      <w:r>
        <w:rPr>
          <w:rFonts w:ascii="Arial" w:cs="Arial" w:eastAsia="Arial" w:hAnsi="Arial"/>
          <w:sz w:val="18"/>
          <w:szCs w:val="18"/>
          <w:color w:val="auto"/>
        </w:rPr>
        <w:t>During the three months ended March 31, 2020, the Company recorded a gain on the reduction in the fair value of the warrant liability of $7,382,843 within Other Income (Expense) on the consolidated statement of operations.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significant assumptions used in determining the fair value of the warrant liability as of each reporting date:</w:t>
      </w:r>
    </w:p>
    <w:p>
      <w:pPr>
        <w:spacing w:after="0" w:line="228"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5"/>
              </w:rPr>
              <w:t>Significant Assumptions</w:t>
            </w:r>
          </w:p>
        </w:tc>
        <w:tc>
          <w:tcPr>
            <w:tcW w:w="3500" w:type="dxa"/>
            <w:vAlign w:val="bottom"/>
          </w:tcPr>
          <w:p>
            <w:pPr>
              <w:spacing w:after="0"/>
              <w:rPr>
                <w:sz w:val="14"/>
                <w:szCs w:val="14"/>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vMerge w:val="continue"/>
          </w:tcPr>
          <w:p>
            <w:pPr>
              <w:spacing w:after="0"/>
              <w:rPr>
                <w:sz w:val="15"/>
                <w:szCs w:val="15"/>
                <w:color w:val="auto"/>
              </w:rPr>
            </w:pPr>
          </w:p>
        </w:tc>
        <w:tc>
          <w:tcPr>
            <w:tcW w:w="4820" w:type="dxa"/>
            <w:vAlign w:val="bottom"/>
            <w:gridSpan w:val="2"/>
          </w:tcPr>
          <w:p>
            <w:pPr>
              <w:jc w:val="right"/>
              <w:ind w:right="43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5"/>
                <w:szCs w:val="15"/>
                <w:color w:val="auto"/>
              </w:rPr>
            </w:pPr>
          </w:p>
        </w:tc>
        <w:tc>
          <w:tcPr>
            <w:tcW w:w="132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42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Volatility</w:t>
            </w:r>
          </w:p>
        </w:tc>
        <w:tc>
          <w:tcPr>
            <w:tcW w:w="35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82"/>
              </w:rPr>
              <w:t>100.77% - 114.74%</w:t>
            </w:r>
          </w:p>
        </w:tc>
        <w:tc>
          <w:tcPr>
            <w:tcW w:w="4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82"/>
              </w:rPr>
              <w:t>117.43% - 123.64%</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20"/>
                <w:szCs w:val="20"/>
                <w:color w:val="auto"/>
              </w:rPr>
            </w:pPr>
            <w:r>
              <w:rPr>
                <w:rFonts w:ascii="Arial" w:cs="Arial" w:eastAsia="Arial" w:hAnsi="Arial"/>
                <w:sz w:val="18"/>
                <w:szCs w:val="18"/>
                <w:color w:val="auto"/>
              </w:rPr>
              <w:t>Remaining Term</w:t>
            </w:r>
          </w:p>
        </w:tc>
        <w:tc>
          <w:tcPr>
            <w:tcW w:w="3500" w:type="dxa"/>
            <w:vAlign w:val="bottom"/>
          </w:tcPr>
          <w:p>
            <w:pPr>
              <w:spacing w:after="0"/>
              <w:rPr>
                <w:sz w:val="18"/>
                <w:szCs w:val="18"/>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2.53 – 4.61 years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2.78 - 4.86 years</w:t>
            </w:r>
          </w:p>
        </w:tc>
        <w:tc>
          <w:tcPr>
            <w:tcW w:w="0" w:type="dxa"/>
            <w:vAlign w:val="bottom"/>
          </w:tcPr>
          <w:p>
            <w:pPr>
              <w:spacing w:after="0"/>
              <w:rPr>
                <w:sz w:val="1"/>
                <w:szCs w:val="1"/>
                <w:color w:val="auto"/>
              </w:rPr>
            </w:pPr>
          </w:p>
        </w:tc>
      </w:tr>
      <w:tr>
        <w:trPr>
          <w:trHeight w:val="211"/>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5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0.50% - 0.60%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 - 1.69%</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580" w:hanging="343"/>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62" w:lineRule="exact"/>
        <w:rPr>
          <w:sz w:val="20"/>
          <w:szCs w:val="20"/>
          <w:color w:val="auto"/>
        </w:rPr>
      </w:pPr>
    </w:p>
    <w:p>
      <w:pPr>
        <w:ind w:left="240" w:right="200"/>
        <w:spacing w:after="0" w:line="263" w:lineRule="auto"/>
        <w:rPr>
          <w:sz w:val="20"/>
          <w:szCs w:val="20"/>
          <w:color w:val="auto"/>
        </w:rPr>
      </w:pPr>
      <w:r>
        <w:rPr>
          <w:rFonts w:ascii="Arial" w:cs="Arial" w:eastAsia="Arial" w:hAnsi="Arial"/>
          <w:sz w:val="18"/>
          <w:szCs w:val="18"/>
          <w:color w:val="auto"/>
        </w:rPr>
        <w:t>The following table summarizes the Company’s income tax expense and effective tax rates for the three months ended March 31, 2020 and March 31, 2019:</w:t>
      </w:r>
    </w:p>
    <w:p>
      <w:pPr>
        <w:spacing w:after="0" w:line="196" w:lineRule="exact"/>
        <w:rPr>
          <w:sz w:val="20"/>
          <w:szCs w:val="20"/>
          <w:color w:val="auto"/>
        </w:rPr>
      </w:pPr>
    </w:p>
    <w:tbl>
      <w:tblPr>
        <w:tblLayout w:type="fixed"/>
        <w:tblInd w:w="1540" w:type="dxa"/>
        <w:tblCellMar>
          <w:top w:w="0" w:type="dxa"/>
          <w:left w:w="0" w:type="dxa"/>
          <w:bottom w:w="0" w:type="dxa"/>
          <w:right w:w="0" w:type="dxa"/>
        </w:tblCellMar>
      </w:tblPr>
      <w:tr>
        <w:trPr>
          <w:trHeight w:val="168"/>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r>
      <w:tr>
        <w:trPr>
          <w:trHeight w:val="138"/>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80" w:type="dxa"/>
            <w:vAlign w:val="bottom"/>
            <w:tcBorders>
              <w:top w:val="single" w:sz="8" w:color="auto"/>
            </w:tcBorders>
          </w:tcPr>
          <w:p>
            <w:pPr>
              <w:jc w:val="right"/>
              <w:ind w:right="224"/>
              <w:spacing w:after="0" w:line="139"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212"/>
              <w:spacing w:after="0" w:line="139"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r>
      <w:tr>
        <w:trPr>
          <w:trHeight w:val="204"/>
        </w:trPr>
        <w:tc>
          <w:tcPr>
            <w:tcW w:w="38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Income before Income Taxes</w:t>
            </w:r>
          </w:p>
        </w:tc>
        <w:tc>
          <w:tcPr>
            <w:tcW w:w="17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0"/>
              </w:rPr>
              <w:t>$ 9,385,440</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2"/>
              </w:rPr>
              <w:t>$(8,468,055)</w:t>
            </w:r>
          </w:p>
        </w:tc>
        <w:tc>
          <w:tcPr>
            <w:tcW w:w="240" w:type="dxa"/>
            <w:vAlign w:val="bottom"/>
            <w:tcBorders>
              <w:top w:val="single" w:sz="8" w:color="CCEEFF"/>
            </w:tcBorders>
            <w:shd w:val="clear" w:color="auto" w:fill="CCEEFF"/>
          </w:tcPr>
          <w:p>
            <w:pPr>
              <w:spacing w:after="0"/>
              <w:rPr>
                <w:sz w:val="17"/>
                <w:szCs w:val="17"/>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Income Tax Expense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13,149,000</w:t>
            </w:r>
          </w:p>
        </w:tc>
        <w:tc>
          <w:tcPr>
            <w:tcW w:w="3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1,236,000</w:t>
            </w:r>
          </w:p>
        </w:tc>
        <w:tc>
          <w:tcPr>
            <w:tcW w:w="240" w:type="dxa"/>
            <w:vAlign w:val="bottom"/>
          </w:tcPr>
          <w:p>
            <w:pPr>
              <w:spacing w:after="0"/>
              <w:rPr>
                <w:sz w:val="18"/>
                <w:szCs w:val="18"/>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140.1%</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r>
    </w:tbl>
    <w:p>
      <w:pPr>
        <w:spacing w:after="0" w:line="199" w:lineRule="exact"/>
        <w:rPr>
          <w:sz w:val="20"/>
          <w:szCs w:val="20"/>
          <w:color w:val="auto"/>
        </w:rPr>
      </w:pPr>
    </w:p>
    <w:p>
      <w:pPr>
        <w:ind w:left="240"/>
        <w:spacing w:after="0" w:line="263" w:lineRule="auto"/>
        <w:rPr>
          <w:sz w:val="20"/>
          <w:szCs w:val="20"/>
          <w:color w:val="auto"/>
        </w:rPr>
      </w:pPr>
      <w:r>
        <w:rPr>
          <w:rFonts w:ascii="Arial" w:cs="Arial" w:eastAsia="Arial" w:hAnsi="Arial"/>
          <w:sz w:val="18"/>
          <w:szCs w:val="18"/>
          <w:color w:val="auto"/>
        </w:rPr>
        <w:t>The effective tax rates for the three months ended March 31, 2020 and March 31, 2019 were based on the Company’s forecasted annualized effective tax rates and were adjusted for discrete items that occurred within the periods presented.</w:t>
      </w:r>
    </w:p>
    <w:p>
      <w:pPr>
        <w:spacing w:after="0" w:line="180" w:lineRule="exact"/>
        <w:rPr>
          <w:sz w:val="20"/>
          <w:szCs w:val="20"/>
          <w:color w:val="auto"/>
        </w:rPr>
      </w:pPr>
    </w:p>
    <w:p>
      <w:pPr>
        <w:ind w:left="240" w:right="140"/>
        <w:spacing w:after="0" w:line="254" w:lineRule="auto"/>
        <w:rPr>
          <w:sz w:val="20"/>
          <w:szCs w:val="20"/>
          <w:color w:val="auto"/>
        </w:rPr>
      </w:pPr>
      <w:r>
        <w:rPr>
          <w:rFonts w:ascii="Arial" w:cs="Arial" w:eastAsia="Arial" w:hAnsi="Arial"/>
          <w:sz w:val="18"/>
          <w:szCs w:val="18"/>
          <w:color w:val="auto"/>
        </w:rPr>
        <w:t>Due to its cannabis operations, the Company is subject to the limitations of Internal Revenue Code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188" w:lineRule="exact"/>
        <w:rPr>
          <w:sz w:val="20"/>
          <w:szCs w:val="20"/>
          <w:color w:val="auto"/>
        </w:rPr>
      </w:pPr>
    </w:p>
    <w:p>
      <w:pPr>
        <w:ind w:left="240" w:right="200"/>
        <w:spacing w:after="0" w:line="276" w:lineRule="auto"/>
        <w:rPr>
          <w:sz w:val="20"/>
          <w:szCs w:val="20"/>
          <w:color w:val="auto"/>
        </w:rPr>
      </w:pPr>
      <w:r>
        <w:rPr>
          <w:rFonts w:ascii="Arial" w:cs="Arial" w:eastAsia="Arial" w:hAnsi="Arial"/>
          <w:sz w:val="17"/>
          <w:szCs w:val="17"/>
          <w:color w:val="auto"/>
        </w:rPr>
        <w:t>The effective tax rate for the three months ended March 31, 2020 varies widely from the three months ended March 31, 2019 primarily due to the Company reporting pre-tax loss in 2019 as opposed to pre-tax income in 2020. The large amount of nondeductible expenses incurred by the Company subject to IRC Section 280E, was the driver for income tax expense being incurred in a pre-tax loss quarter for 2019.</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320" w:top="452" w:right="5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48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17" w:lineRule="exact"/>
        <w:rPr>
          <w:sz w:val="20"/>
          <w:szCs w:val="20"/>
          <w:color w:val="auto"/>
        </w:rPr>
      </w:pPr>
    </w:p>
    <w:p>
      <w:pPr>
        <w:ind w:left="580" w:hanging="343"/>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15" w:lineRule="exact"/>
        <w:rPr>
          <w:sz w:val="20"/>
          <w:szCs w:val="20"/>
          <w:color w:val="auto"/>
        </w:rPr>
      </w:pPr>
    </w:p>
    <w:p>
      <w:pPr>
        <w:ind w:left="240" w:right="140"/>
        <w:spacing w:after="0" w:line="254" w:lineRule="auto"/>
        <w:rPr>
          <w:sz w:val="20"/>
          <w:szCs w:val="20"/>
          <w:color w:val="auto"/>
        </w:rPr>
      </w:pPr>
      <w:r>
        <w:rPr>
          <w:rFonts w:ascii="Arial" w:cs="Arial" w:eastAsia="Arial" w:hAnsi="Arial"/>
          <w:sz w:val="18"/>
          <w:szCs w:val="18"/>
          <w:color w:val="auto"/>
        </w:rPr>
        <w:t>The Company is subject to income taxes in the United States and Canada. Significant judgment is required in evaluating the Company’s uncertain tax positions and determining the provision for income taxes. The Company’s gross unrecognized tax benefits were $4.3 million and $0.8 million as of March 31, 2020 and March 31, 2019, respectively.</w:t>
      </w:r>
    </w:p>
    <w:p>
      <w:pPr>
        <w:spacing w:after="0" w:line="188" w:lineRule="exact"/>
        <w:rPr>
          <w:sz w:val="20"/>
          <w:szCs w:val="20"/>
          <w:color w:val="auto"/>
        </w:rPr>
      </w:pPr>
    </w:p>
    <w:p>
      <w:pPr>
        <w:ind w:left="240" w:right="80"/>
        <w:spacing w:after="0" w:line="292" w:lineRule="auto"/>
        <w:rPr>
          <w:sz w:val="20"/>
          <w:szCs w:val="20"/>
          <w:color w:val="auto"/>
        </w:rPr>
      </w:pPr>
      <w:r>
        <w:rPr>
          <w:rFonts w:ascii="Arial" w:cs="Arial" w:eastAsia="Arial" w:hAnsi="Arial"/>
          <w:sz w:val="17"/>
          <w:szCs w:val="17"/>
          <w:color w:val="auto"/>
        </w:rPr>
        <w:t>The federal statute of limitation remains open for the 2017 tax year to the present. The state income tax returns generally remain open for the 2016 tax year through the present. Net operating loss arising prior to these years are also open to examination if and when utilized.</w:t>
      </w:r>
    </w:p>
    <w:p>
      <w:pPr>
        <w:spacing w:after="0" w:line="258" w:lineRule="exact"/>
        <w:rPr>
          <w:sz w:val="20"/>
          <w:szCs w:val="20"/>
          <w:color w:val="auto"/>
        </w:rPr>
      </w:pPr>
    </w:p>
    <w:p>
      <w:pPr>
        <w:ind w:left="580" w:hanging="343"/>
        <w:spacing w:after="0"/>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62" w:lineRule="exact"/>
        <w:rPr>
          <w:sz w:val="20"/>
          <w:szCs w:val="20"/>
          <w:color w:val="auto"/>
        </w:rPr>
      </w:pPr>
    </w:p>
    <w:p>
      <w:pPr>
        <w:ind w:left="240"/>
        <w:spacing w:after="0" w:line="251" w:lineRule="auto"/>
        <w:rPr>
          <w:sz w:val="20"/>
          <w:szCs w:val="20"/>
          <w:color w:val="auto"/>
        </w:rPr>
      </w:pPr>
      <w:r>
        <w:rPr>
          <w:rFonts w:ascii="Arial" w:cs="Arial" w:eastAsia="Arial" w:hAnsi="Arial"/>
          <w:sz w:val="18"/>
          <w:szCs w:val="18"/>
          <w:color w:val="auto"/>
        </w:rPr>
        <w:t>The Company holds investments in convertible notes which mature in August 2020, carry simple interest of 6.00% per annum and convert into a predetermined number of common shares. At March 31, 2020 and December 31, 2019, the fair value of these investments was $7,533,000 at the end of each period. The Company also holds direct equity investments in cannabis companies. At March 31, 2020 and December 31, 2019, the fair value of these investments was $6,320,213 and $6,535,821, respectively.</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change in the Company’s investments as of March 31, 2020:</w:t>
      </w:r>
    </w:p>
    <w:p>
      <w:pPr>
        <w:spacing w:after="0" w:line="216"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8"/>
              </w:rPr>
              <w:t>Convertible Notes</w:t>
            </w:r>
          </w:p>
        </w:tc>
        <w:tc>
          <w:tcPr>
            <w:tcW w:w="400" w:type="dxa"/>
            <w:vAlign w:val="bottom"/>
          </w:tcPr>
          <w:p>
            <w:pPr>
              <w:spacing w:after="0"/>
              <w:rPr>
                <w:sz w:val="14"/>
                <w:szCs w:val="14"/>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Receivable</w:t>
            </w:r>
          </w:p>
        </w:tc>
        <w:tc>
          <w:tcPr>
            <w:tcW w:w="4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8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2019</w:t>
            </w: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7,533,000</w:t>
            </w: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6"/>
              </w:rPr>
              <w:t>$6,535,821</w:t>
            </w: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$14,068,821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Fair value adjustment</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(215,607)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(215,607)</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760" w:type="dxa"/>
            <w:vAlign w:val="bottom"/>
            <w:gridSpan w:val="2"/>
            <w:shd w:val="clear" w:color="auto" w:fill="CCEEFF"/>
          </w:tcPr>
          <w:p>
            <w:pPr>
              <w:ind w:left="16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7,533,000</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6,320,213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13,853,214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change in the Company’s investments as of December 31, 2019:</w:t>
      </w:r>
    </w:p>
    <w:p>
      <w:pPr>
        <w:spacing w:after="0" w:line="216"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5"/>
              </w:rPr>
              <w:t>Receivable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30,336,000</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6"/>
              </w:rPr>
              <w:t>10,597,283</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7"/>
              </w:rPr>
              <w:t>$ 40,933,283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60" w:type="dxa"/>
            <w:vAlign w:val="bottom"/>
          </w:tcPr>
          <w:p>
            <w:pPr>
              <w:spacing w:after="0"/>
              <w:rPr>
                <w:sz w:val="20"/>
                <w:szCs w:val="20"/>
                <w:color w:val="auto"/>
              </w:rPr>
            </w:pPr>
            <w:r>
              <w:rPr>
                <w:rFonts w:ascii="Arial" w:cs="Arial" w:eastAsia="Arial" w:hAnsi="Arial"/>
                <w:sz w:val="18"/>
                <w:szCs w:val="18"/>
                <w:color w:val="auto"/>
              </w:rPr>
              <w:t>Fair value adjustment</w:t>
            </w:r>
          </w:p>
        </w:tc>
        <w:tc>
          <w:tcPr>
            <w:tcW w:w="14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(1,398,000)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(4,061,462)</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(5,459,462)</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(21,405,000)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(21,405,000)</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7,533,000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6,535,821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$ 14,068,821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40" w:right="280"/>
        <w:spacing w:after="0" w:line="276" w:lineRule="auto"/>
        <w:rPr>
          <w:sz w:val="20"/>
          <w:szCs w:val="20"/>
          <w:color w:val="auto"/>
        </w:rPr>
      </w:pPr>
      <w:r>
        <w:rPr>
          <w:rFonts w:ascii="Arial" w:cs="Arial" w:eastAsia="Arial" w:hAnsi="Arial"/>
          <w:sz w:val="17"/>
          <w:szCs w:val="17"/>
          <w:color w:val="auto"/>
        </w:rPr>
        <w:t>The calculated fair values are recorded as a Level 3 fair value investment as of March 31, 2020 and December 31, 2019 (see Note 13 Financial Instrument and Financial Risk Management for additional details). The convertible notes receivable were valued using the Binomial Lattice Model, which is based on a generalized binomial option pricing formula, using the following assumptions:</w:t>
      </w:r>
    </w:p>
    <w:p>
      <w:pPr>
        <w:spacing w:after="0" w:line="171"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380" w:type="dxa"/>
            <w:vAlign w:val="bottom"/>
            <w:gridSpan w:val="2"/>
          </w:tcPr>
          <w:p>
            <w:pPr>
              <w:jc w:val="center"/>
              <w:ind w:left="1975"/>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Year Ended</w:t>
            </w:r>
          </w:p>
        </w:tc>
      </w:tr>
      <w:tr>
        <w:trPr>
          <w:trHeight w:val="168"/>
        </w:trPr>
        <w:tc>
          <w:tcPr>
            <w:tcW w:w="3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March 31, 2020</w:t>
            </w:r>
          </w:p>
        </w:tc>
        <w:tc>
          <w:tcPr>
            <w:tcW w:w="1640" w:type="dxa"/>
            <w:vAlign w:val="bottom"/>
            <w:gridSpan w:val="2"/>
          </w:tcPr>
          <w:p>
            <w:pPr>
              <w:jc w:val="center"/>
              <w:ind w:left="415"/>
              <w:spacing w:after="0"/>
              <w:rPr>
                <w:sz w:val="20"/>
                <w:szCs w:val="20"/>
                <w:color w:val="auto"/>
              </w:rPr>
            </w:pPr>
            <w:r>
              <w:rPr>
                <w:rFonts w:ascii="Arial" w:cs="Arial" w:eastAsia="Arial" w:hAnsi="Arial"/>
                <w:sz w:val="14"/>
                <w:szCs w:val="14"/>
                <w:b w:val="1"/>
                <w:bCs w:val="1"/>
                <w:color w:val="auto"/>
                <w:w w:val="90"/>
              </w:rPr>
              <w:t>December 31, 2019</w:t>
            </w:r>
          </w:p>
        </w:tc>
      </w:tr>
      <w:tr>
        <w:trPr>
          <w:trHeight w:val="204"/>
        </w:trPr>
        <w:tc>
          <w:tcPr>
            <w:tcW w:w="3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Risk free rate</w:t>
            </w:r>
          </w:p>
        </w:tc>
        <w:tc>
          <w:tcPr>
            <w:tcW w:w="2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line="205" w:lineRule="exact"/>
              <w:rPr>
                <w:sz w:val="20"/>
                <w:szCs w:val="20"/>
                <w:color w:val="auto"/>
              </w:rPr>
            </w:pPr>
            <w:r>
              <w:rPr>
                <w:rFonts w:ascii="Arial" w:cs="Arial" w:eastAsia="Arial" w:hAnsi="Arial"/>
                <w:sz w:val="18"/>
                <w:szCs w:val="18"/>
                <w:color w:val="auto"/>
                <w:w w:val="89"/>
              </w:rPr>
              <w:t>1.58% - 2.46%</w:t>
            </w:r>
          </w:p>
        </w:tc>
        <w:tc>
          <w:tcPr>
            <w:tcW w:w="5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5" w:lineRule="exact"/>
              <w:rPr>
                <w:sz w:val="20"/>
                <w:szCs w:val="20"/>
                <w:color w:val="auto"/>
              </w:rPr>
            </w:pPr>
            <w:r>
              <w:rPr>
                <w:rFonts w:ascii="Arial" w:cs="Arial" w:eastAsia="Arial" w:hAnsi="Arial"/>
                <w:sz w:val="18"/>
                <w:szCs w:val="18"/>
                <w:color w:val="auto"/>
                <w:w w:val="89"/>
              </w:rPr>
              <w:t>1.58% - 2.46%</w:t>
            </w:r>
          </w:p>
        </w:tc>
      </w:tr>
      <w:tr>
        <w:trPr>
          <w:trHeight w:val="211"/>
        </w:trPr>
        <w:tc>
          <w:tcPr>
            <w:tcW w:w="3160" w:type="dxa"/>
            <w:vAlign w:val="bottom"/>
          </w:tcPr>
          <w:p>
            <w:pPr>
              <w:spacing w:after="0"/>
              <w:rPr>
                <w:sz w:val="20"/>
                <w:szCs w:val="20"/>
                <w:color w:val="auto"/>
              </w:rPr>
            </w:pPr>
            <w:r>
              <w:rPr>
                <w:rFonts w:ascii="Arial" w:cs="Arial" w:eastAsia="Arial" w:hAnsi="Arial"/>
                <w:sz w:val="18"/>
                <w:szCs w:val="18"/>
                <w:color w:val="auto"/>
              </w:rPr>
              <w:t>Equity Volatility</w:t>
            </w:r>
          </w:p>
        </w:tc>
        <w:tc>
          <w:tcPr>
            <w:tcW w:w="3380" w:type="dxa"/>
            <w:vAlign w:val="bottom"/>
            <w:gridSpan w:val="2"/>
          </w:tcPr>
          <w:p>
            <w:pPr>
              <w:jc w:val="center"/>
              <w:ind w:left="1975"/>
              <w:spacing w:after="0"/>
              <w:rPr>
                <w:sz w:val="20"/>
                <w:szCs w:val="20"/>
                <w:color w:val="auto"/>
              </w:rPr>
            </w:pPr>
            <w:r>
              <w:rPr>
                <w:rFonts w:ascii="Arial" w:cs="Arial" w:eastAsia="Arial" w:hAnsi="Arial"/>
                <w:sz w:val="18"/>
                <w:szCs w:val="18"/>
                <w:color w:val="auto"/>
                <w:w w:val="89"/>
              </w:rPr>
              <w:t>58% - 106%</w:t>
            </w:r>
          </w:p>
        </w:tc>
        <w:tc>
          <w:tcPr>
            <w:tcW w:w="1640" w:type="dxa"/>
            <w:vAlign w:val="bottom"/>
            <w:gridSpan w:val="2"/>
          </w:tcPr>
          <w:p>
            <w:pPr>
              <w:jc w:val="center"/>
              <w:ind w:left="395"/>
              <w:spacing w:after="0"/>
              <w:rPr>
                <w:sz w:val="20"/>
                <w:szCs w:val="20"/>
                <w:color w:val="auto"/>
              </w:rPr>
            </w:pPr>
            <w:r>
              <w:rPr>
                <w:rFonts w:ascii="Arial" w:cs="Arial" w:eastAsia="Arial" w:hAnsi="Arial"/>
                <w:sz w:val="18"/>
                <w:szCs w:val="18"/>
                <w:color w:val="auto"/>
                <w:w w:val="89"/>
              </w:rPr>
              <w:t>58% - 106%</w:t>
            </w:r>
          </w:p>
        </w:tc>
      </w:tr>
      <w:tr>
        <w:trPr>
          <w:trHeight w:val="211"/>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Market Yield</w:t>
            </w:r>
          </w:p>
        </w:tc>
        <w:tc>
          <w:tcPr>
            <w:tcW w:w="3380" w:type="dxa"/>
            <w:vAlign w:val="bottom"/>
            <w:gridSpan w:val="2"/>
            <w:shd w:val="clear" w:color="auto" w:fill="CCEEFF"/>
          </w:tcPr>
          <w:p>
            <w:pPr>
              <w:jc w:val="center"/>
              <w:ind w:left="1995"/>
              <w:spacing w:after="0"/>
              <w:rPr>
                <w:sz w:val="20"/>
                <w:szCs w:val="20"/>
                <w:color w:val="auto"/>
              </w:rPr>
            </w:pPr>
            <w:r>
              <w:rPr>
                <w:rFonts w:ascii="Arial" w:cs="Arial" w:eastAsia="Arial" w:hAnsi="Arial"/>
                <w:sz w:val="18"/>
                <w:szCs w:val="18"/>
                <w:color w:val="auto"/>
                <w:w w:val="88"/>
              </w:rPr>
              <w:t>15% - 18%</w:t>
            </w:r>
          </w:p>
        </w:tc>
        <w:tc>
          <w:tcPr>
            <w:tcW w:w="1640" w:type="dxa"/>
            <w:vAlign w:val="bottom"/>
            <w:gridSpan w:val="2"/>
            <w:shd w:val="clear" w:color="auto" w:fill="CCEEFF"/>
          </w:tcPr>
          <w:p>
            <w:pPr>
              <w:jc w:val="center"/>
              <w:ind w:left="415"/>
              <w:spacing w:after="0"/>
              <w:rPr>
                <w:sz w:val="20"/>
                <w:szCs w:val="20"/>
                <w:color w:val="auto"/>
              </w:rPr>
            </w:pPr>
            <w:r>
              <w:rPr>
                <w:rFonts w:ascii="Arial" w:cs="Arial" w:eastAsia="Arial" w:hAnsi="Arial"/>
                <w:sz w:val="18"/>
                <w:szCs w:val="18"/>
                <w:color w:val="auto"/>
                <w:w w:val="88"/>
              </w:rPr>
              <w:t>15% - 18%</w:t>
            </w:r>
          </w:p>
        </w:tc>
      </w:tr>
      <w:tr>
        <w:trPr>
          <w:trHeight w:val="211"/>
        </w:trPr>
        <w:tc>
          <w:tcPr>
            <w:tcW w:w="3160" w:type="dxa"/>
            <w:vAlign w:val="bottom"/>
          </w:tcPr>
          <w:p>
            <w:pPr>
              <w:spacing w:after="0"/>
              <w:rPr>
                <w:sz w:val="20"/>
                <w:szCs w:val="20"/>
                <w:color w:val="auto"/>
              </w:rPr>
            </w:pPr>
            <w:r>
              <w:rPr>
                <w:rFonts w:ascii="Arial" w:cs="Arial" w:eastAsia="Arial" w:hAnsi="Arial"/>
                <w:sz w:val="18"/>
                <w:szCs w:val="18"/>
                <w:color w:val="auto"/>
              </w:rPr>
              <w:t>Probability of Qualified Financing</w:t>
            </w:r>
          </w:p>
        </w:tc>
        <w:tc>
          <w:tcPr>
            <w:tcW w:w="3380" w:type="dxa"/>
            <w:vAlign w:val="bottom"/>
            <w:gridSpan w:val="2"/>
          </w:tcPr>
          <w:p>
            <w:pPr>
              <w:jc w:val="center"/>
              <w:ind w:left="1975"/>
              <w:spacing w:after="0"/>
              <w:rPr>
                <w:sz w:val="20"/>
                <w:szCs w:val="20"/>
                <w:color w:val="auto"/>
              </w:rPr>
            </w:pPr>
            <w:r>
              <w:rPr>
                <w:rFonts w:ascii="Arial" w:cs="Arial" w:eastAsia="Arial" w:hAnsi="Arial"/>
                <w:sz w:val="18"/>
                <w:szCs w:val="18"/>
                <w:color w:val="auto"/>
                <w:w w:val="92"/>
              </w:rPr>
              <w:t>0%</w:t>
            </w:r>
          </w:p>
        </w:tc>
        <w:tc>
          <w:tcPr>
            <w:tcW w:w="1640" w:type="dxa"/>
            <w:vAlign w:val="bottom"/>
            <w:gridSpan w:val="2"/>
          </w:tcPr>
          <w:p>
            <w:pPr>
              <w:jc w:val="center"/>
              <w:ind w:left="415"/>
              <w:spacing w:after="0"/>
              <w:rPr>
                <w:sz w:val="20"/>
                <w:szCs w:val="20"/>
                <w:color w:val="auto"/>
              </w:rPr>
            </w:pPr>
            <w:r>
              <w:rPr>
                <w:rFonts w:ascii="Arial" w:cs="Arial" w:eastAsia="Arial" w:hAnsi="Arial"/>
                <w:sz w:val="18"/>
                <w:szCs w:val="18"/>
                <w:color w:val="auto"/>
                <w:w w:val="84"/>
              </w:rPr>
              <w:t>0%</w:t>
            </w:r>
          </w:p>
        </w:tc>
      </w:tr>
      <w:tr>
        <w:trPr>
          <w:trHeight w:val="211"/>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3380" w:type="dxa"/>
            <w:vAlign w:val="bottom"/>
            <w:gridSpan w:val="2"/>
            <w:shd w:val="clear" w:color="auto" w:fill="CCEEFF"/>
          </w:tcPr>
          <w:p>
            <w:pPr>
              <w:jc w:val="center"/>
              <w:ind w:left="1975"/>
              <w:spacing w:after="0"/>
              <w:rPr>
                <w:sz w:val="20"/>
                <w:szCs w:val="20"/>
                <w:color w:val="auto"/>
              </w:rPr>
            </w:pPr>
            <w:r>
              <w:rPr>
                <w:rFonts w:ascii="Arial" w:cs="Arial" w:eastAsia="Arial" w:hAnsi="Arial"/>
                <w:sz w:val="18"/>
                <w:szCs w:val="18"/>
                <w:color w:val="auto"/>
                <w:w w:val="88"/>
              </w:rPr>
              <w:t>30%</w:t>
            </w:r>
          </w:p>
        </w:tc>
        <w:tc>
          <w:tcPr>
            <w:tcW w:w="1640" w:type="dxa"/>
            <w:vAlign w:val="bottom"/>
            <w:gridSpan w:val="2"/>
            <w:shd w:val="clear" w:color="auto" w:fill="CCEEFF"/>
          </w:tcPr>
          <w:p>
            <w:pPr>
              <w:jc w:val="center"/>
              <w:ind w:left="415"/>
              <w:spacing w:after="0"/>
              <w:rPr>
                <w:sz w:val="20"/>
                <w:szCs w:val="20"/>
                <w:color w:val="auto"/>
              </w:rPr>
            </w:pPr>
            <w:r>
              <w:rPr>
                <w:rFonts w:ascii="Arial" w:cs="Arial" w:eastAsia="Arial" w:hAnsi="Arial"/>
                <w:sz w:val="18"/>
                <w:szCs w:val="18"/>
                <w:color w:val="auto"/>
                <w:w w:val="94"/>
              </w:rPr>
              <w:t>30%</w:t>
            </w: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Probability of No Event</w:t>
            </w:r>
          </w:p>
        </w:tc>
        <w:tc>
          <w:tcPr>
            <w:tcW w:w="3380" w:type="dxa"/>
            <w:vAlign w:val="bottom"/>
            <w:gridSpan w:val="2"/>
          </w:tcPr>
          <w:p>
            <w:pPr>
              <w:jc w:val="center"/>
              <w:ind w:left="1975"/>
              <w:spacing w:after="0"/>
              <w:rPr>
                <w:sz w:val="20"/>
                <w:szCs w:val="20"/>
                <w:color w:val="auto"/>
              </w:rPr>
            </w:pPr>
            <w:r>
              <w:rPr>
                <w:rFonts w:ascii="Arial" w:cs="Arial" w:eastAsia="Arial" w:hAnsi="Arial"/>
                <w:sz w:val="18"/>
                <w:szCs w:val="18"/>
                <w:color w:val="auto"/>
                <w:w w:val="88"/>
              </w:rPr>
              <w:t>70%</w:t>
            </w:r>
          </w:p>
        </w:tc>
        <w:tc>
          <w:tcPr>
            <w:tcW w:w="1640" w:type="dxa"/>
            <w:vAlign w:val="bottom"/>
            <w:gridSpan w:val="2"/>
          </w:tcPr>
          <w:p>
            <w:pPr>
              <w:jc w:val="center"/>
              <w:ind w:left="415"/>
              <w:spacing w:after="0"/>
              <w:rPr>
                <w:sz w:val="20"/>
                <w:szCs w:val="20"/>
                <w:color w:val="auto"/>
              </w:rPr>
            </w:pPr>
            <w:r>
              <w:rPr>
                <w:rFonts w:ascii="Arial" w:cs="Arial" w:eastAsia="Arial" w:hAnsi="Arial"/>
                <w:sz w:val="18"/>
                <w:szCs w:val="18"/>
                <w:color w:val="auto"/>
                <w:w w:val="94"/>
              </w:rPr>
              <w:t>70%</w:t>
            </w:r>
          </w:p>
        </w:tc>
      </w:tr>
      <w:tr>
        <w:trPr>
          <w:trHeight w:val="344"/>
        </w:trPr>
        <w:tc>
          <w:tcPr>
            <w:tcW w:w="3160" w:type="dxa"/>
            <w:vAlign w:val="bottom"/>
          </w:tcPr>
          <w:p>
            <w:pPr>
              <w:spacing w:after="0"/>
              <w:rPr>
                <w:sz w:val="24"/>
                <w:szCs w:val="24"/>
                <w:color w:val="auto"/>
              </w:rPr>
            </w:pPr>
          </w:p>
        </w:tc>
        <w:tc>
          <w:tcPr>
            <w:tcW w:w="2100" w:type="dxa"/>
            <w:vAlign w:val="bottom"/>
          </w:tcPr>
          <w:p>
            <w:pPr>
              <w:jc w:val="right"/>
              <w:ind w:right="895"/>
              <w:spacing w:after="0"/>
              <w:rPr>
                <w:sz w:val="20"/>
                <w:szCs w:val="20"/>
                <w:color w:val="auto"/>
              </w:rPr>
            </w:pPr>
            <w:r>
              <w:rPr>
                <w:rFonts w:ascii="Arial" w:cs="Arial" w:eastAsia="Arial" w:hAnsi="Arial"/>
                <w:sz w:val="18"/>
                <w:szCs w:val="18"/>
                <w:color w:val="auto"/>
              </w:rPr>
              <w:t>-17-</w:t>
            </w: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900"/>
          </w:cols>
          <w:pgMar w:left="320" w:top="452"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58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44" w:lineRule="exact"/>
        <w:rPr>
          <w:sz w:val="20"/>
          <w:szCs w:val="20"/>
          <w:color w:val="auto"/>
        </w:rPr>
      </w:pPr>
    </w:p>
    <w:p>
      <w:pPr>
        <w:ind w:left="680" w:hanging="443"/>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62" w:lineRule="exact"/>
        <w:rPr>
          <w:sz w:val="20"/>
          <w:szCs w:val="20"/>
          <w:color w:val="auto"/>
        </w:rPr>
      </w:pPr>
    </w:p>
    <w:p>
      <w:pPr>
        <w:ind w:left="240" w:right="140"/>
        <w:spacing w:after="0" w:line="251" w:lineRule="auto"/>
        <w:rPr>
          <w:sz w:val="20"/>
          <w:szCs w:val="20"/>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330" w:lineRule="exact"/>
        <w:rPr>
          <w:sz w:val="20"/>
          <w:szCs w:val="20"/>
          <w:color w:val="auto"/>
        </w:rPr>
      </w:pPr>
    </w:p>
    <w:p>
      <w:pPr>
        <w:ind w:left="1180" w:hanging="521"/>
        <w:spacing w:after="0"/>
        <w:tabs>
          <w:tab w:leader="none" w:pos="1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1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The Company has the following classes of share capital, with each class having no par value:</w:t>
      </w:r>
    </w:p>
    <w:p>
      <w:pPr>
        <w:spacing w:after="0" w:line="355" w:lineRule="exact"/>
        <w:rPr>
          <w:sz w:val="20"/>
          <w:szCs w:val="20"/>
          <w:color w:val="auto"/>
        </w:rPr>
      </w:pPr>
    </w:p>
    <w:p>
      <w:pPr>
        <w:ind w:left="1620" w:hanging="419"/>
        <w:spacing w:after="0"/>
        <w:tabs>
          <w:tab w:leader="none" w:pos="1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116" w:lineRule="exact"/>
        <w:rPr>
          <w:sz w:val="20"/>
          <w:szCs w:val="20"/>
          <w:color w:val="auto"/>
        </w:rPr>
      </w:pPr>
    </w:p>
    <w:p>
      <w:pPr>
        <w:ind w:left="1200"/>
        <w:spacing w:after="0" w:line="311" w:lineRule="auto"/>
        <w:rPr>
          <w:sz w:val="20"/>
          <w:szCs w:val="20"/>
          <w:color w:val="auto"/>
        </w:rPr>
      </w:pPr>
      <w:r>
        <w:rPr>
          <w:rFonts w:ascii="Arial" w:cs="Arial" w:eastAsia="Arial" w:hAnsi="Arial"/>
          <w:sz w:val="15"/>
          <w:szCs w:val="15"/>
          <w:color w:val="auto"/>
        </w:rPr>
        <w:t>The holders of the Subordinate Voting Shares are entitled to receive dividends which may be declared from time to time, and are entitled to one vote per share at shareholder meetings of the Company. All Subordinate Voting Shares are ranked equally with regard to the Company’s residual assets. The Company is authorized to issue an unlimited number of no par value Subordinate Voting Shares. During the three months ending March 31, 2020, the shareholders of the Company converted 134,846 Multiple Voting Shares into 13,484,600 Subordinate Voting Shares and 11,475 Super Voting Shares into 1,147,500 Subordinate Voting Shares.</w:t>
      </w:r>
    </w:p>
    <w:p>
      <w:pPr>
        <w:spacing w:after="0" w:line="289" w:lineRule="exact"/>
        <w:rPr>
          <w:sz w:val="20"/>
          <w:szCs w:val="20"/>
          <w:color w:val="auto"/>
        </w:rPr>
      </w:pPr>
    </w:p>
    <w:p>
      <w:pPr>
        <w:ind w:left="1620" w:hanging="419"/>
        <w:spacing w:after="0"/>
        <w:tabs>
          <w:tab w:leader="none" w:pos="1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16" w:lineRule="exact"/>
        <w:rPr>
          <w:sz w:val="20"/>
          <w:szCs w:val="20"/>
          <w:color w:val="auto"/>
        </w:rPr>
      </w:pPr>
    </w:p>
    <w:p>
      <w:pPr>
        <w:ind w:left="1200"/>
        <w:spacing w:after="0" w:line="249" w:lineRule="auto"/>
        <w:rPr>
          <w:sz w:val="20"/>
          <w:szCs w:val="20"/>
          <w:color w:val="auto"/>
        </w:rPr>
      </w:pPr>
      <w:r>
        <w:rPr>
          <w:rFonts w:ascii="Arial" w:cs="Arial" w:eastAsia="Arial" w:hAnsi="Arial"/>
          <w:sz w:val="18"/>
          <w:szCs w:val="18"/>
          <w:color w:val="auto"/>
        </w:rPr>
        <w:t>Each Multiple Voting Share is entitled to one hundred votes per share at shareholder meetings of the Company and is exchangeable for 100 Subordinate Voting Shares. At March 31, 2020, the Company has 238,504 issued and outstanding Multiple Voting Shares, which convert into 23,850,400 Subordinate Voting Shares. The Company is authorized to issue an unlimited number of Multiple Voting Shares. During the three months ending March 31, 2020, the shareholders of the Company converted 11,475 Super Voting Shares into 11,475 Multiple Voting Shares.</w:t>
      </w:r>
    </w:p>
    <w:p>
      <w:pPr>
        <w:spacing w:after="0" w:line="333" w:lineRule="exact"/>
        <w:rPr>
          <w:sz w:val="20"/>
          <w:szCs w:val="20"/>
          <w:color w:val="auto"/>
        </w:rPr>
      </w:pPr>
    </w:p>
    <w:p>
      <w:pPr>
        <w:ind w:left="1200"/>
        <w:spacing w:after="0"/>
        <w:tabs>
          <w:tab w:leader="none" w:pos="160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5"/>
          <w:szCs w:val="15"/>
          <w:b w:val="1"/>
          <w:bCs w:val="1"/>
          <w:color w:val="auto"/>
        </w:rPr>
        <w:t>Super Voting Shares</w:t>
      </w:r>
    </w:p>
    <w:p>
      <w:pPr>
        <w:spacing w:after="0" w:line="116" w:lineRule="exact"/>
        <w:rPr>
          <w:sz w:val="20"/>
          <w:szCs w:val="20"/>
          <w:color w:val="auto"/>
        </w:rPr>
      </w:pPr>
    </w:p>
    <w:p>
      <w:pPr>
        <w:ind w:left="1200" w:right="40"/>
        <w:spacing w:after="0" w:line="249" w:lineRule="auto"/>
        <w:rPr>
          <w:sz w:val="20"/>
          <w:szCs w:val="20"/>
          <w:color w:val="auto"/>
        </w:rPr>
      </w:pPr>
      <w:r>
        <w:rPr>
          <w:rFonts w:ascii="Arial" w:cs="Arial" w:eastAsia="Arial" w:hAnsi="Arial"/>
          <w:sz w:val="18"/>
          <w:szCs w:val="18"/>
          <w:color w:val="auto"/>
        </w:rPr>
        <w:t>Each Super Voting Share is entitled to one thousand votes per share at shareholder meetings of the Company and is exchangeable for 100 Subordinate Voting Shares. At March 31, 2020, the Company has 390,814 issued and outstanding Super Voting Shares which convert into 39,081,400 Subordinate Voting Shares. The Company is authorized to issue an unlimited number of Super Voting Shares. During the three months ending March 31, 2020, the shareholders of the Company converted 11,475 Super Voting Shares into 11,475 Multiple Voting Shares.</w:t>
      </w:r>
    </w:p>
    <w:p>
      <w:pPr>
        <w:spacing w:after="0" w:line="333" w:lineRule="exact"/>
        <w:rPr>
          <w:sz w:val="20"/>
          <w:szCs w:val="20"/>
          <w:color w:val="auto"/>
        </w:rPr>
      </w:pPr>
    </w:p>
    <w:p>
      <w:pPr>
        <w:ind w:left="1180" w:hanging="521"/>
        <w:spacing w:after="0"/>
        <w:tabs>
          <w:tab w:leader="none" w:pos="1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1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32" w:lineRule="exact"/>
        <w:rPr>
          <w:sz w:val="20"/>
          <w:szCs w:val="20"/>
          <w:color w:val="auto"/>
        </w:rPr>
      </w:pPr>
    </w:p>
    <w:tbl>
      <w:tblPr>
        <w:tblLayout w:type="fixed"/>
        <w:tblInd w:w="1100" w:type="dxa"/>
        <w:tblCellMar>
          <w:top w:w="0" w:type="dxa"/>
          <w:left w:w="0" w:type="dxa"/>
          <w:bottom w:w="0" w:type="dxa"/>
          <w:right w:w="0" w:type="dxa"/>
        </w:tblCellMar>
      </w:tblPr>
      <w:tr>
        <w:trPr>
          <w:trHeight w:val="168"/>
        </w:trPr>
        <w:tc>
          <w:tcPr>
            <w:tcW w:w="5940" w:type="dxa"/>
            <w:vAlign w:val="bottom"/>
          </w:tcPr>
          <w:p>
            <w:pPr>
              <w:spacing w:after="0"/>
              <w:rPr>
                <w:sz w:val="14"/>
                <w:szCs w:val="14"/>
                <w:color w:val="auto"/>
              </w:rPr>
            </w:pPr>
          </w:p>
        </w:tc>
        <w:tc>
          <w:tcPr>
            <w:tcW w:w="23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Issued and Outstanding</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gridSpan w:val="2"/>
          </w:tcPr>
          <w:p>
            <w:pPr>
              <w:jc w:val="right"/>
              <w:ind w:right="380"/>
              <w:spacing w:after="0" w:line="120" w:lineRule="exact"/>
              <w:rPr>
                <w:sz w:val="20"/>
                <w:szCs w:val="20"/>
                <w:color w:val="auto"/>
              </w:rPr>
            </w:pPr>
            <w:r>
              <w:rPr>
                <w:rFonts w:ascii="Arial" w:cs="Arial" w:eastAsia="Arial" w:hAnsi="Arial"/>
                <w:sz w:val="13"/>
                <w:szCs w:val="13"/>
                <w:color w:val="auto"/>
              </w:rPr>
              <w:t>Multiple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Voting</w:t>
            </w:r>
          </w:p>
        </w:tc>
        <w:tc>
          <w:tcPr>
            <w:tcW w:w="74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Super</w:t>
            </w:r>
          </w:p>
        </w:tc>
        <w:tc>
          <w:tcPr>
            <w:tcW w:w="0" w:type="dxa"/>
            <w:vAlign w:val="bottom"/>
          </w:tcPr>
          <w:p>
            <w:pPr>
              <w:spacing w:after="0"/>
              <w:rPr>
                <w:sz w:val="1"/>
                <w:szCs w:val="1"/>
                <w:color w:val="auto"/>
              </w:rPr>
            </w:pPr>
          </w:p>
        </w:tc>
      </w:tr>
      <w:tr>
        <w:trPr>
          <w:trHeight w:val="145"/>
        </w:trPr>
        <w:tc>
          <w:tcPr>
            <w:tcW w:w="5940" w:type="dxa"/>
            <w:vAlign w:val="bottom"/>
          </w:tcPr>
          <w:p>
            <w:pPr>
              <w:spacing w:after="0"/>
              <w:rPr>
                <w:sz w:val="12"/>
                <w:szCs w:val="12"/>
                <w:color w:val="auto"/>
              </w:rPr>
            </w:pPr>
          </w:p>
        </w:tc>
        <w:tc>
          <w:tcPr>
            <w:tcW w:w="140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w w:val="88"/>
              </w:rPr>
              <w:t>Subordinate Voting</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Voting</w:t>
            </w:r>
          </w:p>
        </w:tc>
        <w:tc>
          <w:tcPr>
            <w:tcW w:w="0" w:type="dxa"/>
            <w:vAlign w:val="bottom"/>
          </w:tcPr>
          <w:p>
            <w:pPr>
              <w:spacing w:after="0"/>
              <w:rPr>
                <w:sz w:val="1"/>
                <w:szCs w:val="1"/>
                <w:color w:val="auto"/>
              </w:rPr>
            </w:pPr>
          </w:p>
        </w:tc>
      </w:tr>
      <w:tr>
        <w:trPr>
          <w:trHeight w:val="164"/>
        </w:trPr>
        <w:tc>
          <w:tcPr>
            <w:tcW w:w="594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color w:val="auto"/>
              </w:rPr>
              <w:t>Shares</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04"/>
        </w:trPr>
        <w:tc>
          <w:tcPr>
            <w:tcW w:w="59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As at December 31, 2019</w:t>
            </w:r>
          </w:p>
        </w:tc>
        <w:tc>
          <w:tcPr>
            <w:tcW w:w="10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128,999,964</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373,350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5"/>
              </w:rPr>
              <w:t>402,289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40" w:type="dxa"/>
            <w:vAlign w:val="bottom"/>
          </w:tcPr>
          <w:p>
            <w:pPr>
              <w:spacing w:after="0"/>
              <w:rPr>
                <w:sz w:val="20"/>
                <w:szCs w:val="20"/>
                <w:color w:val="auto"/>
              </w:rPr>
            </w:pPr>
            <w:r>
              <w:rPr>
                <w:rFonts w:ascii="Arial" w:cs="Arial" w:eastAsia="Arial" w:hAnsi="Arial"/>
                <w:sz w:val="18"/>
                <w:szCs w:val="18"/>
                <w:color w:val="auto"/>
              </w:rPr>
              <w:t>Issuance of shares under business combinations and investments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1,115,618</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Issuances of shares upon vesting of RSUs</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63,890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940" w:type="dxa"/>
            <w:vAlign w:val="bottom"/>
          </w:tcPr>
          <w:p>
            <w:pPr>
              <w:spacing w:after="0"/>
              <w:rPr>
                <w:sz w:val="20"/>
                <w:szCs w:val="20"/>
                <w:color w:val="auto"/>
              </w:rPr>
            </w:pPr>
            <w:r>
              <w:rPr>
                <w:rFonts w:ascii="Arial" w:cs="Arial" w:eastAsia="Arial" w:hAnsi="Arial"/>
                <w:sz w:val="18"/>
                <w:szCs w:val="18"/>
                <w:color w:val="auto"/>
              </w:rPr>
              <w:t>Exchange of shares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14,632,100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(134,846)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6"/>
        </w:trPr>
        <w:tc>
          <w:tcPr>
            <w:tcW w:w="59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March 31, 2020</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144,811,572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238,504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390,814</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4340"/>
              <w:spacing w:after="0"/>
              <w:rPr>
                <w:sz w:val="20"/>
                <w:szCs w:val="20"/>
                <w:color w:val="auto"/>
              </w:rPr>
            </w:pPr>
            <w:r>
              <w:rPr>
                <w:rFonts w:ascii="Arial" w:cs="Arial" w:eastAsia="Arial" w:hAnsi="Arial"/>
                <w:sz w:val="18"/>
                <w:szCs w:val="18"/>
                <w:color w:val="auto"/>
              </w:rPr>
              <w:t>-18-</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9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2" w:right="5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58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17" w:lineRule="exact"/>
        <w:rPr>
          <w:sz w:val="20"/>
          <w:szCs w:val="20"/>
          <w:color w:val="auto"/>
        </w:rPr>
      </w:pPr>
    </w:p>
    <w:p>
      <w:pPr>
        <w:ind w:left="680" w:hanging="443"/>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09" w:lineRule="exact"/>
        <w:rPr>
          <w:sz w:val="20"/>
          <w:szCs w:val="20"/>
          <w:color w:val="auto"/>
        </w:rPr>
      </w:pPr>
    </w:p>
    <w:p>
      <w:pPr>
        <w:ind w:left="1080" w:hanging="413"/>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6" w:lineRule="exact"/>
        <w:rPr>
          <w:sz w:val="20"/>
          <w:szCs w:val="20"/>
          <w:color w:val="auto"/>
        </w:rPr>
      </w:pPr>
    </w:p>
    <w:p>
      <w:pPr>
        <w:ind w:left="660" w:right="80"/>
        <w:spacing w:after="0" w:line="311" w:lineRule="auto"/>
        <w:rPr>
          <w:sz w:val="20"/>
          <w:szCs w:val="20"/>
          <w:color w:val="auto"/>
        </w:rPr>
      </w:pPr>
      <w:r>
        <w:rPr>
          <w:rFonts w:ascii="Arial" w:cs="Arial" w:eastAsia="Arial" w:hAnsi="Arial"/>
          <w:sz w:val="15"/>
          <w:szCs w:val="15"/>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44" w:lineRule="exact"/>
        <w:rPr>
          <w:sz w:val="20"/>
          <w:szCs w:val="20"/>
          <w:color w:val="auto"/>
        </w:rPr>
      </w:pPr>
    </w:p>
    <w:p>
      <w:pPr>
        <w:ind w:left="660" w:right="860"/>
        <w:spacing w:after="0" w:line="263" w:lineRule="auto"/>
        <w:rPr>
          <w:sz w:val="20"/>
          <w:szCs w:val="20"/>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75" w:lineRule="exact"/>
        <w:rPr>
          <w:sz w:val="20"/>
          <w:szCs w:val="20"/>
          <w:color w:val="auto"/>
        </w:rPr>
      </w:pPr>
    </w:p>
    <w:p>
      <w:pPr>
        <w:ind w:left="660"/>
        <w:spacing w:after="0" w:line="267" w:lineRule="auto"/>
        <w:rPr>
          <w:sz w:val="20"/>
          <w:szCs w:val="20"/>
          <w:color w:val="auto"/>
        </w:rPr>
      </w:pPr>
      <w:r>
        <w:rPr>
          <w:rFonts w:ascii="Arial" w:cs="Arial" w:eastAsia="Arial" w:hAnsi="Arial"/>
          <w:sz w:val="17"/>
          <w:szCs w:val="17"/>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periods if share options ultimately exercised are different to that estimated on vesting.</w:t>
      </w:r>
    </w:p>
    <w:p>
      <w:pPr>
        <w:spacing w:after="0" w:line="75" w:lineRule="exact"/>
        <w:rPr>
          <w:sz w:val="20"/>
          <w:szCs w:val="20"/>
          <w:color w:val="auto"/>
        </w:rPr>
      </w:pPr>
    </w:p>
    <w:p>
      <w:pPr>
        <w:ind w:left="660" w:right="80"/>
        <w:spacing w:after="0" w:line="254" w:lineRule="auto"/>
        <w:rPr>
          <w:sz w:val="20"/>
          <w:szCs w:val="20"/>
          <w:color w:val="auto"/>
        </w:rPr>
      </w:pPr>
      <w:r>
        <w:rPr>
          <w:rFonts w:ascii="Arial" w:cs="Arial" w:eastAsia="Arial" w:hAnsi="Arial"/>
          <w:sz w:val="18"/>
          <w:szCs w:val="18"/>
          <w:color w:val="auto"/>
        </w:rPr>
        <w:t>In June 2018, the Company established the Green Thumb Industries Inc. 2018 Stock and Incentive Plan, which was amended by Amendment No. 1 thereto (as amended, the “Plan”). The maximum number of shares issued under the Plan shall not exceed 10% of the issued and outstanding shares.</w:t>
      </w:r>
    </w:p>
    <w:p>
      <w:pPr>
        <w:spacing w:after="0" w:line="82" w:lineRule="exact"/>
        <w:rPr>
          <w:sz w:val="20"/>
          <w:szCs w:val="20"/>
          <w:color w:val="auto"/>
        </w:rPr>
      </w:pPr>
    </w:p>
    <w:p>
      <w:pPr>
        <w:ind w:left="660" w:right="160"/>
        <w:spacing w:after="0" w:line="254" w:lineRule="auto"/>
        <w:rPr>
          <w:sz w:val="20"/>
          <w:szCs w:val="20"/>
          <w:color w:val="auto"/>
        </w:rPr>
      </w:pPr>
      <w:r>
        <w:rPr>
          <w:rFonts w:ascii="Arial" w:cs="Arial" w:eastAsia="Arial" w:hAnsi="Arial"/>
          <w:sz w:val="18"/>
          <w:szCs w:val="18"/>
          <w:color w:val="auto"/>
        </w:rPr>
        <w:t>Option and RSU grants generally vest over one to three years, and options typically have a life of five or ten years. Option grants are determined by the Compensation Committee of the Board with the option price set at no less than 100% of the fair market value of a share on the date of grant. Stock option activity is summarized as follows:</w:t>
      </w:r>
    </w:p>
    <w:p>
      <w:pPr>
        <w:spacing w:after="0" w:line="192"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Weighted</w:t>
            </w:r>
          </w:p>
        </w:tc>
        <w:tc>
          <w:tcPr>
            <w:tcW w:w="5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1"/>
              </w:rPr>
              <w:t>Weighted</w:t>
            </w:r>
          </w:p>
        </w:tc>
        <w:tc>
          <w:tcPr>
            <w:tcW w:w="46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color w:val="auto"/>
                <w:w w:val="89"/>
              </w:rPr>
              <w:t>Aggregate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Number of</w:t>
            </w:r>
          </w:p>
        </w:tc>
        <w:tc>
          <w:tcPr>
            <w:tcW w:w="1220" w:type="dxa"/>
            <w:vAlign w:val="bottom"/>
            <w:gridSpan w:val="2"/>
          </w:tcPr>
          <w:p>
            <w:pPr>
              <w:jc w:val="center"/>
              <w:ind w:left="136"/>
              <w:spacing w:after="0" w:line="145" w:lineRule="exact"/>
              <w:rPr>
                <w:sz w:val="20"/>
                <w:szCs w:val="20"/>
                <w:color w:val="auto"/>
              </w:rPr>
            </w:pPr>
            <w:r>
              <w:rPr>
                <w:rFonts w:ascii="Arial" w:cs="Arial" w:eastAsia="Arial" w:hAnsi="Arial"/>
                <w:sz w:val="14"/>
                <w:szCs w:val="14"/>
                <w:color w:val="auto"/>
                <w:w w:val="91"/>
              </w:rPr>
              <w:t>Average Exercise</w:t>
            </w:r>
          </w:p>
        </w:tc>
        <w:tc>
          <w:tcPr>
            <w:tcW w:w="52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w w:val="88"/>
              </w:rPr>
              <w:t>Average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5"/>
              </w:rPr>
              <w:t>Intrinsic</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5"/>
              </w:rPr>
              <w:t>Price (C$)</w:t>
            </w:r>
          </w:p>
        </w:tc>
        <w:tc>
          <w:tcPr>
            <w:tcW w:w="1460" w:type="dxa"/>
            <w:vAlign w:val="bottom"/>
            <w:gridSpan w:val="2"/>
          </w:tcPr>
          <w:p>
            <w:pPr>
              <w:jc w:val="center"/>
              <w:ind w:left="436"/>
              <w:spacing w:after="0"/>
              <w:rPr>
                <w:sz w:val="20"/>
                <w:szCs w:val="20"/>
                <w:color w:val="auto"/>
              </w:rPr>
            </w:pPr>
            <w:r>
              <w:rPr>
                <w:rFonts w:ascii="Arial" w:cs="Arial" w:eastAsia="Arial" w:hAnsi="Arial"/>
                <w:sz w:val="14"/>
                <w:szCs w:val="14"/>
                <w:color w:val="auto"/>
                <w:w w:val="95"/>
              </w:rPr>
              <w:t>Contractual Life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as at December 31, 2019</w:t>
            </w:r>
          </w:p>
        </w:tc>
        <w:tc>
          <w:tcPr>
            <w:tcW w:w="7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2"/>
              </w:rPr>
              <w:t>3,839,017</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13.21</w:t>
            </w:r>
          </w:p>
        </w:tc>
        <w:tc>
          <w:tcPr>
            <w:tcW w:w="5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ind w:left="559"/>
              <w:spacing w:after="0" w:line="205" w:lineRule="exact"/>
              <w:rPr>
                <w:sz w:val="20"/>
                <w:szCs w:val="20"/>
                <w:color w:val="auto"/>
              </w:rPr>
            </w:pPr>
            <w:r>
              <w:rPr>
                <w:rFonts w:ascii="Arial" w:cs="Arial" w:eastAsia="Arial" w:hAnsi="Arial"/>
                <w:sz w:val="18"/>
                <w:szCs w:val="18"/>
                <w:color w:val="auto"/>
                <w:w w:val="85"/>
              </w:rPr>
              <w:t>5.81</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6"/>
              </w:rPr>
              <w:t>218,234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2,391,028</w:t>
            </w: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1460" w:type="dxa"/>
            <w:vAlign w:val="bottom"/>
            <w:gridSpan w:val="2"/>
          </w:tcPr>
          <w:p>
            <w:pPr>
              <w:jc w:val="center"/>
              <w:ind w:left="1076"/>
              <w:spacing w:after="0"/>
              <w:rPr>
                <w:sz w:val="20"/>
                <w:szCs w:val="20"/>
                <w:color w:val="auto"/>
              </w:rPr>
            </w:pPr>
            <w:r>
              <w:rPr>
                <w:rFonts w:ascii="Arial" w:cs="Arial" w:eastAsia="Arial" w:hAnsi="Arial"/>
                <w:sz w:val="18"/>
                <w:szCs w:val="18"/>
                <w:color w:val="auto"/>
                <w:w w:val="85"/>
              </w:rPr>
              <w:t>5.00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1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(255,104)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14.89</w:t>
            </w:r>
          </w:p>
        </w:tc>
        <w:tc>
          <w:tcPr>
            <w:tcW w:w="1460" w:type="dxa"/>
            <w:vAlign w:val="bottom"/>
            <w:gridSpan w:val="2"/>
          </w:tcPr>
          <w:p>
            <w:pPr>
              <w:jc w:val="center"/>
              <w:ind w:left="1076"/>
              <w:spacing w:after="0"/>
              <w:rPr>
                <w:sz w:val="20"/>
                <w:szCs w:val="20"/>
                <w:color w:val="auto"/>
              </w:rPr>
            </w:pPr>
            <w:r>
              <w:rPr>
                <w:rFonts w:ascii="Arial" w:cs="Arial" w:eastAsia="Arial" w:hAnsi="Arial"/>
                <w:sz w:val="18"/>
                <w:szCs w:val="18"/>
                <w:color w:val="auto"/>
                <w:w w:val="85"/>
              </w:rPr>
              <w:t>5.01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March 31, 2020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5,974,938</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460" w:type="dxa"/>
            <w:vAlign w:val="bottom"/>
            <w:gridSpan w:val="2"/>
            <w:shd w:val="clear" w:color="auto" w:fill="CCEEFF"/>
          </w:tcPr>
          <w:p>
            <w:pPr>
              <w:jc w:val="center"/>
              <w:ind w:left="1076"/>
              <w:spacing w:after="0"/>
              <w:rPr>
                <w:sz w:val="20"/>
                <w:szCs w:val="20"/>
                <w:color w:val="auto"/>
              </w:rPr>
            </w:pPr>
            <w:r>
              <w:rPr>
                <w:rFonts w:ascii="Arial" w:cs="Arial" w:eastAsia="Arial" w:hAnsi="Arial"/>
                <w:sz w:val="18"/>
                <w:szCs w:val="18"/>
                <w:color w:val="auto"/>
                <w:w w:val="85"/>
              </w:rPr>
              <w:t>5.52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Vested</w:t>
            </w:r>
          </w:p>
        </w:tc>
        <w:tc>
          <w:tcPr>
            <w:tcW w:w="760" w:type="dxa"/>
            <w:vAlign w:val="bottom"/>
          </w:tcPr>
          <w:p>
            <w:pPr>
              <w:jc w:val="right"/>
              <w:spacing w:after="0"/>
              <w:rPr>
                <w:sz w:val="20"/>
                <w:szCs w:val="20"/>
                <w:color w:val="auto"/>
              </w:rPr>
            </w:pPr>
            <w:r>
              <w:rPr>
                <w:rFonts w:ascii="Arial" w:cs="Arial" w:eastAsia="Arial" w:hAnsi="Arial"/>
                <w:sz w:val="18"/>
                <w:szCs w:val="18"/>
                <w:color w:val="auto"/>
              </w:rPr>
              <w:t>740,545</w:t>
            </w: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14.21</w:t>
            </w:r>
          </w:p>
        </w:tc>
        <w:tc>
          <w:tcPr>
            <w:tcW w:w="1460" w:type="dxa"/>
            <w:vAlign w:val="bottom"/>
            <w:gridSpan w:val="2"/>
          </w:tcPr>
          <w:p>
            <w:pPr>
              <w:jc w:val="center"/>
              <w:ind w:left="1076"/>
              <w:spacing w:after="0"/>
              <w:rPr>
                <w:sz w:val="20"/>
                <w:szCs w:val="20"/>
                <w:color w:val="auto"/>
              </w:rPr>
            </w:pPr>
            <w:r>
              <w:rPr>
                <w:rFonts w:ascii="Arial" w:cs="Arial" w:eastAsia="Arial" w:hAnsi="Arial"/>
                <w:sz w:val="18"/>
                <w:szCs w:val="18"/>
                <w:color w:val="auto"/>
                <w:w w:val="85"/>
              </w:rPr>
              <w:t>6.94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2020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19"/>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60" w:right="60"/>
        <w:spacing w:after="0" w:line="311" w:lineRule="auto"/>
        <w:rPr>
          <w:sz w:val="20"/>
          <w:szCs w:val="20"/>
          <w:color w:val="auto"/>
        </w:rPr>
      </w:pPr>
      <w:r>
        <w:rPr>
          <w:rFonts w:ascii="Arial" w:cs="Arial" w:eastAsia="Arial" w:hAnsi="Arial"/>
          <w:sz w:val="15"/>
          <w:szCs w:val="15"/>
          <w:color w:val="auto"/>
        </w:rPr>
        <w:t>The aggregate intrinsic value in the table above represents the total pre-tax intrinsic value (the difference between the Company’s closing stock price on March 31, 2020 and December 31, 2019, respectively, and the exercise price, multiplied by the number of in-the-money options) that would have been received by the option holders had all option holders exercised their in-the-money options on March 31, 2020 and December 31, 2019. This amount will change in future periods based on the fair market value of the Company’s stock and the number of options outstanding. There were no options exercised for the three months ending March 31, 2020 and the year ended December 31, 2019.</w:t>
      </w:r>
    </w:p>
    <w:p>
      <w:pPr>
        <w:spacing w:after="0" w:line="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320" w:top="452" w:right="5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54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17" w:lineRule="exact"/>
        <w:rPr>
          <w:sz w:val="20"/>
          <w:szCs w:val="20"/>
          <w:color w:val="auto"/>
        </w:rPr>
      </w:pPr>
    </w:p>
    <w:p>
      <w:pPr>
        <w:ind w:left="680" w:hanging="443"/>
        <w:spacing w:after="0"/>
        <w:tabs>
          <w:tab w:leader="none" w:pos="6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56" w:lineRule="exact"/>
        <w:rPr>
          <w:sz w:val="20"/>
          <w:szCs w:val="20"/>
          <w:color w:val="auto"/>
        </w:rPr>
      </w:pPr>
    </w:p>
    <w:p>
      <w:pPr>
        <w:ind w:left="1080" w:hanging="413"/>
        <w:spacing w:after="0"/>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b w:val="1"/>
          <w:bCs w:val="1"/>
          <w:i w:val="1"/>
          <w:iCs w:val="1"/>
          <w:color w:val="auto"/>
        </w:rPr>
        <w:t>(continued)</w:t>
      </w:r>
    </w:p>
    <w:p>
      <w:pPr>
        <w:spacing w:after="0" w:line="129"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The Company used the Black-Scholes option pricing model to estimate the fair value of the options at the grant date using the following ranges of assumptions:</w:t>
      </w:r>
    </w:p>
    <w:p>
      <w:pPr>
        <w:spacing w:after="0" w:line="219" w:lineRule="exact"/>
        <w:rPr>
          <w:sz w:val="20"/>
          <w:szCs w:val="20"/>
          <w:color w:val="auto"/>
        </w:rPr>
      </w:pPr>
    </w:p>
    <w:tbl>
      <w:tblPr>
        <w:tblLayout w:type="fixed"/>
        <w:tblInd w:w="19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- 2.33%</w:t>
            </w:r>
          </w:p>
        </w:tc>
      </w:tr>
      <w:tr>
        <w:trPr>
          <w:trHeight w:val="211"/>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1"/>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- 100%</w:t>
            </w: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Expected option life</w:t>
            </w:r>
          </w:p>
        </w:tc>
        <w:tc>
          <w:tcPr>
            <w:tcW w:w="3360" w:type="dxa"/>
            <w:vAlign w:val="bottom"/>
          </w:tcPr>
          <w:p>
            <w:pPr>
              <w:jc w:val="right"/>
              <w:spacing w:after="0"/>
              <w:rPr>
                <w:sz w:val="20"/>
                <w:szCs w:val="20"/>
                <w:color w:val="auto"/>
              </w:rPr>
            </w:pPr>
            <w:r>
              <w:rPr>
                <w:rFonts w:ascii="Arial" w:cs="Arial" w:eastAsia="Arial" w:hAnsi="Arial"/>
                <w:sz w:val="18"/>
                <w:szCs w:val="18"/>
                <w:color w:val="auto"/>
              </w:rPr>
              <w:t>3 – 10 years</w:t>
            </w:r>
          </w:p>
        </w:tc>
      </w:tr>
    </w:tbl>
    <w:p>
      <w:pPr>
        <w:spacing w:after="0" w:line="187" w:lineRule="exact"/>
        <w:rPr>
          <w:sz w:val="20"/>
          <w:szCs w:val="20"/>
          <w:color w:val="auto"/>
        </w:rPr>
      </w:pPr>
    </w:p>
    <w:p>
      <w:pPr>
        <w:ind w:left="660" w:right="140"/>
        <w:spacing w:after="0" w:line="254"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 As permitted under ASC 718, the Company has made an accounting policy choice to account for forfeitures when they occur.</w:t>
      </w:r>
    </w:p>
    <w:p>
      <w:pPr>
        <w:spacing w:after="0" w:line="82" w:lineRule="exact"/>
        <w:rPr>
          <w:sz w:val="20"/>
          <w:szCs w:val="20"/>
          <w:color w:val="auto"/>
        </w:rPr>
      </w:pPr>
    </w:p>
    <w:p>
      <w:pPr>
        <w:ind w:left="660" w:right="40"/>
        <w:spacing w:after="0" w:line="263" w:lineRule="auto"/>
        <w:rPr>
          <w:sz w:val="20"/>
          <w:szCs w:val="20"/>
          <w:color w:val="auto"/>
        </w:rPr>
      </w:pPr>
      <w:r>
        <w:rPr>
          <w:rFonts w:ascii="Arial" w:cs="Arial" w:eastAsia="Arial" w:hAnsi="Arial"/>
          <w:sz w:val="18"/>
          <w:szCs w:val="18"/>
          <w:color w:val="auto"/>
        </w:rPr>
        <w:t>The following table summarizes the number of non-vested RSU awards as of March 31, 2020 and December 31, 2019 and the changes during the year ended December 31, 2019:</w:t>
      </w:r>
    </w:p>
    <w:p>
      <w:pPr>
        <w:spacing w:after="0" w:line="185"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3"/>
          </w:tcPr>
          <w:p>
            <w:pPr>
              <w:jc w:val="center"/>
              <w:ind w:left="156"/>
              <w:spacing w:after="0"/>
              <w:rPr>
                <w:sz w:val="20"/>
                <w:szCs w:val="20"/>
                <w:color w:val="auto"/>
              </w:rPr>
            </w:pPr>
            <w:r>
              <w:rPr>
                <w:rFonts w:ascii="Arial" w:cs="Arial" w:eastAsia="Arial" w:hAnsi="Arial"/>
                <w:sz w:val="14"/>
                <w:szCs w:val="14"/>
                <w:color w:val="auto"/>
                <w:w w:val="88"/>
              </w:rPr>
              <w:t>Weighted Average</w:t>
            </w:r>
          </w:p>
        </w:tc>
      </w:tr>
      <w:tr>
        <w:trPr>
          <w:trHeight w:val="145"/>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3"/>
              </w:rPr>
              <w:t>Grant Date Fair</w:t>
            </w:r>
          </w:p>
        </w:tc>
      </w:tr>
      <w:tr>
        <w:trPr>
          <w:trHeight w:val="164"/>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60" w:type="dxa"/>
            <w:vAlign w:val="bottom"/>
            <w:gridSpan w:val="3"/>
          </w:tcPr>
          <w:p>
            <w:pPr>
              <w:jc w:val="right"/>
              <w:ind w:right="360"/>
              <w:spacing w:after="0"/>
              <w:rPr>
                <w:sz w:val="20"/>
                <w:szCs w:val="20"/>
                <w:color w:val="auto"/>
              </w:rPr>
            </w:pPr>
            <w:r>
              <w:rPr>
                <w:rFonts w:ascii="Arial" w:cs="Arial" w:eastAsia="Arial" w:hAnsi="Arial"/>
                <w:sz w:val="14"/>
                <w:szCs w:val="14"/>
                <w:color w:val="auto"/>
              </w:rPr>
              <w:t>Number of Shares</w:t>
            </w:r>
          </w:p>
        </w:tc>
        <w:tc>
          <w:tcPr>
            <w:tcW w:w="30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Value (C$)</w:t>
            </w:r>
          </w:p>
        </w:tc>
      </w:tr>
      <w:tr>
        <w:trPr>
          <w:trHeight w:val="204"/>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Non-vested RSUs at December 31, 2019</w:t>
            </w:r>
          </w:p>
        </w:tc>
        <w:tc>
          <w:tcPr>
            <w:tcW w:w="1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1,399,762</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9.30</w:t>
            </w:r>
          </w:p>
        </w:tc>
        <w:tc>
          <w:tcPr>
            <w:tcW w:w="40" w:type="dxa"/>
            <w:vAlign w:val="bottom"/>
            <w:tcBorders>
              <w:top w:val="single" w:sz="8" w:color="CCEEFF"/>
            </w:tcBorders>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Granted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168,526</w:t>
            </w: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10.86</w:t>
            </w: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(26,500)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4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Vested</w:t>
            </w:r>
          </w:p>
        </w:tc>
        <w:tc>
          <w:tcPr>
            <w:tcW w:w="1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(63,890)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16.89</w:t>
            </w: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RSUs at March 31, 2020</w:t>
            </w:r>
          </w:p>
        </w:tc>
        <w:tc>
          <w:tcPr>
            <w:tcW w:w="12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1,477,898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40" w:type="dxa"/>
            <w:vAlign w:val="bottom"/>
            <w:shd w:val="clear" w:color="auto" w:fill="CCEEFF"/>
          </w:tcPr>
          <w:p>
            <w:pPr>
              <w:spacing w:after="0"/>
              <w:rPr>
                <w:sz w:val="18"/>
                <w:szCs w:val="18"/>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stock-based compensation expense for the three months ended March 31, 2020 and 2019 was as follows:</w:t>
      </w:r>
    </w:p>
    <w:p>
      <w:pPr>
        <w:spacing w:after="0" w:line="232"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For the Three Months Ended</w:t>
      </w:r>
    </w:p>
    <w:p>
      <w:pPr>
        <w:jc w:val="center"/>
        <w:ind w:left="6100"/>
        <w:spacing w:after="0" w:line="226" w:lineRule="auto"/>
        <w:rPr>
          <w:sz w:val="20"/>
          <w:szCs w:val="20"/>
          <w:color w:val="auto"/>
        </w:rPr>
      </w:pPr>
      <w:r>
        <w:rPr>
          <w:rFonts w:ascii="Arial" w:cs="Arial" w:eastAsia="Arial" w:hAnsi="Arial"/>
          <w:sz w:val="14"/>
          <w:szCs w:val="14"/>
          <w:b w:val="1"/>
          <w:bCs w:val="1"/>
          <w:color w:val="auto"/>
        </w:rPr>
        <w:t>March 31,</w:t>
      </w: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0" w:type="dxa"/>
            <w:vAlign w:val="bottom"/>
            <w:tcBorders>
              <w:top w:val="single" w:sz="8" w:color="auto"/>
            </w:tcBorders>
          </w:tcPr>
          <w:p>
            <w:pPr>
              <w:jc w:val="right"/>
              <w:ind w:right="198"/>
              <w:spacing w:after="0" w:line="139" w:lineRule="exact"/>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tcBorders>
            <w:gridSpan w:val="2"/>
          </w:tcPr>
          <w:p>
            <w:pPr>
              <w:jc w:val="right"/>
              <w:ind w:right="192"/>
              <w:spacing w:after="0" w:line="139"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Stock Options Expense</w:t>
            </w:r>
          </w:p>
        </w:tc>
        <w:tc>
          <w:tcPr>
            <w:tcW w:w="16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4"/>
              </w:rPr>
              <w:t>$2,691,157</w:t>
            </w: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6"/>
              </w:rPr>
              <w:t>$4,258,467</w:t>
            </w:r>
          </w:p>
        </w:tc>
        <w:tc>
          <w:tcPr>
            <w:tcW w:w="40" w:type="dxa"/>
            <w:vAlign w:val="bottom"/>
            <w:tcBorders>
              <w:top w:val="single" w:sz="8" w:color="CCEEFF"/>
            </w:tcBorders>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RSUs</w:t>
            </w:r>
          </w:p>
        </w:tc>
        <w:tc>
          <w:tcPr>
            <w:tcW w:w="16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2,382,585</w:t>
            </w:r>
          </w:p>
        </w:tc>
        <w:tc>
          <w:tcPr>
            <w:tcW w:w="3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1,586,333</w:t>
            </w: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5,073,742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5,844,800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2"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As of March 31, 2020, $33,957,180 of total unrecognized expense related to Stock Based Compensation awards is expected to be recognized over a weighted-average period of 2.29 years.</w:t>
      </w:r>
    </w:p>
    <w:p>
      <w:pPr>
        <w:spacing w:after="0" w:line="180" w:lineRule="exact"/>
        <w:rPr>
          <w:sz w:val="20"/>
          <w:szCs w:val="20"/>
          <w:color w:val="auto"/>
        </w:rPr>
      </w:pPr>
    </w:p>
    <w:p>
      <w:pPr>
        <w:ind w:left="1100" w:hanging="433"/>
        <w:spacing w:after="0"/>
        <w:tabs>
          <w:tab w:leader="none" w:pos="11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Contingent Consideration</w:t>
      </w:r>
    </w:p>
    <w:p>
      <w:pPr>
        <w:spacing w:after="0" w:line="110" w:lineRule="exact"/>
        <w:rPr>
          <w:sz w:val="20"/>
          <w:szCs w:val="20"/>
          <w:color w:val="auto"/>
        </w:rPr>
      </w:pPr>
    </w:p>
    <w:p>
      <w:pPr>
        <w:ind w:left="660" w:right="240"/>
        <w:spacing w:after="0" w:line="254" w:lineRule="auto"/>
        <w:rPr>
          <w:sz w:val="20"/>
          <w:szCs w:val="20"/>
          <w:color w:val="auto"/>
        </w:rPr>
      </w:pPr>
      <w:r>
        <w:rPr>
          <w:rFonts w:ascii="Arial" w:cs="Arial" w:eastAsia="Arial" w:hAnsi="Arial"/>
          <w:sz w:val="18"/>
          <w:szCs w:val="18"/>
          <w:color w:val="auto"/>
        </w:rPr>
        <w:t>During the three months ended March 31, 2020, the Company issued 1,067,168 Subordinate Voting Shares to the previous owners of certain entities in connection with acquisitions completed during 2019. Upon issuance, the Company recorded a reduction of $8,967,257 to contingent consideration payable and a corresponding increase in share capital.</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320" w:top="452"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56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44" w:lineRule="exact"/>
        <w:rPr>
          <w:sz w:val="20"/>
          <w:szCs w:val="20"/>
          <w:color w:val="auto"/>
        </w:rPr>
      </w:pPr>
    </w:p>
    <w:p>
      <w:pPr>
        <w:ind w:left="240"/>
        <w:spacing w:after="0"/>
        <w:tabs>
          <w:tab w:leader="none" w:pos="6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three months ended March 31, 2020 and 2019 other income (expense) was comprised of the following:</w:t>
      </w: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560" w:type="dxa"/>
            <w:vAlign w:val="bottom"/>
            <w:gridSpan w:val="7"/>
          </w:tcPr>
          <w:p>
            <w:pPr>
              <w:ind w:left="40"/>
              <w:spacing w:after="0"/>
              <w:rPr>
                <w:sz w:val="20"/>
                <w:szCs w:val="20"/>
                <w:color w:val="auto"/>
              </w:rPr>
            </w:pPr>
            <w:r>
              <w:rPr>
                <w:rFonts w:ascii="Arial" w:cs="Arial" w:eastAsia="Arial" w:hAnsi="Arial"/>
                <w:sz w:val="14"/>
                <w:szCs w:val="14"/>
                <w:b w:val="1"/>
                <w:bCs w:val="1"/>
                <w:color w:val="auto"/>
                <w:w w:val="96"/>
              </w:rPr>
              <w:t>For the Three Months Ended March 31,</w:t>
            </w:r>
          </w:p>
        </w:tc>
      </w:tr>
      <w:tr>
        <w:trPr>
          <w:trHeight w:val="138"/>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39"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39"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4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Fair value adjustments on equity investments</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(215,607)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602,964</w:t>
            </w:r>
          </w:p>
        </w:tc>
        <w:tc>
          <w:tcPr>
            <w:tcW w:w="4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Fair value adjustments on variable note receivable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(810,337)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4,109,794</w:t>
            </w: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put and call options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409,847</w:t>
            </w:r>
          </w:p>
        </w:tc>
        <w:tc>
          <w:tcPr>
            <w:tcW w:w="4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Fair value adjustments on warrant liability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7,382,843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contingent consideration</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134,048</w:t>
            </w: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12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6,786,110</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5,256,653</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2" w:lineRule="exact"/>
        <w:rPr>
          <w:sz w:val="20"/>
          <w:szCs w:val="20"/>
          <w:color w:val="auto"/>
        </w:rPr>
      </w:pPr>
    </w:p>
    <w:p>
      <w:pPr>
        <w:ind w:left="240"/>
        <w:spacing w:after="0"/>
        <w:tabs>
          <w:tab w:leader="none" w:pos="62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62" w:lineRule="exact"/>
        <w:rPr>
          <w:sz w:val="20"/>
          <w:szCs w:val="20"/>
          <w:color w:val="auto"/>
        </w:rPr>
      </w:pPr>
    </w:p>
    <w:p>
      <w:pPr>
        <w:ind w:left="240" w:right="40"/>
        <w:spacing w:after="0" w:line="251"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90" w:lineRule="exact"/>
        <w:rPr>
          <w:sz w:val="20"/>
          <w:szCs w:val="20"/>
          <w:color w:val="auto"/>
        </w:rPr>
      </w:pPr>
    </w:p>
    <w:p>
      <w:pPr>
        <w:ind w:left="240" w:right="20"/>
        <w:spacing w:after="0" w:line="254"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188" w:lineRule="exact"/>
        <w:rPr>
          <w:sz w:val="20"/>
          <w:szCs w:val="20"/>
          <w:color w:val="auto"/>
        </w:rPr>
      </w:pPr>
    </w:p>
    <w:p>
      <w:pPr>
        <w:ind w:left="240" w:right="320"/>
        <w:spacing w:after="0" w:line="364" w:lineRule="auto"/>
        <w:rPr>
          <w:sz w:val="20"/>
          <w:szCs w:val="20"/>
          <w:color w:val="auto"/>
        </w:rPr>
      </w:pPr>
      <w:r>
        <w:rPr>
          <w:rFonts w:ascii="Arial" w:cs="Arial" w:eastAsia="Arial" w:hAnsi="Arial"/>
          <w:sz w:val="15"/>
          <w:szCs w:val="15"/>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250" w:lineRule="exact"/>
        <w:rPr>
          <w:sz w:val="20"/>
          <w:szCs w:val="20"/>
          <w:color w:val="auto"/>
        </w:rPr>
      </w:pPr>
    </w:p>
    <w:p>
      <w:pPr>
        <w:ind w:left="1180" w:hanging="521"/>
        <w:spacing w:after="0"/>
        <w:tabs>
          <w:tab w:leader="none" w:pos="1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15" w:lineRule="exact"/>
        <w:rPr>
          <w:rFonts w:ascii="Arial" w:cs="Arial" w:eastAsia="Arial" w:hAnsi="Arial"/>
          <w:sz w:val="18"/>
          <w:szCs w:val="18"/>
          <w:b w:val="1"/>
          <w:bCs w:val="1"/>
          <w:color w:val="auto"/>
        </w:rPr>
      </w:pPr>
    </w:p>
    <w:p>
      <w:pPr>
        <w:ind w:left="1200" w:right="60"/>
        <w:spacing w:after="0" w:line="311" w:lineRule="auto"/>
        <w:rPr>
          <w:rFonts w:ascii="Arial" w:cs="Arial" w:eastAsia="Arial" w:hAnsi="Arial"/>
          <w:sz w:val="18"/>
          <w:szCs w:val="18"/>
          <w:b w:val="1"/>
          <w:bCs w:val="1"/>
          <w:color w:val="auto"/>
        </w:rPr>
      </w:pPr>
      <w:r>
        <w:rPr>
          <w:rFonts w:ascii="Arial" w:cs="Arial" w:eastAsia="Arial" w:hAnsi="Arial"/>
          <w:sz w:val="15"/>
          <w:szCs w:val="15"/>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in that specific state or local jurisdiction. While management believes that the Company is in compliance with applicable local and state regulations at March 31, 2020 and December 31, 2019, cannabis regulations continue to evolve and are subject to differing interpretations. As a result, the Company may be subject to regulatory fines, penalties, or restrictions in the future.</w:t>
      </w:r>
    </w:p>
    <w:p>
      <w:pPr>
        <w:spacing w:after="0" w:line="289" w:lineRule="exact"/>
        <w:rPr>
          <w:rFonts w:ascii="Arial" w:cs="Arial" w:eastAsia="Arial" w:hAnsi="Arial"/>
          <w:sz w:val="18"/>
          <w:szCs w:val="18"/>
          <w:b w:val="1"/>
          <w:bCs w:val="1"/>
          <w:color w:val="auto"/>
        </w:rPr>
      </w:pPr>
    </w:p>
    <w:p>
      <w:pPr>
        <w:ind w:left="1180" w:hanging="521"/>
        <w:spacing w:after="0"/>
        <w:tabs>
          <w:tab w:leader="none" w:pos="1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15" w:lineRule="exact"/>
        <w:rPr>
          <w:rFonts w:ascii="Arial" w:cs="Arial" w:eastAsia="Arial" w:hAnsi="Arial"/>
          <w:sz w:val="18"/>
          <w:szCs w:val="18"/>
          <w:b w:val="1"/>
          <w:bCs w:val="1"/>
          <w:color w:val="auto"/>
        </w:rPr>
      </w:pPr>
    </w:p>
    <w:p>
      <w:pPr>
        <w:ind w:left="1200"/>
        <w:spacing w:after="0" w:line="317" w:lineRule="auto"/>
        <w:rPr>
          <w:rFonts w:ascii="Arial" w:cs="Arial" w:eastAsia="Arial" w:hAnsi="Arial"/>
          <w:sz w:val="18"/>
          <w:szCs w:val="18"/>
          <w:b w:val="1"/>
          <w:bCs w:val="1"/>
          <w:color w:val="auto"/>
        </w:rPr>
      </w:pPr>
      <w:r>
        <w:rPr>
          <w:rFonts w:ascii="Arial" w:cs="Arial" w:eastAsia="Arial" w:hAnsi="Arial"/>
          <w:sz w:val="15"/>
          <w:szCs w:val="15"/>
          <w:color w:val="auto"/>
        </w:rPr>
        <w:t>From time to time, the Company may be involved in litigation relating to claims arising out of operations in the normal course of business. At March 31, 2020 and December 31, 2019,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79" w:lineRule="exact"/>
        <w:rPr>
          <w:rFonts w:ascii="Arial" w:cs="Arial" w:eastAsia="Arial" w:hAnsi="Arial"/>
          <w:sz w:val="18"/>
          <w:szCs w:val="18"/>
          <w:b w:val="1"/>
          <w:bCs w:val="1"/>
          <w:color w:val="auto"/>
        </w:rPr>
      </w:pPr>
    </w:p>
    <w:p>
      <w:pPr>
        <w:ind w:left="5540" w:hanging="107"/>
        <w:spacing w:after="0"/>
        <w:tabs>
          <w:tab w:leader="none" w:pos="5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80"/>
          </w:cols>
          <w:pgMar w:left="320" w:top="452" w:right="5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54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17" w:lineRule="exact"/>
        <w:rPr>
          <w:sz w:val="20"/>
          <w:szCs w:val="20"/>
          <w:color w:val="auto"/>
        </w:rPr>
      </w:pPr>
    </w:p>
    <w:p>
      <w:pPr>
        <w:ind w:left="640" w:hanging="403"/>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(Continued)</w:t>
      </w:r>
    </w:p>
    <w:p>
      <w:pPr>
        <w:spacing w:after="0" w:line="228" w:lineRule="exact"/>
        <w:rPr>
          <w:rFonts w:ascii="Arial" w:cs="Arial" w:eastAsia="Arial" w:hAnsi="Arial"/>
          <w:sz w:val="18"/>
          <w:szCs w:val="18"/>
          <w:b w:val="1"/>
          <w:bCs w:val="1"/>
          <w:color w:val="auto"/>
        </w:rPr>
      </w:pPr>
    </w:p>
    <w:p>
      <w:pPr>
        <w:ind w:left="1180" w:hanging="521"/>
        <w:spacing w:after="0"/>
        <w:tabs>
          <w:tab w:leader="none" w:pos="118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1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As of March 31, 2020, the Company held $5,131,995 of open commitments to contractors on work being performed.</w:t>
      </w:r>
    </w:p>
    <w:p>
      <w:pPr>
        <w:spacing w:after="0" w:line="315" w:lineRule="exact"/>
        <w:rPr>
          <w:rFonts w:ascii="Arial" w:cs="Arial" w:eastAsia="Arial" w:hAnsi="Arial"/>
          <w:sz w:val="18"/>
          <w:szCs w:val="18"/>
          <w:b w:val="1"/>
          <w:bCs w:val="1"/>
          <w:color w:val="auto"/>
        </w:rPr>
      </w:pPr>
    </w:p>
    <w:p>
      <w:pPr>
        <w:ind w:left="640" w:hanging="403"/>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-764540</wp:posOffset>
            </wp:positionV>
            <wp:extent cx="6842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62" w:lineRule="exact"/>
        <w:rPr>
          <w:sz w:val="20"/>
          <w:szCs w:val="20"/>
          <w:color w:val="auto"/>
        </w:rPr>
      </w:pPr>
    </w:p>
    <w:p>
      <w:pPr>
        <w:ind w:left="240" w:right="20"/>
        <w:spacing w:after="0" w:line="248"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6" w:lineRule="exact"/>
        <w:rPr>
          <w:sz w:val="20"/>
          <w:szCs w:val="20"/>
          <w:color w:val="auto"/>
        </w:rPr>
      </w:pPr>
    </w:p>
    <w:p>
      <w:pPr>
        <w:ind w:left="240" w:right="680"/>
        <w:spacing w:after="0" w:line="364" w:lineRule="auto"/>
        <w:rPr>
          <w:sz w:val="20"/>
          <w:szCs w:val="20"/>
          <w:color w:val="auto"/>
        </w:rPr>
      </w:pPr>
      <w:r>
        <w:rPr>
          <w:rFonts w:ascii="Arial" w:cs="Arial" w:eastAsia="Arial" w:hAnsi="Arial"/>
          <w:sz w:val="15"/>
          <w:szCs w:val="15"/>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Level1 – Unadjusted quoted prices in active markets for identical assets or liabilities;</w:t>
      </w:r>
    </w:p>
    <w:p>
      <w:pPr>
        <w:spacing w:after="0" w:line="1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Level2 – Inputs other than quoted prices that are observable for the asset or liability, either directly or indirectly; and</w:t>
      </w:r>
    </w:p>
    <w:p>
      <w:pPr>
        <w:spacing w:after="0" w:line="1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Level3 – Inputs for the asset or liability that are not based on observable market data.</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Instruments</w:t>
      </w:r>
    </w:p>
    <w:p>
      <w:pPr>
        <w:spacing w:after="0" w:line="116"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82" w:lineRule="exact"/>
        <w:rPr>
          <w:sz w:val="20"/>
          <w:szCs w:val="20"/>
          <w:color w:val="auto"/>
        </w:rPr>
      </w:pPr>
    </w:p>
    <w:p>
      <w:pPr>
        <w:ind w:left="660" w:right="460"/>
        <w:spacing w:after="0" w:line="364" w:lineRule="auto"/>
        <w:rPr>
          <w:sz w:val="20"/>
          <w:szCs w:val="20"/>
          <w:color w:val="auto"/>
        </w:rPr>
      </w:pPr>
      <w:r>
        <w:rPr>
          <w:rFonts w:ascii="Arial" w:cs="Arial" w:eastAsia="Arial" w:hAnsi="Arial"/>
          <w:sz w:val="15"/>
          <w:szCs w:val="15"/>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27" w:lineRule="exact"/>
        <w:rPr>
          <w:sz w:val="20"/>
          <w:szCs w:val="20"/>
          <w:color w:val="auto"/>
        </w:rPr>
      </w:pPr>
    </w:p>
    <w:tbl>
      <w:tblPr>
        <w:tblLayout w:type="fixed"/>
        <w:tblInd w:w="680" w:type="dxa"/>
        <w:tblCellMar>
          <w:top w:w="0" w:type="dxa"/>
          <w:left w:w="0" w:type="dxa"/>
          <w:bottom w:w="0" w:type="dxa"/>
          <w:right w:w="0" w:type="dxa"/>
        </w:tblCellMar>
      </w:tblPr>
      <w:tr>
        <w:trPr>
          <w:trHeight w:val="168"/>
        </w:trPr>
        <w:tc>
          <w:tcPr>
            <w:tcW w:w="4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March 31, 2020</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8"/>
        </w:trPr>
        <w:tc>
          <w:tcPr>
            <w:tcW w:w="4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jc w:val="right"/>
              <w:ind w:right="155"/>
              <w:spacing w:after="0" w:line="139" w:lineRule="exact"/>
              <w:rPr>
                <w:sz w:val="20"/>
                <w:szCs w:val="20"/>
                <w:color w:val="auto"/>
              </w:rPr>
            </w:pPr>
            <w:r>
              <w:rPr>
                <w:rFonts w:ascii="Arial" w:cs="Arial" w:eastAsia="Arial" w:hAnsi="Arial"/>
                <w:sz w:val="14"/>
                <w:szCs w:val="14"/>
                <w:b w:val="1"/>
                <w:bCs w:val="1"/>
                <w:color w:val="auto"/>
              </w:rPr>
              <w:t>Level 1</w:t>
            </w:r>
          </w:p>
        </w:tc>
        <w:tc>
          <w:tcPr>
            <w:tcW w:w="760" w:type="dxa"/>
            <w:vAlign w:val="bottom"/>
            <w:gridSpan w:val="3"/>
          </w:tcPr>
          <w:p>
            <w:pPr>
              <w:ind w:left="320"/>
              <w:spacing w:after="0" w:line="139" w:lineRule="exact"/>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40"/>
              <w:spacing w:after="0" w:line="139"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960" w:type="dxa"/>
            <w:vAlign w:val="bottom"/>
          </w:tcPr>
          <w:p>
            <w:pPr>
              <w:jc w:val="right"/>
              <w:ind w:right="261"/>
              <w:spacing w:after="0" w:line="13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04"/>
        </w:trPr>
        <w:tc>
          <w:tcPr>
            <w:tcW w:w="4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1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3"/>
              </w:rPr>
              <w:t>$71,521,954</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line="205"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14"/>
              <w:spacing w:after="0" w:line="205"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9"/>
              </w:rPr>
              <w:t>$ 71,521,954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4160" w:type="dxa"/>
            <w:vAlign w:val="bottom"/>
          </w:tcPr>
          <w:p>
            <w:pPr>
              <w:spacing w:after="0"/>
              <w:rPr>
                <w:sz w:val="20"/>
                <w:szCs w:val="20"/>
                <w:color w:val="auto"/>
              </w:rPr>
            </w:pPr>
            <w:r>
              <w:rPr>
                <w:rFonts w:ascii="Arial" w:cs="Arial" w:eastAsia="Arial" w:hAnsi="Arial"/>
                <w:sz w:val="18"/>
                <w:szCs w:val="18"/>
                <w:color w:val="auto"/>
              </w:rPr>
              <w:t>Notes Receivable</w:t>
            </w:r>
          </w:p>
        </w:tc>
        <w:tc>
          <w:tcPr>
            <w:tcW w:w="146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5,600</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18"/>
                <w:szCs w:val="18"/>
                <w:color w:val="auto"/>
              </w:rPr>
            </w:pPr>
          </w:p>
        </w:tc>
      </w:tr>
      <w:tr>
        <w:trPr>
          <w:trHeight w:val="211"/>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13,853,214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13,853,214</w:t>
            </w:r>
          </w:p>
        </w:tc>
        <w:tc>
          <w:tcPr>
            <w:tcW w:w="100" w:type="dxa"/>
            <w:vAlign w:val="bottom"/>
            <w:shd w:val="clear" w:color="auto" w:fill="CCEEFF"/>
          </w:tcPr>
          <w:p>
            <w:pPr>
              <w:spacing w:after="0"/>
              <w:rPr>
                <w:sz w:val="18"/>
                <w:szCs w:val="18"/>
                <w:color w:val="auto"/>
              </w:rPr>
            </w:pPr>
          </w:p>
        </w:tc>
      </w:tr>
      <w:tr>
        <w:trPr>
          <w:trHeight w:val="211"/>
        </w:trPr>
        <w:tc>
          <w:tcPr>
            <w:tcW w:w="416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46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(5,500,000)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(5,500,000)</w:t>
            </w:r>
          </w:p>
        </w:tc>
      </w:tr>
      <w:tr>
        <w:trPr>
          <w:trHeight w:val="211"/>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(8,497,000)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(8,497,000)</w:t>
            </w:r>
          </w:p>
        </w:tc>
      </w:tr>
      <w:tr>
        <w:trPr>
          <w:trHeight w:val="211"/>
        </w:trPr>
        <w:tc>
          <w:tcPr>
            <w:tcW w:w="41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46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(50,344,502)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(50,344,502)</w:t>
            </w:r>
          </w:p>
        </w:tc>
      </w:tr>
      <w:tr>
        <w:trPr>
          <w:trHeight w:val="26"/>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41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71,521,954</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(50,482,688)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$ 21,039,266</w:t>
            </w:r>
          </w:p>
        </w:tc>
        <w:tc>
          <w:tcPr>
            <w:tcW w:w="100" w:type="dxa"/>
            <w:vAlign w:val="bottom"/>
            <w:shd w:val="clear" w:color="auto" w:fill="CCEEFF"/>
          </w:tcPr>
          <w:p>
            <w:pPr>
              <w:spacing w:after="0"/>
              <w:rPr>
                <w:sz w:val="18"/>
                <w:szCs w:val="18"/>
                <w:color w:val="auto"/>
              </w:rPr>
            </w:pPr>
          </w:p>
        </w:tc>
      </w:tr>
      <w:tr>
        <w:trPr>
          <w:trHeight w:val="362"/>
        </w:trPr>
        <w:tc>
          <w:tcPr>
            <w:tcW w:w="4160" w:type="dxa"/>
            <w:vAlign w:val="bottom"/>
          </w:tcPr>
          <w:p>
            <w:pPr>
              <w:spacing w:after="0"/>
              <w:rPr>
                <w:sz w:val="24"/>
                <w:szCs w:val="24"/>
                <w:color w:val="auto"/>
              </w:rPr>
            </w:pPr>
          </w:p>
        </w:tc>
        <w:tc>
          <w:tcPr>
            <w:tcW w:w="1460" w:type="dxa"/>
            <w:vAlign w:val="bottom"/>
          </w:tcPr>
          <w:p>
            <w:pPr>
              <w:jc w:val="right"/>
              <w:ind w:right="392"/>
              <w:spacing w:after="0"/>
              <w:rPr>
                <w:sz w:val="20"/>
                <w:szCs w:val="20"/>
                <w:color w:val="auto"/>
              </w:rPr>
            </w:pPr>
            <w:r>
              <w:rPr>
                <w:rFonts w:ascii="Arial" w:cs="Arial" w:eastAsia="Arial" w:hAnsi="Arial"/>
                <w:sz w:val="18"/>
                <w:szCs w:val="18"/>
                <w:color w:val="auto"/>
              </w:rPr>
              <w:t>-22-</w:t>
            </w: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320" w:top="452" w:right="6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60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17" w:lineRule="exact"/>
        <w:rPr>
          <w:sz w:val="20"/>
          <w:szCs w:val="20"/>
          <w:color w:val="auto"/>
        </w:rPr>
      </w:pPr>
    </w:p>
    <w:p>
      <w:pPr>
        <w:ind w:left="240"/>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 xml:space="preserve">FINANCIAL INSTRUMENTS AND FINANCIAL RISK MANAGEMENT </w:t>
      </w:r>
      <w:r>
        <w:rPr>
          <w:rFonts w:ascii="Arial" w:cs="Arial" w:eastAsia="Arial" w:hAnsi="Arial"/>
          <w:sz w:val="17"/>
          <w:szCs w:val="17"/>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05" w:lineRule="exact"/>
        <w:rPr>
          <w:sz w:val="20"/>
          <w:szCs w:val="20"/>
          <w:color w:val="auto"/>
        </w:rPr>
      </w:pPr>
    </w:p>
    <w:tbl>
      <w:tblPr>
        <w:tblLayout w:type="fixed"/>
        <w:tblInd w:w="680" w:type="dxa"/>
        <w:tblCellMar>
          <w:top w:w="0" w:type="dxa"/>
          <w:left w:w="0" w:type="dxa"/>
          <w:bottom w:w="0" w:type="dxa"/>
          <w:right w:w="0" w:type="dxa"/>
        </w:tblCellMar>
      </w:tblPr>
      <w:tr>
        <w:trPr>
          <w:trHeight w:val="168"/>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8"/>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jc w:val="right"/>
              <w:ind w:right="155"/>
              <w:spacing w:after="0" w:line="139" w:lineRule="exact"/>
              <w:rPr>
                <w:sz w:val="20"/>
                <w:szCs w:val="20"/>
                <w:color w:val="auto"/>
              </w:rPr>
            </w:pPr>
            <w:r>
              <w:rPr>
                <w:rFonts w:ascii="Arial" w:cs="Arial" w:eastAsia="Arial" w:hAnsi="Arial"/>
                <w:sz w:val="14"/>
                <w:szCs w:val="14"/>
                <w:b w:val="1"/>
                <w:bCs w:val="1"/>
                <w:color w:val="auto"/>
              </w:rPr>
              <w:t>Level 1</w:t>
            </w:r>
          </w:p>
        </w:tc>
        <w:tc>
          <w:tcPr>
            <w:tcW w:w="760" w:type="dxa"/>
            <w:vAlign w:val="bottom"/>
            <w:gridSpan w:val="3"/>
          </w:tcPr>
          <w:p>
            <w:pPr>
              <w:ind w:left="320"/>
              <w:spacing w:after="0" w:line="139" w:lineRule="exact"/>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40"/>
              <w:spacing w:after="0" w:line="139"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960" w:type="dxa"/>
            <w:vAlign w:val="bottom"/>
          </w:tcPr>
          <w:p>
            <w:pPr>
              <w:jc w:val="right"/>
              <w:ind w:right="261"/>
              <w:spacing w:after="0" w:line="13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04"/>
        </w:trPr>
        <w:tc>
          <w:tcPr>
            <w:tcW w:w="45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10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3"/>
              </w:rPr>
              <w:t>$46,667,334</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line="205"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14"/>
              <w:spacing w:after="0" w:line="205"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9"/>
              </w:rPr>
              <w:t>$ 46,667,334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4580" w:type="dxa"/>
            <w:vAlign w:val="bottom"/>
          </w:tcPr>
          <w:p>
            <w:pPr>
              <w:spacing w:after="0"/>
              <w:rPr>
                <w:sz w:val="20"/>
                <w:szCs w:val="20"/>
                <w:color w:val="auto"/>
              </w:rPr>
            </w:pPr>
            <w:r>
              <w:rPr>
                <w:rFonts w:ascii="Arial" w:cs="Arial" w:eastAsia="Arial" w:hAnsi="Arial"/>
                <w:sz w:val="18"/>
                <w:szCs w:val="18"/>
                <w:color w:val="auto"/>
              </w:rPr>
              <w:t>Notes Receivable</w:t>
            </w:r>
          </w:p>
        </w:tc>
        <w:tc>
          <w:tcPr>
            <w:tcW w:w="10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815,937</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815,937</w:t>
            </w:r>
          </w:p>
        </w:tc>
        <w:tc>
          <w:tcPr>
            <w:tcW w:w="100" w:type="dxa"/>
            <w:vAlign w:val="bottom"/>
          </w:tcPr>
          <w:p>
            <w:pPr>
              <w:spacing w:after="0"/>
              <w:rPr>
                <w:sz w:val="18"/>
                <w:szCs w:val="18"/>
                <w:color w:val="auto"/>
              </w:rPr>
            </w:pPr>
          </w:p>
        </w:tc>
      </w:tr>
      <w:tr>
        <w:trPr>
          <w:trHeight w:val="211"/>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14,068,821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14,068,821</w:t>
            </w:r>
          </w:p>
        </w:tc>
        <w:tc>
          <w:tcPr>
            <w:tcW w:w="100" w:type="dxa"/>
            <w:vAlign w:val="bottom"/>
            <w:shd w:val="clear" w:color="auto" w:fill="CCEEFF"/>
          </w:tcPr>
          <w:p>
            <w:pPr>
              <w:spacing w:after="0"/>
              <w:rPr>
                <w:sz w:val="18"/>
                <w:szCs w:val="18"/>
                <w:color w:val="auto"/>
              </w:rPr>
            </w:pPr>
          </w:p>
        </w:tc>
      </w:tr>
      <w:tr>
        <w:trPr>
          <w:trHeight w:val="211"/>
        </w:trPr>
        <w:tc>
          <w:tcPr>
            <w:tcW w:w="458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0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(5,500,000)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(5,500,000)</w:t>
            </w:r>
          </w:p>
        </w:tc>
      </w:tr>
      <w:tr>
        <w:trPr>
          <w:trHeight w:val="211"/>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(15,879,843)</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(15,879,843)</w:t>
            </w:r>
          </w:p>
        </w:tc>
      </w:tr>
      <w:tr>
        <w:trPr>
          <w:trHeight w:val="211"/>
        </w:trPr>
        <w:tc>
          <w:tcPr>
            <w:tcW w:w="458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0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(58,936,739)</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(58,936,739)</w:t>
            </w:r>
          </w:p>
        </w:tc>
      </w:tr>
      <w:tr>
        <w:trPr>
          <w:trHeight w:val="26"/>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45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46,667,334</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(65,431,824)</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(18,764,490)</w:t>
            </w:r>
          </w:p>
        </w:tc>
      </w:tr>
      <w:tr>
        <w:trPr>
          <w:trHeight w:val="20"/>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transfers between fair value levels during the periods ended March 31, 2020 and December 31, 2019.</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Risk Management</w:t>
      </w:r>
    </w:p>
    <w:p>
      <w:pPr>
        <w:spacing w:after="0" w:line="116" w:lineRule="exact"/>
        <w:rPr>
          <w:sz w:val="20"/>
          <w:szCs w:val="20"/>
          <w:color w:val="auto"/>
        </w:rPr>
      </w:pPr>
    </w:p>
    <w:p>
      <w:pPr>
        <w:ind w:left="660" w:right="180"/>
        <w:spacing w:after="0" w:line="263" w:lineRule="auto"/>
        <w:rPr>
          <w:sz w:val="20"/>
          <w:szCs w:val="20"/>
          <w:color w:val="auto"/>
        </w:rPr>
      </w:pPr>
      <w:r>
        <w:rPr>
          <w:rFonts w:ascii="Arial" w:cs="Arial" w:eastAsia="Arial" w:hAnsi="Arial"/>
          <w:sz w:val="18"/>
          <w:szCs w:val="18"/>
          <w:color w:val="auto"/>
        </w:rPr>
        <w:t>The Company is exposed in varying degrees to a variety of financial instrument related risks. The Company’s Board of Directors mitigates these risks by assessing, monitoring and approving the Company’s risk management processes:</w:t>
      </w:r>
    </w:p>
    <w:p>
      <w:pPr>
        <w:spacing w:after="0" w:line="319" w:lineRule="exact"/>
        <w:rPr>
          <w:sz w:val="20"/>
          <w:szCs w:val="20"/>
          <w:color w:val="auto"/>
        </w:rPr>
      </w:pPr>
    </w:p>
    <w:p>
      <w:pPr>
        <w:ind w:left="1180" w:hanging="521"/>
        <w:spacing w:after="0"/>
        <w:tabs>
          <w:tab w:leader="none" w:pos="1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15" w:lineRule="exact"/>
        <w:rPr>
          <w:rFonts w:ascii="Arial" w:cs="Arial" w:eastAsia="Arial" w:hAnsi="Arial"/>
          <w:sz w:val="18"/>
          <w:szCs w:val="18"/>
          <w:b w:val="1"/>
          <w:bCs w:val="1"/>
          <w:color w:val="auto"/>
        </w:rPr>
      </w:pPr>
    </w:p>
    <w:p>
      <w:pPr>
        <w:ind w:left="1200"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maximum credit exposure at March 31, 2020 and December 31, 2019 is the carrying amount of cash and cash equivalents. The Company does not have significant credit risk with respect to its customers. All cash and cash equivalents are placed with major U.S. financial institutions.</w:t>
      </w:r>
    </w:p>
    <w:p>
      <w:pPr>
        <w:spacing w:after="0" w:line="84" w:lineRule="exact"/>
        <w:rPr>
          <w:rFonts w:ascii="Arial" w:cs="Arial" w:eastAsia="Arial" w:hAnsi="Arial"/>
          <w:sz w:val="18"/>
          <w:szCs w:val="18"/>
          <w:b w:val="1"/>
          <w:bCs w:val="1"/>
          <w:color w:val="auto"/>
        </w:rPr>
      </w:pPr>
    </w:p>
    <w:p>
      <w:pPr>
        <w:ind w:left="1200" w:right="1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Company provides credit to its customers in the normal course of business and has established credit evaluation and monitoring processes to mitigate credit risk but has limited risk as the majority of its sales are transacted with cash. As of March 31, 2020, the Company had approximately $794,000 of accounts receivable that were past due (greater than 90 days). Given management’s expectation that any credit losses will be nominal, no provision is provided.</w:t>
      </w:r>
    </w:p>
    <w:p>
      <w:pPr>
        <w:spacing w:after="0" w:line="329" w:lineRule="exact"/>
        <w:rPr>
          <w:rFonts w:ascii="Arial" w:cs="Arial" w:eastAsia="Arial" w:hAnsi="Arial"/>
          <w:sz w:val="18"/>
          <w:szCs w:val="18"/>
          <w:b w:val="1"/>
          <w:bCs w:val="1"/>
          <w:color w:val="auto"/>
        </w:rPr>
      </w:pPr>
    </w:p>
    <w:p>
      <w:pPr>
        <w:ind w:left="1180" w:hanging="521"/>
        <w:spacing w:after="0"/>
        <w:tabs>
          <w:tab w:leader="none" w:pos="1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15" w:lineRule="exact"/>
        <w:rPr>
          <w:rFonts w:ascii="Arial" w:cs="Arial" w:eastAsia="Arial" w:hAnsi="Arial"/>
          <w:sz w:val="18"/>
          <w:szCs w:val="18"/>
          <w:b w:val="1"/>
          <w:bCs w:val="1"/>
          <w:color w:val="auto"/>
        </w:rPr>
      </w:pPr>
    </w:p>
    <w:p>
      <w:pPr>
        <w:ind w:left="120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6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In addition to the commitments outlined in Note 12, the Company has the following contractual obligations:</w:t>
      </w: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3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&lt;1 Year</w:t>
            </w:r>
          </w:p>
        </w:tc>
        <w:tc>
          <w:tcPr>
            <w:tcW w:w="8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b w:val="1"/>
                <w:bCs w:val="1"/>
                <w:color w:val="auto"/>
                <w:w w:val="86"/>
              </w:rPr>
              <w:t>1 to 3 Years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b w:val="1"/>
                <w:bCs w:val="1"/>
                <w:color w:val="auto"/>
                <w:w w:val="86"/>
              </w:rPr>
              <w:t>3 to 5 Years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55"/>
              <w:spacing w:after="0"/>
              <w:rPr>
                <w:sz w:val="20"/>
                <w:szCs w:val="20"/>
                <w:color w:val="auto"/>
              </w:rPr>
            </w:pPr>
            <w:r>
              <w:rPr>
                <w:rFonts w:ascii="Arial" w:cs="Arial" w:eastAsia="Arial" w:hAnsi="Arial"/>
                <w:sz w:val="14"/>
                <w:szCs w:val="14"/>
                <w:b w:val="1"/>
                <w:bCs w:val="1"/>
                <w:color w:val="auto"/>
              </w:rPr>
              <w:t>&gt;5 Years</w:t>
            </w:r>
          </w:p>
        </w:tc>
        <w:tc>
          <w:tcPr>
            <w:tcW w:w="440" w:type="dxa"/>
            <w:vAlign w:val="bottom"/>
          </w:tcPr>
          <w:p>
            <w:pPr>
              <w:spacing w:after="0"/>
              <w:rPr>
                <w:sz w:val="14"/>
                <w:szCs w:val="14"/>
                <w:color w:val="auto"/>
              </w:rPr>
            </w:pPr>
          </w:p>
        </w:tc>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r>
      <w:tr>
        <w:trPr>
          <w:trHeight w:val="204"/>
        </w:trPr>
        <w:tc>
          <w:tcPr>
            <w:tcW w:w="3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Accounts Payable and Accrued Liabilities</w:t>
            </w: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$60,432,653</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5"/>
              <w:spacing w:after="0" w:line="20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1"/>
              </w:rPr>
              <w:t>$ 60,432,653</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Notes Payable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182,926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92,339,180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350,851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92,872,957</w:t>
            </w:r>
          </w:p>
        </w:tc>
        <w:tc>
          <w:tcPr>
            <w:tcW w:w="60" w:type="dxa"/>
            <w:vAlign w:val="bottom"/>
          </w:tcPr>
          <w:p>
            <w:pPr>
              <w:spacing w:after="0"/>
              <w:rPr>
                <w:sz w:val="18"/>
                <w:szCs w:val="18"/>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Commitments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5,131,995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5,131,995</w:t>
            </w:r>
          </w:p>
        </w:tc>
        <w:tc>
          <w:tcPr>
            <w:tcW w:w="60" w:type="dxa"/>
            <w:vAlign w:val="bottom"/>
            <w:shd w:val="clear" w:color="auto" w:fill="CCEEFF"/>
          </w:tcPr>
          <w:p>
            <w:pPr>
              <w:spacing w:after="0"/>
              <w:rPr>
                <w:sz w:val="18"/>
                <w:szCs w:val="18"/>
                <w:color w:val="auto"/>
              </w:rPr>
            </w:pP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41,581,975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8,762,527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50,344,502</w:t>
            </w:r>
          </w:p>
        </w:tc>
        <w:tc>
          <w:tcPr>
            <w:tcW w:w="60" w:type="dxa"/>
            <w:vAlign w:val="bottom"/>
          </w:tcPr>
          <w:p>
            <w:pPr>
              <w:spacing w:after="0"/>
              <w:rPr>
                <w:sz w:val="18"/>
                <w:szCs w:val="18"/>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 Third Party</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12,039,451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40,485,800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39,011,138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179,064,584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270,600,973</w:t>
            </w:r>
          </w:p>
        </w:tc>
        <w:tc>
          <w:tcPr>
            <w:tcW w:w="60" w:type="dxa"/>
            <w:vAlign w:val="bottom"/>
            <w:shd w:val="clear" w:color="auto" w:fill="CCEEFF"/>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Operating Leases - Related Party</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1,048,267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2,883,098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2,876,472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11,524,619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18,332,456</w:t>
            </w:r>
          </w:p>
        </w:tc>
        <w:tc>
          <w:tcPr>
            <w:tcW w:w="60" w:type="dxa"/>
            <w:vAlign w:val="bottom"/>
          </w:tcPr>
          <w:p>
            <w:pPr>
              <w:spacing w:after="0"/>
              <w:rPr>
                <w:sz w:val="19"/>
                <w:szCs w:val="19"/>
                <w:color w:val="auto"/>
              </w:rPr>
            </w:pPr>
          </w:p>
        </w:tc>
      </w:tr>
      <w:tr>
        <w:trPr>
          <w:trHeight w:val="344"/>
        </w:trPr>
        <w:tc>
          <w:tcPr>
            <w:tcW w:w="3660" w:type="dxa"/>
            <w:vAlign w:val="bottom"/>
          </w:tcPr>
          <w:p>
            <w:pPr>
              <w:spacing w:after="0"/>
              <w:rPr>
                <w:sz w:val="24"/>
                <w:szCs w:val="24"/>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320" w:top="452" w:right="5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60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17" w:lineRule="exact"/>
        <w:rPr>
          <w:sz w:val="20"/>
          <w:szCs w:val="20"/>
          <w:color w:val="auto"/>
        </w:rPr>
      </w:pPr>
    </w:p>
    <w:p>
      <w:pPr>
        <w:ind w:left="640" w:hanging="403"/>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color w:val="auto"/>
        </w:rPr>
        <w:t>(Continued)</w:t>
      </w:r>
    </w:p>
    <w:p>
      <w:pPr>
        <w:spacing w:after="0" w:line="228" w:lineRule="exact"/>
        <w:rPr>
          <w:rFonts w:ascii="Arial" w:cs="Arial" w:eastAsia="Arial" w:hAnsi="Arial"/>
          <w:sz w:val="18"/>
          <w:szCs w:val="18"/>
          <w:b w:val="1"/>
          <w:bCs w:val="1"/>
          <w:color w:val="auto"/>
        </w:rPr>
      </w:pPr>
    </w:p>
    <w:p>
      <w:pPr>
        <w:ind w:left="1200" w:right="7520" w:hanging="541"/>
        <w:spacing w:after="0" w:line="370" w:lineRule="auto"/>
        <w:tabs>
          <w:tab w:leader="none" w:pos="1181"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Market and Interest Rate Risk </w:t>
      </w:r>
      <w:r>
        <w:rPr>
          <w:rFonts w:ascii="Arial" w:cs="Arial" w:eastAsia="Arial" w:hAnsi="Arial"/>
          <w:sz w:val="18"/>
          <w:szCs w:val="18"/>
          <w:i w:val="1"/>
          <w:iCs w:val="1"/>
          <w:color w:val="auto"/>
        </w:rPr>
        <w:t>Interest Rate Risk</w:t>
      </w:r>
    </w:p>
    <w:p>
      <w:pPr>
        <w:spacing w:after="0" w:line="1" w:lineRule="exact"/>
        <w:rPr>
          <w:rFonts w:ascii="Arial" w:cs="Arial" w:eastAsia="Arial" w:hAnsi="Arial"/>
          <w:sz w:val="18"/>
          <w:szCs w:val="18"/>
          <w:b w:val="1"/>
          <w:bCs w:val="1"/>
          <w:color w:val="auto"/>
        </w:rPr>
      </w:pPr>
    </w:p>
    <w:p>
      <w:pPr>
        <w:ind w:left="1200" w:right="3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spacing w:after="0" w:line="287" w:lineRule="exact"/>
        <w:rPr>
          <w:rFonts w:ascii="Arial" w:cs="Arial" w:eastAsia="Arial" w:hAnsi="Arial"/>
          <w:sz w:val="18"/>
          <w:szCs w:val="18"/>
          <w:b w:val="1"/>
          <w:bCs w:val="1"/>
          <w:color w:val="auto"/>
        </w:rPr>
      </w:pPr>
    </w:p>
    <w:p>
      <w:pPr>
        <w:ind w:left="620" w:hanging="383"/>
        <w:spacing w:after="0"/>
        <w:tabs>
          <w:tab w:leader="none" w:pos="6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-1234440</wp:posOffset>
            </wp:positionV>
            <wp:extent cx="6842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62" w:lineRule="exact"/>
        <w:rPr>
          <w:sz w:val="20"/>
          <w:szCs w:val="20"/>
          <w:color w:val="auto"/>
        </w:rPr>
      </w:pPr>
    </w:p>
    <w:p>
      <w:pPr>
        <w:ind w:left="240" w:right="480"/>
        <w:spacing w:after="0" w:line="328" w:lineRule="auto"/>
        <w:rPr>
          <w:sz w:val="20"/>
          <w:szCs w:val="20"/>
          <w:color w:val="auto"/>
        </w:rPr>
      </w:pPr>
      <w:r>
        <w:rPr>
          <w:rFonts w:ascii="Arial" w:cs="Arial" w:eastAsia="Arial" w:hAnsi="Arial"/>
          <w:sz w:val="15"/>
          <w:szCs w:val="15"/>
          <w:color w:val="auto"/>
        </w:rPr>
        <w:t>The following table represents the summarized financial information about the Company’s consolidated variable interest entities (VIEs) which are included in the consolidated balance sheets and statements of operation as of March 31, 2020 and December 31, 2019. All these entities were determined to be VIEs as the Company possesses the power to direct activities through management services agreements (MSAs).</w:t>
      </w:r>
    </w:p>
    <w:p>
      <w:pPr>
        <w:spacing w:after="0" w:line="154"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March 31, 2020</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w w:val="96"/>
              </w:rPr>
              <w:t>December 31, 2019</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2"/>
              </w:rPr>
              <w:t>Chesapeake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Illinois</w:t>
            </w:r>
          </w:p>
        </w:tc>
        <w:tc>
          <w:tcPr>
            <w:tcW w:w="240" w:type="dxa"/>
            <w:vAlign w:val="bottom"/>
          </w:tcPr>
          <w:p>
            <w:pPr>
              <w:spacing w:after="0"/>
              <w:rPr>
                <w:sz w:val="10"/>
                <w:szCs w:val="10"/>
                <w:color w:val="auto"/>
              </w:rPr>
            </w:pPr>
          </w:p>
        </w:tc>
        <w:tc>
          <w:tcPr>
            <w:tcW w:w="82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Other Non-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0"/>
              </w:rPr>
              <w:t>Chesapeake</w:t>
            </w:r>
          </w:p>
        </w:tc>
        <w:tc>
          <w:tcPr>
            <w:tcW w:w="2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Illinois</w:t>
            </w:r>
          </w:p>
        </w:tc>
        <w:tc>
          <w:tcPr>
            <w:tcW w:w="120" w:type="dxa"/>
            <w:vAlign w:val="bottom"/>
          </w:tcPr>
          <w:p>
            <w:pPr>
              <w:spacing w:after="0"/>
              <w:rPr>
                <w:sz w:val="10"/>
                <w:szCs w:val="10"/>
                <w:color w:val="auto"/>
              </w:rPr>
            </w:pPr>
          </w:p>
        </w:tc>
        <w:tc>
          <w:tcPr>
            <w:tcW w:w="82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Other Non-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6"/>
              </w:rPr>
              <w:t>material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1"/>
              <w:spacing w:after="0" w:line="145" w:lineRule="exact"/>
              <w:rPr>
                <w:sz w:val="20"/>
                <w:szCs w:val="20"/>
                <w:color w:val="auto"/>
              </w:rPr>
            </w:pPr>
            <w:r>
              <w:rPr>
                <w:rFonts w:ascii="Arial" w:cs="Arial" w:eastAsia="Arial" w:hAnsi="Arial"/>
                <w:sz w:val="14"/>
                <w:szCs w:val="14"/>
                <w:b w:val="1"/>
                <w:bCs w:val="1"/>
                <w:color w:val="auto"/>
                <w:w w:val="96"/>
              </w:rPr>
              <w:t>material</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3"/>
              </w:rPr>
              <w:t>Alternatives, LLC</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5"/>
              <w:spacing w:after="0"/>
              <w:rPr>
                <w:sz w:val="20"/>
                <w:szCs w:val="20"/>
                <w:color w:val="auto"/>
              </w:rPr>
            </w:pPr>
            <w:r>
              <w:rPr>
                <w:rFonts w:ascii="Arial" w:cs="Arial" w:eastAsia="Arial" w:hAnsi="Arial"/>
                <w:sz w:val="14"/>
                <w:szCs w:val="14"/>
                <w:b w:val="1"/>
                <w:bCs w:val="1"/>
                <w:color w:val="auto"/>
                <w:w w:val="91"/>
              </w:rPr>
              <w:t>Disp, LLC</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VIEs</w:t>
            </w:r>
          </w:p>
        </w:tc>
        <w:tc>
          <w:tcPr>
            <w:tcW w:w="1220" w:type="dxa"/>
            <w:vAlign w:val="bottom"/>
            <w:gridSpan w:val="3"/>
          </w:tcPr>
          <w:p>
            <w:pPr>
              <w:ind w:left="120"/>
              <w:spacing w:after="0"/>
              <w:rPr>
                <w:sz w:val="20"/>
                <w:szCs w:val="20"/>
                <w:color w:val="auto"/>
              </w:rPr>
            </w:pPr>
            <w:r>
              <w:rPr>
                <w:rFonts w:ascii="Arial" w:cs="Arial" w:eastAsia="Arial" w:hAnsi="Arial"/>
                <w:sz w:val="14"/>
                <w:szCs w:val="14"/>
                <w:b w:val="1"/>
                <w:bCs w:val="1"/>
                <w:color w:val="auto"/>
                <w:w w:val="93"/>
              </w:rPr>
              <w:t>Alternatives, LLC</w:t>
            </w:r>
          </w:p>
        </w:tc>
        <w:tc>
          <w:tcPr>
            <w:tcW w:w="2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Disp, LLC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8"/>
              </w:rPr>
              <w:t>VIEs</w:t>
            </w:r>
          </w:p>
        </w:tc>
        <w:tc>
          <w:tcPr>
            <w:tcW w:w="0" w:type="dxa"/>
            <w:vAlign w:val="bottom"/>
          </w:tcPr>
          <w:p>
            <w:pPr>
              <w:spacing w:after="0"/>
              <w:rPr>
                <w:sz w:val="1"/>
                <w:szCs w:val="1"/>
                <w:color w:val="auto"/>
              </w:rPr>
            </w:pPr>
          </w:p>
        </w:tc>
      </w:tr>
      <w:tr>
        <w:trPr>
          <w:trHeight w:val="204"/>
        </w:trPr>
        <w:tc>
          <w:tcPr>
            <w:tcW w:w="39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22,278,800</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7"/>
              </w:rPr>
              <w:t>2,343,228</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4"/>
              </w:rPr>
              <w:t>1,710,495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19,455,533</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4"/>
              </w:rPr>
              <w:t>$1,381,716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4"/>
              </w:rPr>
              <w:t>1,352,935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980" w:type="dxa"/>
            <w:vAlign w:val="bottom"/>
          </w:tcPr>
          <w:p>
            <w:pPr>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2,873,410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3,543,890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2,494,212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22,384,663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3,083,659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2,534,297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16,105,824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884,356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1,146,023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14,219,204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1,129,327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596,387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838,422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1,169,989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137,736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855,440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2,203,187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(109,709)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2,089,071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(22,488)</w:t>
            </w:r>
          </w:p>
        </w:tc>
        <w:tc>
          <w:tcPr>
            <w:tcW w:w="0" w:type="dxa"/>
            <w:vAlign w:val="bottom"/>
          </w:tcPr>
          <w:p>
            <w:pPr>
              <w:spacing w:after="0"/>
              <w:rPr>
                <w:sz w:val="1"/>
                <w:szCs w:val="1"/>
                <w:color w:val="auto"/>
              </w:rPr>
            </w:pPr>
          </w:p>
        </w:tc>
      </w:tr>
      <w:tr>
        <w:trPr>
          <w:trHeight w:val="211"/>
        </w:trPr>
        <w:tc>
          <w:tcPr>
            <w:tcW w:w="3980" w:type="dxa"/>
            <w:vAlign w:val="bottom"/>
          </w:tcPr>
          <w:p>
            <w:pPr>
              <w:spacing w:after="0"/>
              <w:rPr>
                <w:sz w:val="20"/>
                <w:szCs w:val="20"/>
                <w:color w:val="auto"/>
              </w:rPr>
            </w:pPr>
            <w:r>
              <w:rPr>
                <w:rFonts w:ascii="Arial" w:cs="Arial" w:eastAsia="Arial" w:hAnsi="Arial"/>
                <w:sz w:val="18"/>
                <w:szCs w:val="18"/>
                <w:color w:val="auto"/>
                <w:w w:val="99"/>
              </w:rPr>
              <w:t>Equity attributable to Green Thumb Industries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7,784,327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2,203,187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2,329,971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6,645,263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2,089,070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2,270,598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4,308,630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2,781,616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1,712,651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16,056,521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5,857,946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3,516,164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980" w:type="dxa"/>
            <w:vAlign w:val="bottom"/>
          </w:tcPr>
          <w:p>
            <w:pPr>
              <w:spacing w:after="0" w:line="199" w:lineRule="exact"/>
              <w:rPr>
                <w:sz w:val="20"/>
                <w:szCs w:val="20"/>
                <w:color w:val="auto"/>
              </w:rPr>
            </w:pPr>
            <w:r>
              <w:rPr>
                <w:rFonts w:ascii="Arial" w:cs="Arial" w:eastAsia="Arial" w:hAnsi="Arial"/>
                <w:sz w:val="18"/>
                <w:szCs w:val="18"/>
                <w:color w:val="auto"/>
              </w:rPr>
              <w:t>Net income (loss) attributable to noncontrolling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41,409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364,116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699,624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(112,245)</w:t>
            </w:r>
          </w:p>
        </w:tc>
        <w:tc>
          <w:tcPr>
            <w:tcW w:w="0" w:type="dxa"/>
            <w:vAlign w:val="bottom"/>
          </w:tcPr>
          <w:p>
            <w:pPr>
              <w:spacing w:after="0"/>
              <w:rPr>
                <w:sz w:val="1"/>
                <w:szCs w:val="1"/>
                <w:color w:val="auto"/>
              </w:rPr>
            </w:pPr>
          </w:p>
        </w:tc>
      </w:tr>
      <w:tr>
        <w:trPr>
          <w:trHeight w:val="200"/>
        </w:trPr>
        <w:tc>
          <w:tcPr>
            <w:tcW w:w="39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Net income (loss) attributable to Green Thumb</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Industries Inc.</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1,139,063</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364,117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1,807,229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699,625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(79,402)</w:t>
            </w:r>
          </w:p>
        </w:tc>
        <w:tc>
          <w:tcPr>
            <w:tcW w:w="0" w:type="dxa"/>
            <w:vAlign w:val="bottom"/>
          </w:tcPr>
          <w:p>
            <w:pPr>
              <w:spacing w:after="0"/>
              <w:rPr>
                <w:sz w:val="1"/>
                <w:szCs w:val="1"/>
                <w:color w:val="auto"/>
              </w:rPr>
            </w:pPr>
          </w:p>
        </w:tc>
      </w:tr>
      <w:tr>
        <w:trPr>
          <w:trHeight w:val="218"/>
        </w:trPr>
        <w:tc>
          <w:tcPr>
            <w:tcW w:w="39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1,180,472</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728,233</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1,807,229</w:t>
            </w:r>
          </w:p>
        </w:tc>
        <w:tc>
          <w:tcPr>
            <w:tcW w:w="2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1,399,249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(191,647</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40" w:right="200"/>
        <w:spacing w:after="0" w:line="263" w:lineRule="auto"/>
        <w:rPr>
          <w:sz w:val="20"/>
          <w:szCs w:val="20"/>
          <w:color w:val="auto"/>
        </w:rPr>
      </w:pPr>
      <w:r>
        <w:rPr>
          <w:rFonts w:ascii="Arial" w:cs="Arial" w:eastAsia="Arial" w:hAnsi="Arial"/>
          <w:sz w:val="18"/>
          <w:szCs w:val="18"/>
          <w:color w:val="auto"/>
        </w:rPr>
        <w:t>As of March 31, 2020 and December 31, 2019 , VIEs included in the Other Non-material VIEs are Bluepoint Wellness of Westport LLC and Meshow, LLC.</w:t>
      </w:r>
    </w:p>
    <w:p>
      <w:pPr>
        <w:spacing w:after="0" w:line="180" w:lineRule="exact"/>
        <w:rPr>
          <w:sz w:val="20"/>
          <w:szCs w:val="20"/>
          <w:color w:val="auto"/>
        </w:rPr>
      </w:pPr>
    </w:p>
    <w:p>
      <w:pPr>
        <w:ind w:left="240" w:right="480"/>
        <w:spacing w:after="0" w:line="263" w:lineRule="auto"/>
        <w:rPr>
          <w:sz w:val="20"/>
          <w:szCs w:val="20"/>
          <w:color w:val="auto"/>
        </w:rPr>
      </w:pPr>
      <w:r>
        <w:rPr>
          <w:rFonts w:ascii="Arial" w:cs="Arial" w:eastAsia="Arial" w:hAnsi="Arial"/>
          <w:sz w:val="18"/>
          <w:szCs w:val="18"/>
          <w:color w:val="auto"/>
        </w:rPr>
        <w:t>During 2019, the Company acquired noncontrolling interests for Ohio Investors 2017, LLC; KW Ventures Holdings, LLC (Firefly); and GTI New Jersey, LLC. There have been no changes in ownership of any of the Companies VIEs since December 31, 2019.</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320" w:top="452" w:right="5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Green Thumb Industries Inc.</w:t>
      </w:r>
    </w:p>
    <w:p>
      <w:pPr>
        <w:spacing w:after="0" w:line="22" w:lineRule="exact"/>
        <w:rPr>
          <w:sz w:val="20"/>
          <w:szCs w:val="20"/>
          <w:color w:val="auto"/>
        </w:rPr>
      </w:pPr>
    </w:p>
    <w:p>
      <w:pPr>
        <w:jc w:val="both"/>
        <w:ind w:left="2840" w:right="2560" w:hanging="18"/>
        <w:spacing w:after="0" w:line="347" w:lineRule="auto"/>
        <w:rPr>
          <w:sz w:val="20"/>
          <w:szCs w:val="20"/>
          <w:color w:val="auto"/>
        </w:rPr>
      </w:pPr>
      <w:r>
        <w:rPr>
          <w:rFonts w:ascii="Arial" w:cs="Arial" w:eastAsia="Arial" w:hAnsi="Arial"/>
          <w:sz w:val="15"/>
          <w:szCs w:val="15"/>
          <w:b w:val="1"/>
          <w:bCs w:val="1"/>
          <w:color w:val="auto"/>
        </w:rPr>
        <w:t xml:space="preserve">Notes to Unaudited Interim Condensed Consolidated Financial Statements </w:t>
      </w:r>
      <w:r>
        <w:rPr>
          <w:rFonts w:ascii="Arial" w:cs="Arial" w:eastAsia="Arial" w:hAnsi="Arial"/>
          <w:sz w:val="15"/>
          <w:szCs w:val="15"/>
          <w:i w:val="1"/>
          <w:iCs w:val="1"/>
          <w:color w:val="auto"/>
        </w:rPr>
        <w:t>(Amounts Expressed in United States Dollars, Except Where Stated Otherwise)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15.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47625</wp:posOffset>
            </wp:positionV>
            <wp:extent cx="6842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162" w:lineRule="exact"/>
        <w:rPr>
          <w:sz w:val="20"/>
          <w:szCs w:val="20"/>
          <w:color w:val="auto"/>
        </w:rPr>
      </w:pPr>
    </w:p>
    <w:p>
      <w:pPr>
        <w:ind w:left="240" w:right="60"/>
        <w:spacing w:after="0" w:line="251" w:lineRule="auto"/>
        <w:rPr>
          <w:sz w:val="20"/>
          <w:szCs w:val="20"/>
          <w:color w:val="auto"/>
        </w:rPr>
      </w:pPr>
      <w:r>
        <w:rPr>
          <w:rFonts w:ascii="Arial" w:cs="Arial" w:eastAsia="Arial" w:hAnsi="Arial"/>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below table presents revenues by type for the three months ended March 31, 2020 and 2019:</w:t>
      </w: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3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39"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3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spacing w:after="0" w:line="191" w:lineRule="exact"/>
              <w:rPr>
                <w:sz w:val="20"/>
                <w:szCs w:val="20"/>
                <w:color w:val="auto"/>
              </w:rPr>
            </w:pPr>
            <w:r>
              <w:rPr>
                <w:rFonts w:ascii="Arial" w:cs="Arial" w:eastAsia="Arial" w:hAnsi="Arial"/>
                <w:sz w:val="18"/>
                <w:szCs w:val="18"/>
                <w:i w:val="1"/>
                <w:iCs w:val="1"/>
                <w:color w:val="auto"/>
              </w:rPr>
              <w:t>Revenues, Net of Discounts</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46,322,028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13,494,740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75,961,450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16,117,365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(19,680,876)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(1,698,942)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102,602,602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27,913,163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vMerge w:val="continue"/>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10,508,491</w:t>
            </w:r>
          </w:p>
        </w:tc>
        <w:tc>
          <w:tcPr>
            <w:tcW w:w="1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2,997,866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Retail</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797,278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1,399,403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12,705,172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3,469,560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shd w:val="clear" w:color="auto" w:fill="CCEEFF"/>
          </w:tcPr>
          <w:p>
            <w:pPr>
              <w:spacing w:after="0" w:line="204" w:lineRule="exact"/>
              <w:rPr>
                <w:sz w:val="20"/>
                <w:szCs w:val="20"/>
                <w:color w:val="auto"/>
              </w:rPr>
            </w:pPr>
            <w:r>
              <w:rPr>
                <w:rFonts w:ascii="Arial" w:cs="Arial" w:eastAsia="Arial" w:hAnsi="Arial"/>
                <w:sz w:val="18"/>
                <w:szCs w:val="18"/>
                <w:i w:val="1"/>
                <w:iCs w:val="1"/>
                <w:color w:val="auto"/>
              </w:rPr>
              <w:t>Income Taxes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4,227,000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(472,000)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13,149,000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1,236,000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Goodwill assigned to the Consumer Packaged Goods segment as of March 31, 2020 and December 31, 2019 was $252,461,232 and $255,211,232, respectively. Intangible assets, net assigned to the Consumer Packaged Goods segment as of March 31, 2020 and December 31, 2019 was $223,605,116 and $228,795,692, respectively.</w:t>
      </w:r>
    </w:p>
    <w:p>
      <w:pPr>
        <w:spacing w:after="0" w:line="82" w:lineRule="exact"/>
        <w:rPr>
          <w:sz w:val="20"/>
          <w:szCs w:val="20"/>
          <w:color w:val="auto"/>
        </w:rPr>
      </w:pPr>
    </w:p>
    <w:p>
      <w:pPr>
        <w:ind w:left="660" w:right="600"/>
        <w:spacing w:after="0" w:line="254" w:lineRule="auto"/>
        <w:rPr>
          <w:sz w:val="20"/>
          <w:szCs w:val="20"/>
          <w:color w:val="auto"/>
        </w:rPr>
      </w:pPr>
      <w:r>
        <w:rPr>
          <w:rFonts w:ascii="Arial" w:cs="Arial" w:eastAsia="Arial" w:hAnsi="Arial"/>
          <w:sz w:val="18"/>
          <w:szCs w:val="18"/>
          <w:color w:val="auto"/>
        </w:rPr>
        <w:t>Goodwill assigned to the Retail segment as of March 31, 2020 and December 31, 2019 was $119,757,767 and $119,873,759, respectively. Intangible assets, net assigned to the Retail segment as of March 31, 2020 and December 31, 2019 was $202,723,615 and $207,002,644, respectively.</w:t>
      </w:r>
    </w:p>
    <w:p>
      <w:pPr>
        <w:spacing w:after="0" w:line="82" w:lineRule="exact"/>
        <w:rPr>
          <w:sz w:val="20"/>
          <w:szCs w:val="20"/>
          <w:color w:val="auto"/>
        </w:rPr>
      </w:pPr>
    </w:p>
    <w:p>
      <w:pPr>
        <w:ind w:left="660" w:right="40"/>
        <w:spacing w:after="0" w:line="311" w:lineRule="auto"/>
        <w:rPr>
          <w:sz w:val="20"/>
          <w:szCs w:val="20"/>
          <w:color w:val="auto"/>
        </w:rPr>
      </w:pPr>
      <w:r>
        <w:rPr>
          <w:rFonts w:ascii="Arial" w:cs="Arial" w:eastAsia="Arial" w:hAnsi="Arial"/>
          <w:sz w:val="15"/>
          <w:szCs w:val="15"/>
          <w:color w:val="auto"/>
        </w:rPr>
        <w:t>The Company’s assets are aggregated into two reportable segments (Retail and Consumer Packaged Goods). For the purposes of testing goodwill, Green Thumb has identified 22 reporting units. The Company analyzed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320" w:top="452" w:right="5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 DISCUSSION AND ANALYSIS OF FINANCIAL CONDITION AND RESULTS OF OPERATION</w:t>
      </w:r>
    </w:p>
    <w:p>
      <w:pPr>
        <w:spacing w:after="0" w:line="116" w:lineRule="exact"/>
        <w:rPr>
          <w:sz w:val="20"/>
          <w:szCs w:val="20"/>
          <w:color w:val="auto"/>
        </w:rPr>
      </w:pPr>
    </w:p>
    <w:p>
      <w:pPr>
        <w:ind w:left="240" w:right="60" w:firstLine="431"/>
        <w:spacing w:after="0" w:line="305" w:lineRule="auto"/>
        <w:rPr>
          <w:sz w:val="20"/>
          <w:szCs w:val="20"/>
          <w:color w:val="auto"/>
        </w:rPr>
      </w:pPr>
      <w:r>
        <w:rPr>
          <w:rFonts w:ascii="Arial" w:cs="Arial" w:eastAsia="Arial" w:hAnsi="Arial"/>
          <w:sz w:val="15"/>
          <w:szCs w:val="15"/>
          <w:color w:val="auto"/>
        </w:rPr>
        <w:t>This management discussion and analysis (“MD&amp;A”) of the financial condition and results of operations of Green Thumb Industries Inc. (the “Company” or “Green Thumb”) is for the three months ended March 31, 2020 and 2019. It is supplemental to, and should be read in conjunction with, the Company’s Unaudited Interim Condensed Consolidated Financial Statements as of March 31, 2020 and the consolidated financial statements for the year ended December 31, 2019 included in our Annual Report on Form 10-K for the year ended December 31, 2019 filed with the U.S. Securities Exchange Commission on April 15, 2019 (the “2019 Form 10-K”) and the accompanying notes for each respective periods. The Company’s financial statements are prepared in accordance with accounting principles generally accepted in the United States of America (“GAAP”). Financial information presented in this MD&amp;A is presented in United States dollars (“$” or “US$”), unless otherwise indicated.</w:t>
      </w:r>
    </w:p>
    <w:p>
      <w:pPr>
        <w:spacing w:after="0" w:line="156" w:lineRule="exact"/>
        <w:rPr>
          <w:sz w:val="20"/>
          <w:szCs w:val="20"/>
          <w:color w:val="auto"/>
        </w:rPr>
      </w:pPr>
    </w:p>
    <w:p>
      <w:pPr>
        <w:ind w:left="240" w:firstLine="431"/>
        <w:spacing w:after="0" w:line="317" w:lineRule="auto"/>
        <w:rPr>
          <w:sz w:val="20"/>
          <w:szCs w:val="20"/>
          <w:color w:val="auto"/>
        </w:rPr>
      </w:pPr>
      <w:r>
        <w:rPr>
          <w:rFonts w:ascii="Arial" w:cs="Arial" w:eastAsia="Arial" w:hAnsi="Arial"/>
          <w:sz w:val="15"/>
          <w:szCs w:val="15"/>
          <w:color w:val="auto"/>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and in Part II, Item 1A, “Risk Factors.” As a result of many factors, the Company’s actual results may differ materially from those anticipated in these forward-looking statements and information.</w:t>
      </w:r>
    </w:p>
    <w:p>
      <w:pPr>
        <w:spacing w:after="0" w:line="145" w:lineRule="exact"/>
        <w:rPr>
          <w:sz w:val="20"/>
          <w:szCs w:val="20"/>
          <w:color w:val="auto"/>
        </w:rPr>
      </w:pPr>
    </w:p>
    <w:p>
      <w:pPr>
        <w:ind w:left="240" w:right="60" w:firstLine="970"/>
        <w:spacing w:after="0" w:line="328" w:lineRule="auto"/>
        <w:rPr>
          <w:sz w:val="20"/>
          <w:szCs w:val="20"/>
          <w:color w:val="auto"/>
        </w:rPr>
      </w:pPr>
      <w:r>
        <w:rPr>
          <w:rFonts w:ascii="Arial" w:cs="Arial" w:eastAsia="Arial" w:hAnsi="Arial"/>
          <w:sz w:val="15"/>
          <w:szCs w:val="15"/>
          <w:color w:val="auto"/>
        </w:rPr>
        <w:t>In March 2020, the World Health Organization categorized coronavirus disease 2019 (“COVID-19”) as a pandemic. COVID-19 continues to spread throughout the U.S. and other countries across the world, and the duration and severity of its effects are currently unknown. The Company is implementing and evaluating actions to strengthen its financial position and support the continuity of its business and operations.</w:t>
      </w:r>
    </w:p>
    <w:p>
      <w:pPr>
        <w:spacing w:after="0" w:line="2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110" w:lineRule="exact"/>
        <w:rPr>
          <w:sz w:val="20"/>
          <w:szCs w:val="20"/>
          <w:color w:val="auto"/>
        </w:rPr>
      </w:pPr>
    </w:p>
    <w:p>
      <w:pPr>
        <w:ind w:left="240" w:right="160" w:firstLine="970"/>
        <w:spacing w:after="0" w:line="317" w:lineRule="auto"/>
        <w:rPr>
          <w:sz w:val="20"/>
          <w:szCs w:val="20"/>
          <w:color w:val="auto"/>
        </w:rPr>
      </w:pPr>
      <w:r>
        <w:rPr>
          <w:rFonts w:ascii="Arial" w:cs="Arial" w:eastAsia="Arial" w:hAnsi="Arial"/>
          <w:sz w:val="15"/>
          <w:szCs w:val="15"/>
          <w:color w:val="auto"/>
        </w:rPr>
        <w:t>The Company’s priorities during the COVID-19 pandemic are protecting the health and safety of its employees and its customers, following the recommended actions of government and health authorities. In the future, the pandemic may cause reduced demand for our products and services if, for example, the pandemic results in a recessionary economic environment. However, given the Company’s operations have been deemed essential services, the Company believes that there will continue to be strong demand for our products.</w:t>
      </w:r>
    </w:p>
    <w:p>
      <w:pPr>
        <w:spacing w:after="0" w:line="145" w:lineRule="exact"/>
        <w:rPr>
          <w:sz w:val="20"/>
          <w:szCs w:val="20"/>
          <w:color w:val="auto"/>
        </w:rPr>
      </w:pPr>
    </w:p>
    <w:p>
      <w:pPr>
        <w:jc w:val="both"/>
        <w:ind w:left="240" w:right="60" w:firstLine="970"/>
        <w:spacing w:after="0" w:line="270" w:lineRule="auto"/>
        <w:rPr>
          <w:sz w:val="20"/>
          <w:szCs w:val="20"/>
          <w:color w:val="auto"/>
        </w:rPr>
      </w:pPr>
      <w:r>
        <w:rPr>
          <w:rFonts w:ascii="Arial" w:cs="Arial" w:eastAsia="Arial" w:hAnsi="Arial"/>
          <w:sz w:val="17"/>
          <w:szCs w:val="17"/>
          <w:color w:val="auto"/>
        </w:rPr>
        <w:t>Operations of the Company are currently ongoing as the cultivation, processing and sale of cannabis products is currently considered an essential business by all states in which the Company operates with respect to all customers (except in Massachusetts where only medical use cannabis has been deemed essential). Our ability to continue to operate without any significant negative operational impact from the COVID-19 pandemic will in part depend on our ability to protect our employees, customers and supply chain.</w:t>
      </w:r>
    </w:p>
    <w:p>
      <w:pPr>
        <w:spacing w:after="0" w:line="177" w:lineRule="exact"/>
        <w:rPr>
          <w:sz w:val="20"/>
          <w:szCs w:val="20"/>
          <w:color w:val="auto"/>
        </w:rPr>
      </w:pPr>
    </w:p>
    <w:p>
      <w:pPr>
        <w:ind w:left="240" w:firstLine="970"/>
        <w:spacing w:after="0" w:line="328" w:lineRule="auto"/>
        <w:rPr>
          <w:sz w:val="20"/>
          <w:szCs w:val="20"/>
          <w:color w:val="auto"/>
        </w:rPr>
      </w:pPr>
      <w:r>
        <w:rPr>
          <w:rFonts w:ascii="Arial" w:cs="Arial" w:eastAsia="Arial" w:hAnsi="Arial"/>
          <w:sz w:val="15"/>
          <w:szCs w:val="15"/>
          <w:color w:val="auto"/>
        </w:rPr>
        <w:t>The pandemic has not materially impacted our business operations or liquidity position to date. The Company continues to generate operating cash flows to meet our short-term liquidity needs. In all locations where applicable regulations have been enacted by governmental authorities, the Company has expanded consumer delivery options and curbside pickup to help further protect the health and safety of our employees and customers.</w:t>
      </w:r>
    </w:p>
    <w:p>
      <w:pPr>
        <w:spacing w:after="0" w:line="138" w:lineRule="exact"/>
        <w:rPr>
          <w:sz w:val="20"/>
          <w:szCs w:val="20"/>
          <w:color w:val="auto"/>
        </w:rPr>
      </w:pPr>
    </w:p>
    <w:p>
      <w:pPr>
        <w:ind w:left="240" w:right="220" w:firstLine="970"/>
        <w:spacing w:after="0" w:line="254" w:lineRule="auto"/>
        <w:rPr>
          <w:sz w:val="20"/>
          <w:szCs w:val="20"/>
          <w:color w:val="auto"/>
        </w:rPr>
      </w:pPr>
      <w:r>
        <w:rPr>
          <w:rFonts w:ascii="Arial" w:cs="Arial" w:eastAsia="Arial" w:hAnsi="Arial"/>
          <w:sz w:val="18"/>
          <w:szCs w:val="18"/>
          <w:color w:val="auto"/>
        </w:rPr>
        <w:t>While during the first quarter of 2020 our revenue, gross profit and operating income were not impacted and we maintained the consistency of our operations, the uncertain nature of the spread of COVID-19 may impact our business operations for reasons including the potential quarantine of our employees or those of our supply chain partners.</w:t>
      </w:r>
    </w:p>
    <w:p>
      <w:pPr>
        <w:spacing w:after="0" w:line="188" w:lineRule="exact"/>
        <w:rPr>
          <w:sz w:val="20"/>
          <w:szCs w:val="20"/>
          <w:color w:val="auto"/>
        </w:rPr>
      </w:pPr>
    </w:p>
    <w:p>
      <w:pPr>
        <w:ind w:left="240" w:firstLine="970"/>
        <w:spacing w:after="0" w:line="263" w:lineRule="auto"/>
        <w:rPr>
          <w:sz w:val="20"/>
          <w:szCs w:val="20"/>
          <w:color w:val="auto"/>
        </w:rPr>
      </w:pPr>
      <w:r>
        <w:rPr>
          <w:rFonts w:ascii="Arial" w:cs="Arial" w:eastAsia="Arial" w:hAnsi="Arial"/>
          <w:sz w:val="18"/>
          <w:szCs w:val="18"/>
          <w:color w:val="auto"/>
        </w:rPr>
        <w:t>For additional information on risk factors related to the pandemic or other risks that could impact our results, please refer to “Risk Factors” in Part II, Item 1A of this Quarterly Report on Form 10-Q.</w:t>
      </w:r>
    </w:p>
    <w:p>
      <w:pPr>
        <w:spacing w:after="0" w:line="180"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following table sets forth the Company’s selected consolidated financial data for the periods, and as of the dates, indicated. The</w:t>
      </w:r>
    </w:p>
    <w:p>
      <w:pPr>
        <w:spacing w:after="0" w:line="50" w:lineRule="exact"/>
        <w:rPr>
          <w:sz w:val="20"/>
          <w:szCs w:val="20"/>
          <w:color w:val="auto"/>
        </w:rPr>
      </w:pPr>
    </w:p>
    <w:p>
      <w:pPr>
        <w:ind w:left="240" w:right="400" w:hanging="3"/>
        <w:spacing w:after="0" w:line="320" w:lineRule="auto"/>
        <w:tabs>
          <w:tab w:leader="none" w:pos="45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consolidated statements of operations and comprehensive loss data for the three months ended March 31, 2020 and 2019 and (ii) consolidated balance sheet data as of March 31, 2020 and December 31, 2019 have been derived from the Unaudited Interim Condensed Consolidated Financial Statements of the Company and its subsidiaries, which are included elsewhere in this Quarterly Report on Form 10-Q.</w:t>
      </w:r>
    </w:p>
    <w:p>
      <w:pPr>
        <w:spacing w:after="0" w:line="144" w:lineRule="exact"/>
        <w:rPr>
          <w:sz w:val="20"/>
          <w:szCs w:val="20"/>
          <w:color w:val="auto"/>
        </w:rPr>
      </w:pPr>
    </w:p>
    <w:p>
      <w:pPr>
        <w:ind w:left="240" w:right="80" w:firstLine="970"/>
        <w:spacing w:after="0" w:line="251" w:lineRule="auto"/>
        <w:rPr>
          <w:sz w:val="20"/>
          <w:szCs w:val="20"/>
          <w:color w:val="auto"/>
        </w:rPr>
      </w:pPr>
      <w:r>
        <w:rPr>
          <w:rFonts w:ascii="Arial" w:cs="Arial" w:eastAsia="Arial" w:hAnsi="Arial"/>
          <w:sz w:val="18"/>
          <w:szCs w:val="18"/>
          <w:color w:val="auto"/>
        </w:rPr>
        <w:t>The data set forth below should be read in conjunction with the Unaudited Interim Condensed Consolidated Financial Statements and accompanying notes presented in Item 1 of this Report. The Company’s Consolidated Financial Statements have been prepared in accordance with U.S. Generally Accepted Accounting Principles (“GAAP”) and on a going-concern basis that contemplates continuity of operations and realization of assets and liquidation of liabilities in the ordinary course of business.</w:t>
      </w:r>
    </w:p>
    <w:p>
      <w:pPr>
        <w:spacing w:after="0" w:line="207" w:lineRule="exact"/>
        <w:rPr>
          <w:sz w:val="20"/>
          <w:szCs w:val="20"/>
          <w:color w:val="auto"/>
        </w:rPr>
      </w:pPr>
    </w:p>
    <w:tbl>
      <w:tblPr>
        <w:tblLayout w:type="fixed"/>
        <w:tblInd w:w="1540" w:type="dxa"/>
        <w:tblCellMar>
          <w:top w:w="0" w:type="dxa"/>
          <w:left w:w="0" w:type="dxa"/>
          <w:bottom w:w="0" w:type="dxa"/>
          <w:right w:w="0" w:type="dxa"/>
        </w:tblCellMar>
      </w:tblPr>
      <w:tr>
        <w:trPr>
          <w:trHeight w:val="168"/>
        </w:trPr>
        <w:tc>
          <w:tcPr>
            <w:tcW w:w="4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Three Months Ended March 31,</w:t>
            </w:r>
          </w:p>
        </w:tc>
      </w:tr>
      <w:tr>
        <w:trPr>
          <w:trHeight w:val="138"/>
        </w:trPr>
        <w:tc>
          <w:tcPr>
            <w:tcW w:w="4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7"/>
              <w:spacing w:after="0" w:line="139"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54"/>
              <w:spacing w:after="0" w:line="13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38"/>
        </w:trPr>
        <w:tc>
          <w:tcPr>
            <w:tcW w:w="4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tcPr>
          <w:p>
            <w:pPr>
              <w:jc w:val="center"/>
              <w:ind w:left="557"/>
              <w:spacing w:after="0" w:line="139" w:lineRule="exact"/>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27,913</w:t>
            </w:r>
          </w:p>
        </w:tc>
        <w:tc>
          <w:tcPr>
            <w:tcW w:w="100" w:type="dxa"/>
            <w:vAlign w:val="bottom"/>
            <w:shd w:val="clear" w:color="auto" w:fill="CCEEFF"/>
          </w:tcPr>
          <w:p>
            <w:pPr>
              <w:spacing w:after="0"/>
              <w:rPr>
                <w:sz w:val="18"/>
                <w:szCs w:val="18"/>
                <w:color w:val="auto"/>
              </w:rPr>
            </w:pPr>
          </w:p>
        </w:tc>
      </w:tr>
      <w:tr>
        <w:trPr>
          <w:trHeight w:val="211"/>
        </w:trPr>
        <w:tc>
          <w:tcPr>
            <w:tcW w:w="4960" w:type="dxa"/>
            <w:vAlign w:val="bottom"/>
          </w:tcPr>
          <w:p>
            <w:pPr>
              <w:spacing w:after="0"/>
              <w:rPr>
                <w:sz w:val="20"/>
                <w:szCs w:val="20"/>
                <w:color w:val="auto"/>
              </w:rPr>
            </w:pPr>
            <w:r>
              <w:rPr>
                <w:rFonts w:ascii="Arial" w:cs="Arial" w:eastAsia="Arial" w:hAnsi="Arial"/>
                <w:sz w:val="18"/>
                <w:szCs w:val="18"/>
                <w:color w:val="auto"/>
              </w:rPr>
              <w:t>Cost of Goods Sold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49,615</w:t>
            </w:r>
          </w:p>
        </w:tc>
        <w:tc>
          <w:tcPr>
            <w:tcW w:w="14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15,124</w:t>
            </w:r>
          </w:p>
        </w:tc>
        <w:tc>
          <w:tcPr>
            <w:tcW w:w="100" w:type="dxa"/>
            <w:vAlign w:val="bottom"/>
          </w:tcPr>
          <w:p>
            <w:pPr>
              <w:spacing w:after="0"/>
              <w:rPr>
                <w:sz w:val="18"/>
                <w:szCs w:val="18"/>
                <w:color w:val="auto"/>
              </w:rPr>
            </w:pPr>
          </w:p>
        </w:tc>
      </w:tr>
      <w:tr>
        <w:trPr>
          <w:trHeight w:val="211"/>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100" w:type="dxa"/>
            <w:vAlign w:val="bottom"/>
            <w:shd w:val="clear" w:color="auto" w:fill="CCEEFF"/>
          </w:tcPr>
          <w:p>
            <w:pPr>
              <w:spacing w:after="0"/>
              <w:rPr>
                <w:sz w:val="18"/>
                <w:szCs w:val="18"/>
                <w:color w:val="auto"/>
              </w:rPr>
            </w:pPr>
          </w:p>
        </w:tc>
      </w:tr>
      <w:tr>
        <w:trPr>
          <w:trHeight w:val="211"/>
        </w:trPr>
        <w:tc>
          <w:tcPr>
            <w:tcW w:w="4960" w:type="dxa"/>
            <w:vAlign w:val="bottom"/>
          </w:tcPr>
          <w:p>
            <w:pPr>
              <w:spacing w:after="0"/>
              <w:rPr>
                <w:sz w:val="20"/>
                <w:szCs w:val="20"/>
                <w:color w:val="auto"/>
              </w:rPr>
            </w:pPr>
            <w:r>
              <w:rPr>
                <w:rFonts w:ascii="Arial" w:cs="Arial" w:eastAsia="Arial" w:hAnsi="Arial"/>
                <w:sz w:val="18"/>
                <w:szCs w:val="18"/>
                <w:color w:val="auto"/>
              </w:rPr>
              <w:t>Total Expenses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45,435</w:t>
            </w:r>
          </w:p>
        </w:tc>
        <w:tc>
          <w:tcPr>
            <w:tcW w:w="14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26,419</w:t>
            </w:r>
          </w:p>
        </w:tc>
        <w:tc>
          <w:tcPr>
            <w:tcW w:w="100" w:type="dxa"/>
            <w:vAlign w:val="bottom"/>
          </w:tcPr>
          <w:p>
            <w:pPr>
              <w:spacing w:after="0"/>
              <w:rPr>
                <w:sz w:val="18"/>
                <w:szCs w:val="18"/>
                <w:color w:val="auto"/>
              </w:rPr>
            </w:pPr>
          </w:p>
        </w:tc>
      </w:tr>
      <w:tr>
        <w:trPr>
          <w:trHeight w:val="211"/>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100" w:type="dxa"/>
            <w:vAlign w:val="bottom"/>
            <w:shd w:val="clear" w:color="auto" w:fill="CCEEFF"/>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w w:val="99"/>
              </w:rPr>
              <w:t>Net Income (Loss) Attributable to Green Thumb Industries Inc.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(4,206)</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(9,563)</w:t>
            </w:r>
          </w:p>
        </w:tc>
      </w:tr>
      <w:tr>
        <w:trPr>
          <w:trHeight w:val="345"/>
        </w:trPr>
        <w:tc>
          <w:tcPr>
            <w:tcW w:w="4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right="192"/>
              <w:spacing w:after="0"/>
              <w:rPr>
                <w:sz w:val="20"/>
                <w:szCs w:val="20"/>
                <w:color w:val="auto"/>
              </w:rPr>
            </w:pPr>
            <w:r>
              <w:rPr>
                <w:rFonts w:ascii="Arial" w:cs="Arial" w:eastAsia="Arial" w:hAnsi="Arial"/>
                <w:sz w:val="14"/>
                <w:szCs w:val="14"/>
                <w:b w:val="1"/>
                <w:bCs w:val="1"/>
                <w:color w:val="auto"/>
                <w:w w:val="91"/>
              </w:rPr>
              <w:t>As of</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8"/>
        </w:trPr>
        <w:tc>
          <w:tcPr>
            <w:tcW w:w="4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tcPr>
          <w:p>
            <w:pPr>
              <w:jc w:val="right"/>
              <w:ind w:right="140"/>
              <w:spacing w:after="0" w:line="139" w:lineRule="exact"/>
              <w:rPr>
                <w:sz w:val="20"/>
                <w:szCs w:val="20"/>
                <w:color w:val="auto"/>
              </w:rPr>
            </w:pPr>
            <w:r>
              <w:rPr>
                <w:rFonts w:ascii="Arial" w:cs="Arial" w:eastAsia="Arial" w:hAnsi="Arial"/>
                <w:sz w:val="14"/>
                <w:szCs w:val="14"/>
                <w:b w:val="1"/>
                <w:bCs w:val="1"/>
                <w:color w:val="auto"/>
                <w:w w:val="90"/>
              </w:rPr>
              <w:t>March 31, 2020</w:t>
            </w:r>
          </w:p>
        </w:tc>
        <w:tc>
          <w:tcPr>
            <w:tcW w:w="1560" w:type="dxa"/>
            <w:vAlign w:val="bottom"/>
            <w:gridSpan w:val="3"/>
          </w:tcPr>
          <w:p>
            <w:pPr>
              <w:ind w:left="420"/>
              <w:spacing w:after="0" w:line="139" w:lineRule="exact"/>
              <w:rPr>
                <w:sz w:val="20"/>
                <w:szCs w:val="20"/>
                <w:color w:val="auto"/>
              </w:rPr>
            </w:pPr>
            <w:r>
              <w:rPr>
                <w:rFonts w:ascii="Arial" w:cs="Arial" w:eastAsia="Arial" w:hAnsi="Arial"/>
                <w:sz w:val="14"/>
                <w:szCs w:val="14"/>
                <w:b w:val="1"/>
                <w:bCs w:val="1"/>
                <w:color w:val="auto"/>
                <w:w w:val="88"/>
              </w:rPr>
              <w:t>December 31, 2019</w:t>
            </w:r>
          </w:p>
        </w:tc>
        <w:tc>
          <w:tcPr>
            <w:tcW w:w="100" w:type="dxa"/>
            <w:vAlign w:val="bottom"/>
          </w:tcPr>
          <w:p>
            <w:pPr>
              <w:spacing w:after="0"/>
              <w:rPr>
                <w:sz w:val="12"/>
                <w:szCs w:val="12"/>
                <w:color w:val="auto"/>
              </w:rPr>
            </w:pPr>
          </w:p>
        </w:tc>
      </w:tr>
      <w:tr>
        <w:trPr>
          <w:trHeight w:val="204"/>
        </w:trPr>
        <w:tc>
          <w:tcPr>
            <w:tcW w:w="49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Total Assets</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4"/>
              </w:rPr>
              <w:t>1,223,014</w:t>
            </w: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7"/>
              </w:rPr>
              <w:t>1,167,537</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Long-Term Liabilities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241,958</w:t>
            </w:r>
          </w:p>
        </w:tc>
        <w:tc>
          <w:tcPr>
            <w:tcW w:w="14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212,961</w:t>
            </w:r>
          </w:p>
        </w:tc>
        <w:tc>
          <w:tcPr>
            <w:tcW w:w="100" w:type="dxa"/>
            <w:vAlign w:val="bottom"/>
          </w:tcPr>
          <w:p>
            <w:pPr>
              <w:spacing w:after="0"/>
              <w:rPr>
                <w:sz w:val="19"/>
                <w:szCs w:val="19"/>
                <w:color w:val="auto"/>
              </w:rPr>
            </w:pPr>
          </w:p>
        </w:tc>
      </w:tr>
      <w:tr>
        <w:trPr>
          <w:trHeight w:val="344"/>
        </w:trPr>
        <w:tc>
          <w:tcPr>
            <w:tcW w:w="4960" w:type="dxa"/>
            <w:vAlign w:val="bottom"/>
          </w:tcPr>
          <w:p>
            <w:pPr>
              <w:ind w:left="390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0"/>
          </w:cols>
          <w:pgMar w:left="320" w:top="452" w:right="5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 OF THE COMPANY</w:t>
      </w:r>
    </w:p>
    <w:p>
      <w:pPr>
        <w:spacing w:after="0" w:line="116" w:lineRule="exact"/>
        <w:rPr>
          <w:sz w:val="20"/>
          <w:szCs w:val="20"/>
          <w:color w:val="auto"/>
        </w:rPr>
      </w:pPr>
    </w:p>
    <w:p>
      <w:pPr>
        <w:ind w:left="240" w:right="100" w:firstLine="431"/>
        <w:spacing w:after="0" w:line="276" w:lineRule="auto"/>
        <w:rPr>
          <w:sz w:val="20"/>
          <w:szCs w:val="20"/>
          <w:color w:val="auto"/>
        </w:rPr>
      </w:pPr>
      <w:r>
        <w:rPr>
          <w:rFonts w:ascii="Arial" w:cs="Arial" w:eastAsia="Arial" w:hAnsi="Arial"/>
          <w:sz w:val="17"/>
          <w:szCs w:val="17"/>
          <w:color w:val="auto"/>
        </w:rPr>
        <w:t>Established in 2014 and headquartered in Chicago, Illinois, Green Thumb is promoting well-being through the power of cannabis, while being committed to community and sustainable profitable growth. As of March 31, 2020, Green Thumb has operations across 12 U.S. markets, employs over 1,700 people and serves hundreds of thousands of patients and customers annually.</w:t>
      </w:r>
    </w:p>
    <w:p>
      <w:pPr>
        <w:spacing w:after="0" w:line="171" w:lineRule="exact"/>
        <w:rPr>
          <w:sz w:val="20"/>
          <w:szCs w:val="20"/>
          <w:color w:val="auto"/>
        </w:rPr>
      </w:pPr>
    </w:p>
    <w:p>
      <w:pPr>
        <w:ind w:left="240" w:right="160" w:firstLine="431"/>
        <w:spacing w:after="0" w:line="251" w:lineRule="auto"/>
        <w:rPr>
          <w:sz w:val="20"/>
          <w:szCs w:val="20"/>
          <w:color w:val="auto"/>
        </w:rPr>
      </w:pPr>
      <w:r>
        <w:rPr>
          <w:rFonts w:ascii="Arial" w:cs="Arial" w:eastAsia="Arial" w:hAnsi="Arial"/>
          <w:sz w:val="18"/>
          <w:szCs w:val="18"/>
          <w:color w:val="auto"/>
        </w:rPr>
        <w:t>Green Thumb’s core business is manufacturing, distributing and marketing a portfolio of owned cannabis consumer packaged goods brands (which we refer to as our consumer packaged goods business), including Beboe, Dogwalkers, Dr. Solomon’s, incredibles, Rythm and The Feel Collection. We distribute and market these products primarily to third-party licensed retail cannabis stores across the United States as well as to Green Thumb-owned retail stores (which we refer to as our Retail business).</w:t>
      </w:r>
    </w:p>
    <w:p>
      <w:pPr>
        <w:spacing w:after="0" w:line="190" w:lineRule="exact"/>
        <w:rPr>
          <w:sz w:val="20"/>
          <w:szCs w:val="20"/>
          <w:color w:val="auto"/>
        </w:rPr>
      </w:pPr>
    </w:p>
    <w:p>
      <w:pPr>
        <w:ind w:left="240" w:right="100" w:firstLine="431"/>
        <w:spacing w:after="0" w:line="267" w:lineRule="auto"/>
        <w:rPr>
          <w:sz w:val="20"/>
          <w:szCs w:val="20"/>
          <w:color w:val="auto"/>
        </w:rPr>
      </w:pPr>
      <w:r>
        <w:rPr>
          <w:rFonts w:ascii="Arial" w:cs="Arial" w:eastAsia="Arial" w:hAnsi="Arial"/>
          <w:sz w:val="17"/>
          <w:szCs w:val="17"/>
          <w:color w:val="auto"/>
        </w:rPr>
        <w:t>The Company’s Consumer Packaged Goods portfolio is primarily generated from plant material that Green Thumb grows and processes itself, which we use to produce our consumer packaged goods in 13 manufacturing facilities. This portfolio consists of stock keeping units (“SKUs”) across a range of cannabis product categories, including flower, pre-rolls, concentrates, vape, capsules, tinctures, edibles, topicals and other cannabis-related products (none of which product categories are individually material to the Company). These Consumer Packaged Goods products are sold in over 700 retail locations, including Green Thumb’s own Rise and Essence dispensaries.</w:t>
      </w:r>
    </w:p>
    <w:p>
      <w:pPr>
        <w:spacing w:after="0" w:line="180" w:lineRule="exact"/>
        <w:rPr>
          <w:sz w:val="20"/>
          <w:szCs w:val="20"/>
          <w:color w:val="auto"/>
        </w:rPr>
      </w:pPr>
    </w:p>
    <w:p>
      <w:pPr>
        <w:ind w:left="240" w:firstLine="431"/>
        <w:spacing w:after="0" w:line="300" w:lineRule="auto"/>
        <w:rPr>
          <w:sz w:val="20"/>
          <w:szCs w:val="20"/>
          <w:color w:val="auto"/>
        </w:rPr>
      </w:pPr>
      <w:r>
        <w:rPr>
          <w:rFonts w:ascii="Arial" w:cs="Arial" w:eastAsia="Arial" w:hAnsi="Arial"/>
          <w:sz w:val="15"/>
          <w:szCs w:val="15"/>
          <w:color w:val="auto"/>
        </w:rPr>
        <w:t>Green Thumb also owns and operates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our retail stores is primarily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Our Rise stores currently are located in eight of the states in which we operate (including Nevada). Our Essence stores were acquired in connection with the 2019 acquisition of Integral Associates and are located in Nevada. The Essence stores differ from the Rise stores mainly in geographic location. As of March 31, 2020, the Company had 42 open and operating retail locations, with state licensed permission to open a total of 96 stores. The Company’s new store opening plans will remain fluid depending on market conditions, obtaining local licensing, construction and other permissions and subject to our capital allocation plans and the evolving situation with respect to the COVID-19 as described above and under the heading “Liquidity, Financing Activities During the Period, and Capital Resources” below.</w:t>
      </w:r>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320" w:top="452" w:right="5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 Streams</w:t>
      </w:r>
    </w:p>
    <w:p>
      <w:pPr>
        <w:spacing w:after="0" w:line="116" w:lineRule="exact"/>
        <w:rPr>
          <w:sz w:val="20"/>
          <w:szCs w:val="20"/>
          <w:color w:val="auto"/>
        </w:rPr>
      </w:pPr>
    </w:p>
    <w:p>
      <w:pPr>
        <w:ind w:left="240" w:right="260" w:firstLine="431"/>
        <w:spacing w:after="0" w:line="364" w:lineRule="auto"/>
        <w:rPr>
          <w:sz w:val="20"/>
          <w:szCs w:val="20"/>
          <w:color w:val="auto"/>
        </w:rPr>
      </w:pPr>
      <w:r>
        <w:rPr>
          <w:rFonts w:ascii="Arial" w:cs="Arial" w:eastAsia="Arial" w:hAnsi="Arial"/>
          <w:sz w:val="15"/>
          <w:szCs w:val="15"/>
          <w:color w:val="auto"/>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11" w:lineRule="exact"/>
        <w:rPr>
          <w:sz w:val="20"/>
          <w:szCs w:val="20"/>
          <w:color w:val="auto"/>
        </w:rPr>
      </w:pPr>
    </w:p>
    <w:p>
      <w:pPr>
        <w:ind w:left="240" w:right="420" w:firstLine="431"/>
        <w:spacing w:after="0" w:line="263" w:lineRule="auto"/>
        <w:rPr>
          <w:sz w:val="20"/>
          <w:szCs w:val="20"/>
          <w:color w:val="auto"/>
        </w:rPr>
      </w:pPr>
      <w:r>
        <w:rPr>
          <w:rFonts w:ascii="Arial" w:cs="Arial" w:eastAsia="Arial" w:hAnsi="Arial"/>
          <w:sz w:val="18"/>
          <w:szCs w:val="18"/>
          <w:color w:val="auto"/>
        </w:rPr>
        <w:t>As of March 31, 2020, Green Thumb has operating revenue in its 12 markets (California, Colorado, Connecticut, Florida, Illinois, Maryland, Massachusetts, Nevada, New Jersey, New York, Ohio and Pennsylvania).</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2020</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w:t>
      </w:r>
    </w:p>
    <w:p>
      <w:pPr>
        <w:spacing w:after="0" w:line="110" w:lineRule="exact"/>
        <w:rPr>
          <w:sz w:val="20"/>
          <w:szCs w:val="20"/>
          <w:color w:val="auto"/>
        </w:rPr>
      </w:pPr>
    </w:p>
    <w:p>
      <w:pPr>
        <w:ind w:left="240"/>
        <w:spacing w:after="0" w:line="262" w:lineRule="auto"/>
        <w:rPr>
          <w:sz w:val="20"/>
          <w:szCs w:val="20"/>
          <w:color w:val="auto"/>
        </w:rPr>
      </w:pPr>
      <w:r>
        <w:rPr>
          <w:rFonts w:ascii="Arial" w:cs="Arial" w:eastAsia="Arial" w:hAnsi="Arial"/>
          <w:sz w:val="17"/>
          <w:szCs w:val="17"/>
          <w:color w:val="auto"/>
        </w:rPr>
        <w:t>Revenue for the three months ended March 31, 2020 was $102,602,602, up 268% from $27,913,163 for the three months ended March 31, 2019 driven by contribution from both Consumer Packaged Goods and Retail sales across Illinois, Nevada, Pennsylvania, Massachusetts and Connecticut. Key performance drivers are: the addition of adult use sales in Illinois; the addition of the Essence stores in Nevada; increased distribution of Green Thumb’s branded product portfolio to third-party retailers in Illinois, Nevada, Pennsylvania, Massachusetts, and Connecticut; new stores in Pennsylvania, Florida, Illinois, Connecticut, Ohio, New Jersey and New York; and increased store traffic to Green Thumb’s open and operating brick and mortar Retail stores. The Company generated revenue from 42 Retail locations during the quarter compared to 15 in the prior year. The following stores were acquired in 2019 and contributed to the increase in Retail revenues: three Essence stores in Nevada, one Illinois store, two Connecticut stores and three New York stores. In addition, 18 new Retail locations were opened in Pennsylvania, Florida, Illinois, Ohio and New Jersey. The key drivers for the Consumer Packaged Goods revenue increase was the addition of two acquired locations from Integral Associates in Nevada and Advanced Grow Labs in Connecticut along with expansion at the Company’s existing Consumer Packaged Goods cultivation and processing facilities in Illinois, Pennsylvania and Massachusetts.</w:t>
      </w:r>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Goods Sold</w:t>
      </w:r>
    </w:p>
    <w:p>
      <w:pPr>
        <w:spacing w:after="0" w:line="110" w:lineRule="exact"/>
        <w:rPr>
          <w:sz w:val="20"/>
          <w:szCs w:val="20"/>
          <w:color w:val="auto"/>
        </w:rPr>
      </w:pPr>
    </w:p>
    <w:p>
      <w:pPr>
        <w:ind w:left="240" w:right="20"/>
        <w:spacing w:after="0" w:line="267" w:lineRule="auto"/>
        <w:rPr>
          <w:sz w:val="20"/>
          <w:szCs w:val="20"/>
          <w:color w:val="auto"/>
        </w:rPr>
      </w:pPr>
      <w:r>
        <w:rPr>
          <w:rFonts w:ascii="Arial" w:cs="Arial" w:eastAsia="Arial" w:hAnsi="Arial"/>
          <w:sz w:val="17"/>
          <w:szCs w:val="17"/>
          <w:color w:val="auto"/>
        </w:rPr>
        <w:t>Cost of goods sold are derived from cost related to the internal cultivation and our branded Consumer Packaged Goods and production of cannabis and from retail purchases made from other licensed producers operating within our state markets. Cost of goods sold for the three months ended March 31, 2020 was $49,615,188, up 228% from $15,123,942 for the three months ended March 31, 2019, driven by the addition new Retail stores in Illinois and Pennsylvania and increased volume in open and operating Retail stores; and expansion of the consumer products sales in Illinois, Nevada, Pennsylvania, Massachusetts, and Connecticut as described above.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Profit</w:t>
      </w:r>
    </w:p>
    <w:p>
      <w:pPr>
        <w:spacing w:after="0" w:line="110" w:lineRule="exact"/>
        <w:rPr>
          <w:sz w:val="20"/>
          <w:szCs w:val="20"/>
          <w:color w:val="auto"/>
        </w:rPr>
      </w:pPr>
    </w:p>
    <w:p>
      <w:pPr>
        <w:ind w:left="240" w:right="100"/>
        <w:spacing w:after="0" w:line="311" w:lineRule="auto"/>
        <w:rPr>
          <w:sz w:val="20"/>
          <w:szCs w:val="20"/>
          <w:color w:val="auto"/>
        </w:rPr>
      </w:pPr>
      <w:r>
        <w:rPr>
          <w:rFonts w:ascii="Arial" w:cs="Arial" w:eastAsia="Arial" w:hAnsi="Arial"/>
          <w:sz w:val="15"/>
          <w:szCs w:val="15"/>
          <w:color w:val="auto"/>
        </w:rPr>
        <w:t>Gross profit for the three months ended March 31, 2020 was $52,987,414, representing a gross margin on the sale of branded cannabis flower and processed and packaged products including concentrates, edibles, topicals and other cannabis products, of 52%. This is compared to gross profit for the three months ended March 31, 2019 of $12,789,221 or a 46% gross margin. The Company’s increase in gross margin percentage was mainly attributed to improved margins in Retail as well as operating leverage experienced at the Company’s Consumer Packaged Goods cultivation and processing facilities. The increase in gross profit was directly attributable to the revenue increase as further described above.</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Expenses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expenses for the three months ended March 31, 2020 were $45,434,757 or 44% of total revenues, net of discounts, an increase of $19,015,876.</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expenses for the three months ended March 31, 2019 were $26,418,881 or 95% of total revenues, net of discounts.</w:t>
      </w:r>
    </w:p>
    <w:p>
      <w:pPr>
        <w:spacing w:after="0" w:line="204" w:lineRule="exact"/>
        <w:rPr>
          <w:sz w:val="20"/>
          <w:szCs w:val="20"/>
          <w:color w:val="auto"/>
        </w:rPr>
      </w:pPr>
    </w:p>
    <w:p>
      <w:pPr>
        <w:jc w:val="both"/>
        <w:ind w:left="240" w:right="60"/>
        <w:spacing w:after="0" w:line="270" w:lineRule="auto"/>
        <w:rPr>
          <w:sz w:val="20"/>
          <w:szCs w:val="20"/>
          <w:color w:val="auto"/>
        </w:rPr>
      </w:pPr>
      <w:r>
        <w:rPr>
          <w:rFonts w:ascii="Arial" w:cs="Arial" w:eastAsia="Arial" w:hAnsi="Arial"/>
          <w:sz w:val="17"/>
          <w:szCs w:val="17"/>
          <w:color w:val="auto"/>
        </w:rPr>
        <w:t>The increase in total expenses was attributable to an increase in intangible amortization expense, and Retail and corporate staff salaries and benefits in addition to other operational expenses mainly as a result of the Company’s new and acquired Retail facilities further described above under “Revenue” as compared to last year. The decrease in expenses as a percent of revenue was attributable to measures deployed to control variable expenses as well as inherent operating leverage caused by the significant increase in revenue.</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Other Income (Expense)</w:t>
      </w:r>
    </w:p>
    <w:p>
      <w:pPr>
        <w:spacing w:after="0" w:line="110" w:lineRule="exact"/>
        <w:rPr>
          <w:sz w:val="20"/>
          <w:szCs w:val="20"/>
          <w:color w:val="auto"/>
        </w:rPr>
      </w:pPr>
    </w:p>
    <w:p>
      <w:pPr>
        <w:ind w:left="240" w:right="500"/>
        <w:spacing w:after="0" w:line="263" w:lineRule="auto"/>
        <w:rPr>
          <w:sz w:val="20"/>
          <w:szCs w:val="20"/>
          <w:color w:val="auto"/>
        </w:rPr>
      </w:pPr>
      <w:r>
        <w:rPr>
          <w:rFonts w:ascii="Arial" w:cs="Arial" w:eastAsia="Arial" w:hAnsi="Arial"/>
          <w:sz w:val="18"/>
          <w:szCs w:val="18"/>
          <w:color w:val="auto"/>
        </w:rPr>
        <w:t>Total other income (expense) for three months ended March 31, 2020 was $1,832,783, a decrease of $3,328,822 compared to 2019, mainly due to interest expense in the current year as a result of the May 2019 debt issuance.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320" w:top="452" w:right="5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110" w:lineRule="exact"/>
        <w:rPr>
          <w:sz w:val="20"/>
          <w:szCs w:val="20"/>
          <w:color w:val="auto"/>
        </w:rPr>
      </w:pPr>
    </w:p>
    <w:p>
      <w:pPr>
        <w:jc w:val="both"/>
        <w:ind w:left="240" w:right="40"/>
        <w:spacing w:after="0" w:line="254"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or substantively enacted at year-end. For the three months ended March 31, 2020, Federal and State income tax expense totaled $13,149,000 compared to expense of $1,236,000 for the three months ended March 31, 2019.</w:t>
      </w:r>
    </w:p>
    <w:p>
      <w:pPr>
        <w:spacing w:after="0" w:line="188" w:lineRule="exact"/>
        <w:rPr>
          <w:sz w:val="20"/>
          <w:szCs w:val="20"/>
          <w:color w:val="auto"/>
        </w:rPr>
      </w:pPr>
    </w:p>
    <w:p>
      <w:pPr>
        <w:ind w:left="240" w:right="20"/>
        <w:spacing w:after="0" w:line="276" w:lineRule="auto"/>
        <w:rPr>
          <w:sz w:val="20"/>
          <w:szCs w:val="20"/>
          <w:color w:val="auto"/>
        </w:rPr>
      </w:pPr>
      <w:r>
        <w:rPr>
          <w:rFonts w:ascii="Arial" w:cs="Arial" w:eastAsia="Arial" w:hAnsi="Arial"/>
          <w:sz w:val="17"/>
          <w:szCs w:val="17"/>
          <w:color w:val="auto"/>
        </w:rPr>
        <w:t>The effective tax rate for the three months ended March 31, 2020 varies widely from the three months ended March 31, 2019 primarily due to the change in pre-tax loss in 2019 to pre-tax income in 2020. The large amount of nondeductible expenses incurred by the Company being subjected to IRC Section 280E, was the driver for income tax expense being incurred in a pre-tax loss quarter for 2019.</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(Loss) From Operations</w:t>
      </w:r>
    </w:p>
    <w:p>
      <w:pPr>
        <w:spacing w:after="0" w:line="110" w:lineRule="exact"/>
        <w:rPr>
          <w:sz w:val="20"/>
          <w:szCs w:val="20"/>
          <w:color w:val="auto"/>
        </w:rPr>
      </w:pPr>
    </w:p>
    <w:p>
      <w:pPr>
        <w:ind w:left="240" w:right="640"/>
        <w:spacing w:after="0" w:line="263" w:lineRule="auto"/>
        <w:rPr>
          <w:sz w:val="20"/>
          <w:szCs w:val="20"/>
          <w:color w:val="auto"/>
        </w:rPr>
      </w:pPr>
      <w:r>
        <w:rPr>
          <w:rFonts w:ascii="Arial" w:cs="Arial" w:eastAsia="Arial" w:hAnsi="Arial"/>
          <w:sz w:val="18"/>
          <w:szCs w:val="18"/>
          <w:color w:val="auto"/>
        </w:rPr>
        <w:t>Net operating income before other income, provision for income taxes and non-controlling interest for three months ended March 31, 2020 was $9,385,440 an increase of $17,853,495 compared to the three months ended March 31, 2019.</w:t>
      </w:r>
    </w:p>
    <w:p>
      <w:pPr>
        <w:spacing w:after="0" w:line="180" w:lineRule="exact"/>
        <w:rPr>
          <w:sz w:val="20"/>
          <w:szCs w:val="20"/>
          <w:color w:val="auto"/>
        </w:rPr>
      </w:pPr>
    </w:p>
    <w:p>
      <w:pPr>
        <w:ind w:left="240" w:right="60"/>
        <w:spacing w:after="0" w:line="276" w:lineRule="auto"/>
        <w:rPr>
          <w:sz w:val="20"/>
          <w:szCs w:val="20"/>
          <w:color w:val="auto"/>
        </w:rPr>
      </w:pPr>
      <w:r>
        <w:rPr>
          <w:rFonts w:ascii="Arial" w:cs="Arial" w:eastAsia="Arial" w:hAnsi="Arial"/>
          <w:sz w:val="17"/>
          <w:szCs w:val="17"/>
          <w:color w:val="auto"/>
        </w:rPr>
        <w:t>As presented under the heading “Non-GAAP Measures” below, after adjusting for non-cash equity incentive compensation, as well as other nonoperating items, earnings before interest, taxes, depreciation, and amortization, other income, and one-time transaction related expenses, (“Adjusted Operating EBITDA”) was $25,544,924 and ($2,116,045) for the three months ended March 31, 2020 and 2019, respectively.</w:t>
      </w:r>
    </w:p>
    <w:p>
      <w:pPr>
        <w:spacing w:after="0" w:line="171" w:lineRule="exact"/>
        <w:rPr>
          <w:sz w:val="20"/>
          <w:szCs w:val="20"/>
          <w:color w:val="auto"/>
        </w:rPr>
      </w:pPr>
    </w:p>
    <w:p>
      <w:pPr>
        <w:ind w:left="240" w:right="620"/>
        <w:spacing w:after="0" w:line="263" w:lineRule="auto"/>
        <w:rPr>
          <w:sz w:val="20"/>
          <w:szCs w:val="20"/>
          <w:color w:val="auto"/>
        </w:rPr>
      </w:pPr>
      <w:r>
        <w:rPr>
          <w:rFonts w:ascii="Arial" w:cs="Arial" w:eastAsia="Arial" w:hAnsi="Arial"/>
          <w:sz w:val="18"/>
          <w:szCs w:val="18"/>
          <w:color w:val="auto"/>
        </w:rPr>
        <w:t>The increase in pretax income and Adjusted Operating EBITDA was attributed to contributions from new and acquired locations along with the Company’s focus on sustainable growth while deploying measures to control variable expenses.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2019</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w:t>
      </w:r>
    </w:p>
    <w:p>
      <w:pPr>
        <w:spacing w:after="0" w:line="110" w:lineRule="exact"/>
        <w:rPr>
          <w:sz w:val="20"/>
          <w:szCs w:val="20"/>
          <w:color w:val="auto"/>
        </w:rPr>
      </w:pPr>
    </w:p>
    <w:p>
      <w:pPr>
        <w:ind w:left="240"/>
        <w:spacing w:after="0" w:line="267" w:lineRule="auto"/>
        <w:rPr>
          <w:sz w:val="20"/>
          <w:szCs w:val="20"/>
          <w:color w:val="auto"/>
        </w:rPr>
      </w:pPr>
      <w:r>
        <w:rPr>
          <w:rFonts w:ascii="Arial" w:cs="Arial" w:eastAsia="Arial" w:hAnsi="Arial"/>
          <w:sz w:val="17"/>
          <w:szCs w:val="17"/>
          <w:color w:val="auto"/>
        </w:rPr>
        <w:t>Revenue for the three months ended March 31, 2019 was $27,913,163, up 155% from $10,925,898 for the three months ended March 31, 2018 driven by contribution from both Consumer Packaged Goods and Retail sales across Illinois, Nevada, Maryland, Pennsylvania, Massachusetts and Connecticut. Key performance drivers are: distribution expansion of Green Thumb’s branded product portfolio to third-party retailers in Illinois, Maryland, Pennsylvania, and Massachusetts; addition of Advanced Grow Labs in Connecticut; and increased store traffic to Green Thumb’s 15 open and operating brick and mortar retail stores, particularly in Illinois, Pennsylvania and Florida.</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Goods Sold</w:t>
      </w:r>
    </w:p>
    <w:p>
      <w:pPr>
        <w:spacing w:after="0" w:line="110" w:lineRule="exact"/>
        <w:rPr>
          <w:sz w:val="20"/>
          <w:szCs w:val="20"/>
          <w:color w:val="auto"/>
        </w:rPr>
      </w:pPr>
    </w:p>
    <w:p>
      <w:pPr>
        <w:ind w:left="240" w:right="140"/>
        <w:spacing w:after="0" w:line="317" w:lineRule="auto"/>
        <w:rPr>
          <w:sz w:val="20"/>
          <w:szCs w:val="20"/>
          <w:color w:val="auto"/>
        </w:rPr>
      </w:pPr>
      <w:r>
        <w:rPr>
          <w:rFonts w:ascii="Arial" w:cs="Arial" w:eastAsia="Arial" w:hAnsi="Arial"/>
          <w:sz w:val="15"/>
          <w:szCs w:val="15"/>
          <w:color w:val="auto"/>
        </w:rPr>
        <w:t>Cost of goods sold are derived from cost related to the internal cultivation and production of cannabis and from retail purchases made from other licensed producers operating within our state markets. Cost of goods sold for the three months ended March 31, 2019 was $15,123,942, up 186% from $5,292,958 for the three months ended March 31, 2018, driven by expansion of the consumer products sales in Maryland, Pennsylvania and Massachusetts, the addition of Retail stores in Pennsylvania along with the addition of Advanced Grow Labs in Connecticut.</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Profit</w:t>
      </w:r>
    </w:p>
    <w:p>
      <w:pPr>
        <w:spacing w:after="0" w:line="110" w:lineRule="exact"/>
        <w:rPr>
          <w:sz w:val="20"/>
          <w:szCs w:val="20"/>
          <w:color w:val="auto"/>
        </w:rPr>
      </w:pPr>
    </w:p>
    <w:p>
      <w:pPr>
        <w:ind w:left="240" w:right="80"/>
        <w:spacing w:after="0" w:line="254" w:lineRule="auto"/>
        <w:rPr>
          <w:sz w:val="20"/>
          <w:szCs w:val="20"/>
          <w:color w:val="auto"/>
        </w:rPr>
      </w:pPr>
      <w:r>
        <w:rPr>
          <w:rFonts w:ascii="Arial" w:cs="Arial" w:eastAsia="Arial" w:hAnsi="Arial"/>
          <w:sz w:val="18"/>
          <w:szCs w:val="18"/>
          <w:color w:val="auto"/>
        </w:rPr>
        <w:t>Gross profit for the three months ended March 31, 2019 was $12,789,221, representing a gross margin on the sale of branded cannabis flower and processed and packaged products including concentrates, edibles, topicals and other cannabis products, of 46%. This is compared to gross profit for the three months ended March 31, 2018 of $5,632,940 or a 52% gross margin.</w:t>
      </w:r>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Expenses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expenses for the three months ended March 31, 2019 were $26,418,881 or 95% of total revenues, net of discounts, an increase of $20,163,243.</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expenses for the three months ended March 31, 2018 were $6,255,638 or 57% of total revenues, net of discounts.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320" w:top="452" w:right="5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40" w:right="40"/>
        <w:spacing w:after="0" w:line="251" w:lineRule="auto"/>
        <w:rPr>
          <w:sz w:val="20"/>
          <w:szCs w:val="20"/>
          <w:color w:val="auto"/>
        </w:rPr>
      </w:pPr>
      <w:r>
        <w:rPr>
          <w:rFonts w:ascii="Arial" w:cs="Arial" w:eastAsia="Arial" w:hAnsi="Arial"/>
          <w:sz w:val="18"/>
          <w:szCs w:val="18"/>
          <w:color w:val="auto"/>
        </w:rPr>
        <w:t>Increase in total expenses was attributable to an increase in general and administrative expenses, mainly due to non-cash charges related to equity incentive compensation of $5,844,800, with no comparable expense for the three months ended March 31, 2018. Salaries and benefits also contributed to the increase as a result of new headcount from the Company’s Retail facilities in Illinois, Nevada, Maryland, Pennsylvania Massachusetts and Florida along with corporate staff development.</w:t>
      </w:r>
    </w:p>
    <w:p>
      <w:pPr>
        <w:spacing w:after="0" w:line="190" w:lineRule="exact"/>
        <w:rPr>
          <w:sz w:val="20"/>
          <w:szCs w:val="20"/>
          <w:color w:val="auto"/>
        </w:rPr>
      </w:pPr>
    </w:p>
    <w:p>
      <w:pPr>
        <w:ind w:left="240" w:right="460"/>
        <w:spacing w:after="0" w:line="263" w:lineRule="auto"/>
        <w:rPr>
          <w:sz w:val="20"/>
          <w:szCs w:val="20"/>
          <w:color w:val="auto"/>
        </w:rPr>
      </w:pPr>
      <w:r>
        <w:rPr>
          <w:rFonts w:ascii="Arial" w:cs="Arial" w:eastAsia="Arial" w:hAnsi="Arial"/>
          <w:sz w:val="18"/>
          <w:szCs w:val="18"/>
          <w:color w:val="auto"/>
        </w:rPr>
        <w:t>Additionally, the Company had professional fees of $3,587,558 which represented an increase of $2,566,699 over the 2018 amount of $1,020,859, primarily attributable to acquisition related support, and other regulatory and growth-related activities.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Other Income (Expense)</w:t>
      </w:r>
    </w:p>
    <w:p>
      <w:pPr>
        <w:spacing w:after="0" w:line="110" w:lineRule="exact"/>
        <w:rPr>
          <w:sz w:val="20"/>
          <w:szCs w:val="20"/>
          <w:color w:val="auto"/>
        </w:rPr>
      </w:pPr>
    </w:p>
    <w:p>
      <w:pPr>
        <w:ind w:left="240" w:right="320"/>
        <w:spacing w:after="0" w:line="254" w:lineRule="auto"/>
        <w:rPr>
          <w:sz w:val="20"/>
          <w:szCs w:val="20"/>
          <w:color w:val="auto"/>
        </w:rPr>
      </w:pPr>
      <w:r>
        <w:rPr>
          <w:rFonts w:ascii="Arial" w:cs="Arial" w:eastAsia="Arial" w:hAnsi="Arial"/>
          <w:sz w:val="18"/>
          <w:szCs w:val="18"/>
          <w:color w:val="auto"/>
        </w:rPr>
        <w:t>Total other income (expense) for three months ended March 31, 2019 was $5,161,605, an increase of $4,699,366 compared to 2018, mainly due to a favorable adjustment to the fair values of the Company’s investments recorded in 2018, as further described in the Liquidity, Financing Activities During the Period, and Capital Resources section of this MD&amp;A.</w:t>
      </w:r>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110" w:lineRule="exact"/>
        <w:rPr>
          <w:sz w:val="20"/>
          <w:szCs w:val="20"/>
          <w:color w:val="auto"/>
        </w:rPr>
      </w:pPr>
    </w:p>
    <w:p>
      <w:pPr>
        <w:jc w:val="both"/>
        <w:ind w:left="240" w:right="40"/>
        <w:spacing w:after="0" w:line="254"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or substantively enacted at year-end. For the three months ended March 31, 2019, Federal and State income tax expense totaled $1,236,000 compared to expense of $235,000 for the three months ended March 31, 2018.</w:t>
      </w:r>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(Loss) From Operations</w:t>
      </w:r>
    </w:p>
    <w:p>
      <w:pPr>
        <w:spacing w:after="0" w:line="110" w:lineRule="exact"/>
        <w:rPr>
          <w:sz w:val="20"/>
          <w:szCs w:val="20"/>
          <w:color w:val="auto"/>
        </w:rPr>
      </w:pPr>
    </w:p>
    <w:p>
      <w:pPr>
        <w:ind w:left="240" w:right="640"/>
        <w:spacing w:after="0" w:line="263" w:lineRule="auto"/>
        <w:rPr>
          <w:sz w:val="20"/>
          <w:szCs w:val="20"/>
          <w:color w:val="auto"/>
        </w:rPr>
      </w:pPr>
      <w:r>
        <w:rPr>
          <w:rFonts w:ascii="Arial" w:cs="Arial" w:eastAsia="Arial" w:hAnsi="Arial"/>
          <w:sz w:val="18"/>
          <w:szCs w:val="18"/>
          <w:color w:val="auto"/>
        </w:rPr>
        <w:t>Net operating loss before other income, provision for income taxes and non-controlling interest for the three months ended March 31, 2019 was $(8,468,055) a decrease of $8,307,596 compared to the three months ended March 31, 2018.</w:t>
      </w:r>
    </w:p>
    <w:p>
      <w:pPr>
        <w:spacing w:after="0" w:line="180" w:lineRule="exact"/>
        <w:rPr>
          <w:sz w:val="20"/>
          <w:szCs w:val="20"/>
          <w:color w:val="auto"/>
        </w:rPr>
      </w:pPr>
    </w:p>
    <w:p>
      <w:pPr>
        <w:ind w:left="240" w:right="920"/>
        <w:spacing w:after="0" w:line="292" w:lineRule="auto"/>
        <w:rPr>
          <w:sz w:val="20"/>
          <w:szCs w:val="20"/>
          <w:color w:val="auto"/>
        </w:rPr>
      </w:pPr>
      <w:r>
        <w:rPr>
          <w:rFonts w:ascii="Arial" w:cs="Arial" w:eastAsia="Arial" w:hAnsi="Arial"/>
          <w:sz w:val="17"/>
          <w:szCs w:val="17"/>
          <w:color w:val="auto"/>
        </w:rPr>
        <w:t>As presented under the heading “Non-GAAP Measures” below, after adjusting for non-cash equity incentive compensation, as well as other nonoperating items, adjusted operating EBITDA was ($2,116,045) for the three months ended March 31, 2019.</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 by Segment</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revenues net of sales discounts by segment for the three months ended March 31, 2020 and 2019:</w:t>
      </w:r>
    </w:p>
    <w:p>
      <w:pPr>
        <w:spacing w:after="0" w:line="243" w:lineRule="exact"/>
        <w:rPr>
          <w:sz w:val="20"/>
          <w:szCs w:val="20"/>
          <w:color w:val="auto"/>
        </w:rPr>
      </w:pPr>
    </w:p>
    <w:tbl>
      <w:tblPr>
        <w:tblLayout w:type="fixed"/>
        <w:tblInd w:w="680" w:type="dxa"/>
        <w:tblCellMar>
          <w:top w:w="0" w:type="dxa"/>
          <w:left w:w="0" w:type="dxa"/>
          <w:bottom w:w="0" w:type="dxa"/>
          <w:right w:w="0" w:type="dxa"/>
        </w:tblCellMar>
      </w:tblPr>
      <w:tr>
        <w:trPr>
          <w:trHeight w:val="168"/>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160" w:type="dxa"/>
            <w:vAlign w:val="bottom"/>
          </w:tcPr>
          <w:p>
            <w:pPr>
              <w:spacing w:after="0"/>
              <w:rPr>
                <w:sz w:val="14"/>
                <w:szCs w:val="14"/>
                <w:color w:val="auto"/>
              </w:rPr>
            </w:pPr>
          </w:p>
        </w:tc>
        <w:tc>
          <w:tcPr>
            <w:tcW w:w="960" w:type="dxa"/>
            <w:vAlign w:val="bottom"/>
            <w:vMerge w:val="restart"/>
          </w:tcPr>
          <w:p>
            <w:pPr>
              <w:jc w:val="right"/>
              <w:ind w:right="138"/>
              <w:spacing w:after="0"/>
              <w:rPr>
                <w:sz w:val="20"/>
                <w:szCs w:val="20"/>
                <w:color w:val="auto"/>
              </w:rPr>
            </w:pPr>
            <w:r>
              <w:rPr>
                <w:rFonts w:ascii="Arial" w:cs="Arial" w:eastAsia="Arial" w:hAnsi="Arial"/>
                <w:sz w:val="14"/>
                <w:szCs w:val="14"/>
                <w:color w:val="auto"/>
              </w:rPr>
              <w:t>$ Change</w:t>
            </w:r>
          </w:p>
        </w:tc>
        <w:tc>
          <w:tcPr>
            <w:tcW w:w="20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w w:val="85"/>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8"/>
              <w:spacing w:after="0" w:line="139"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8"/>
              <w:spacing w:after="0" w:line="13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Consumer Packaged Goods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7"/>
              </w:rPr>
              <w:t>46,322,028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$13,494,740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87"/>
              </w:rPr>
              <w:t>$ 32,827,288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00"/>
              <w:spacing w:after="0" w:line="205" w:lineRule="exact"/>
              <w:rPr>
                <w:sz w:val="20"/>
                <w:szCs w:val="20"/>
                <w:color w:val="auto"/>
              </w:rPr>
            </w:pPr>
            <w:r>
              <w:rPr>
                <w:rFonts w:ascii="Arial" w:cs="Arial" w:eastAsia="Arial" w:hAnsi="Arial"/>
                <w:sz w:val="18"/>
                <w:szCs w:val="18"/>
                <w:color w:val="auto"/>
                <w:w w:val="98"/>
              </w:rPr>
              <w:t>243.3%</w:t>
            </w:r>
          </w:p>
        </w:tc>
        <w:tc>
          <w:tcPr>
            <w:tcW w:w="0" w:type="dxa"/>
            <w:vAlign w:val="bottom"/>
          </w:tcPr>
          <w:p>
            <w:pPr>
              <w:spacing w:after="0"/>
              <w:rPr>
                <w:sz w:val="1"/>
                <w:szCs w:val="1"/>
                <w:color w:val="auto"/>
              </w:rPr>
            </w:pPr>
          </w:p>
        </w:tc>
      </w:tr>
      <w:tr>
        <w:trPr>
          <w:trHeight w:val="211"/>
        </w:trPr>
        <w:tc>
          <w:tcPr>
            <w:tcW w:w="5160" w:type="dxa"/>
            <w:vAlign w:val="bottom"/>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75,961,450</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16,117,365</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59,844,085</w:t>
            </w:r>
          </w:p>
        </w:tc>
        <w:tc>
          <w:tcPr>
            <w:tcW w:w="200" w:type="dxa"/>
            <w:vAlign w:val="bottom"/>
          </w:tcPr>
          <w:p>
            <w:pPr>
              <w:spacing w:after="0"/>
              <w:rPr>
                <w:sz w:val="18"/>
                <w:szCs w:val="18"/>
                <w:color w:val="auto"/>
              </w:rPr>
            </w:pPr>
          </w:p>
        </w:tc>
        <w:tc>
          <w:tcPr>
            <w:tcW w:w="980" w:type="dxa"/>
            <w:vAlign w:val="bottom"/>
            <w:gridSpan w:val="3"/>
          </w:tcPr>
          <w:p>
            <w:pPr>
              <w:ind w:left="360"/>
              <w:spacing w:after="0"/>
              <w:rPr>
                <w:sz w:val="20"/>
                <w:szCs w:val="20"/>
                <w:color w:val="auto"/>
              </w:rPr>
            </w:pPr>
            <w:r>
              <w:rPr>
                <w:rFonts w:ascii="Arial" w:cs="Arial" w:eastAsia="Arial" w:hAnsi="Arial"/>
                <w:sz w:val="18"/>
                <w:szCs w:val="18"/>
                <w:color w:val="auto"/>
                <w:w w:val="98"/>
              </w:rPr>
              <w:t>371.3%</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(19,680,876)</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(1,698,942)</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(17,981,934)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 Net of Discounts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102,602,602</w:t>
            </w:r>
          </w:p>
        </w:tc>
        <w:tc>
          <w:tcPr>
            <w:tcW w:w="2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27,913,163</w:t>
            </w:r>
          </w:p>
        </w:tc>
        <w:tc>
          <w:tcPr>
            <w:tcW w:w="2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87"/>
              </w:rPr>
              <w:t>$ 74,689,439</w:t>
            </w:r>
          </w:p>
        </w:tc>
        <w:tc>
          <w:tcPr>
            <w:tcW w:w="2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b w:val="1"/>
                <w:bCs w:val="1"/>
                <w:color w:val="auto"/>
                <w:w w:val="98"/>
              </w:rPr>
              <w:t>267.6%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n.m.</w:t>
        <w:tab/>
        <w:t>- not meaningful.</w:t>
      </w:r>
    </w:p>
    <w:p>
      <w:pPr>
        <w:spacing w:after="0" w:line="3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2020</w:t>
      </w:r>
    </w:p>
    <w:p>
      <w:pPr>
        <w:spacing w:after="0" w:line="110" w:lineRule="exact"/>
        <w:rPr>
          <w:sz w:val="20"/>
          <w:szCs w:val="20"/>
          <w:color w:val="auto"/>
        </w:rPr>
      </w:pPr>
    </w:p>
    <w:p>
      <w:pPr>
        <w:ind w:left="240"/>
        <w:spacing w:after="0" w:line="267" w:lineRule="auto"/>
        <w:rPr>
          <w:sz w:val="20"/>
          <w:szCs w:val="20"/>
          <w:color w:val="auto"/>
        </w:rPr>
      </w:pPr>
      <w:r>
        <w:rPr>
          <w:rFonts w:ascii="Arial" w:cs="Arial" w:eastAsia="Arial" w:hAnsi="Arial"/>
          <w:sz w:val="17"/>
          <w:szCs w:val="17"/>
          <w:color w:val="auto"/>
        </w:rPr>
        <w:t>Revenues, net of discounts for the Consumer Packaged Goods Segment were $46,322,028, an increase of $32,827,288 or 243%, compared to the three months ended March 31, 2019. The increase in Consumer Packaged Goods revenues, net of discounts, was primarily driven by the legalization of adult-use of cannabis in Illinois on January 1, 2020, increased sales volume in established markets such as Massachusetts, Maryland and Pennsylvania, a full quarter of operations for Advanced Grow Labs, LLC’s cultivation and processing facility in Connecticut and the acquisition of Integral Associates, LLC’s Desert Grown Farms cultivation and processing facility in Nevada in June 2019.</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320" w:top="452" w:right="5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40"/>
        <w:spacing w:after="0" w:line="263"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CPG level while reviewing its operating results on a consolidated basis.</w:t>
      </w:r>
    </w:p>
    <w:p>
      <w:pPr>
        <w:spacing w:after="0" w:line="180" w:lineRule="exact"/>
        <w:rPr>
          <w:sz w:val="20"/>
          <w:szCs w:val="20"/>
          <w:color w:val="auto"/>
        </w:rPr>
      </w:pPr>
    </w:p>
    <w:p>
      <w:pPr>
        <w:ind w:left="240" w:right="320"/>
        <w:spacing w:after="0" w:line="251" w:lineRule="auto"/>
        <w:rPr>
          <w:sz w:val="20"/>
          <w:szCs w:val="20"/>
          <w:color w:val="auto"/>
        </w:rPr>
      </w:pPr>
      <w:r>
        <w:rPr>
          <w:rFonts w:ascii="Arial" w:cs="Arial" w:eastAsia="Arial" w:hAnsi="Arial"/>
          <w:sz w:val="18"/>
          <w:szCs w:val="18"/>
          <w:color w:val="auto"/>
        </w:rPr>
        <w:t>Revenues, net of discounts for the Retail Segment were $75,961,450, an increase of $59,844,085 or 371%, compared to the three months ended March 31, 2019. The increase in Retail revenues, net of discounts, was primarily driven by legalization of adult-use in Illinois on January 1, 2020 as well as new store openings, the acquisition of Integral Associates, LLC’s Essence branded dispensaries in June 2019 and increased sales volume in existing stores.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Drivers of Results of Operations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w:t>
      </w:r>
    </w:p>
    <w:p>
      <w:pPr>
        <w:spacing w:after="0" w:line="110" w:lineRule="exact"/>
        <w:rPr>
          <w:sz w:val="20"/>
          <w:szCs w:val="20"/>
          <w:color w:val="auto"/>
        </w:rPr>
      </w:pPr>
    </w:p>
    <w:p>
      <w:pPr>
        <w:ind w:left="240" w:right="20"/>
        <w:spacing w:after="0" w:line="249" w:lineRule="auto"/>
        <w:rPr>
          <w:sz w:val="20"/>
          <w:szCs w:val="20"/>
          <w:color w:val="auto"/>
        </w:rPr>
      </w:pPr>
      <w:r>
        <w:rPr>
          <w:rFonts w:ascii="Arial" w:cs="Arial" w:eastAsia="Arial" w:hAnsi="Arial"/>
          <w:sz w:val="18"/>
          <w:szCs w:val="18"/>
          <w:color w:val="auto"/>
        </w:rPr>
        <w:t>The Company derives its revenue from two revenue streams: a Consumer Packaged Goods business in which it manufactures, sells and distributes its portfolio of finished consumer packaged goods, including brands Rythm, Dogwalkers, The Feel Collection and Beboe, among others, primarily to third-party retail customers; and a Retail business in which it sells finished goods sourced primarily from third-party cannabis manufacturers in addition to the Company’s own Consumer Packaged Goods products direct to the end consumer in its brick and mortar retail stores, as well as direct-to-consumer delivery where applicable by state law.</w:t>
      </w:r>
    </w:p>
    <w:p>
      <w:pPr>
        <w:spacing w:after="0" w:line="194" w:lineRule="exact"/>
        <w:rPr>
          <w:sz w:val="20"/>
          <w:szCs w:val="20"/>
          <w:color w:val="auto"/>
        </w:rPr>
      </w:pPr>
    </w:p>
    <w:p>
      <w:pPr>
        <w:ind w:left="240" w:right="320"/>
        <w:spacing w:after="0" w:line="292" w:lineRule="auto"/>
        <w:rPr>
          <w:sz w:val="20"/>
          <w:szCs w:val="20"/>
          <w:color w:val="auto"/>
        </w:rPr>
      </w:pPr>
      <w:r>
        <w:rPr>
          <w:rFonts w:ascii="Arial" w:cs="Arial" w:eastAsia="Arial" w:hAnsi="Arial"/>
          <w:sz w:val="17"/>
          <w:szCs w:val="17"/>
          <w:color w:val="auto"/>
        </w:rPr>
        <w:t>For the three months ended March 31, 2020, revenue was contributed from Consumer Packaged Goods and Retail sales across California, Colorado, Connecticut, Florida, Illinois, Maryland, Massachusetts, Nevada, New Jersey, New York, Ohio and Pennsylvania.</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Profit</w:t>
      </w:r>
    </w:p>
    <w:p>
      <w:pPr>
        <w:spacing w:after="0" w:line="110" w:lineRule="exact"/>
        <w:rPr>
          <w:sz w:val="20"/>
          <w:szCs w:val="20"/>
          <w:color w:val="auto"/>
        </w:rPr>
      </w:pPr>
    </w:p>
    <w:p>
      <w:pPr>
        <w:ind w:left="240"/>
        <w:spacing w:after="0" w:line="249" w:lineRule="auto"/>
        <w:rPr>
          <w:sz w:val="20"/>
          <w:szCs w:val="20"/>
          <w:color w:val="auto"/>
        </w:rPr>
      </w:pPr>
      <w:r>
        <w:rPr>
          <w:rFonts w:ascii="Arial" w:cs="Arial" w:eastAsia="Arial" w:hAnsi="Arial"/>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94" w:lineRule="exact"/>
        <w:rPr>
          <w:sz w:val="20"/>
          <w:szCs w:val="20"/>
          <w:color w:val="auto"/>
        </w:rPr>
      </w:pPr>
    </w:p>
    <w:p>
      <w:pPr>
        <w:ind w:left="240" w:right="80"/>
        <w:spacing w:after="0" w:line="254" w:lineRule="auto"/>
        <w:rPr>
          <w:sz w:val="20"/>
          <w:szCs w:val="20"/>
          <w:color w:val="auto"/>
        </w:rPr>
      </w:pPr>
      <w:r>
        <w:rPr>
          <w:rFonts w:ascii="Arial" w:cs="Arial" w:eastAsia="Arial" w:hAnsi="Arial"/>
          <w:sz w:val="18"/>
          <w:szCs w:val="18"/>
          <w:color w:val="auto"/>
        </w:rPr>
        <w:t>Over the three months ended March 31, 2020, the Company continued to be focused on executing sustainable, profitable growth of the Company’s base business while pursuing expansion. Green Thumb expects to continue its growth strategy for the foreseeable future as the Company expands its Consumer Packaged Goods and Retail footprint within its current markets.</w:t>
      </w:r>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Expenses</w:t>
      </w:r>
    </w:p>
    <w:p>
      <w:pPr>
        <w:spacing w:after="0" w:line="110" w:lineRule="exact"/>
        <w:rPr>
          <w:sz w:val="20"/>
          <w:szCs w:val="20"/>
          <w:color w:val="auto"/>
        </w:rPr>
      </w:pPr>
    </w:p>
    <w:p>
      <w:pPr>
        <w:ind w:left="240" w:right="140"/>
        <w:spacing w:after="0" w:line="292" w:lineRule="auto"/>
        <w:rPr>
          <w:sz w:val="20"/>
          <w:szCs w:val="20"/>
          <w:color w:val="auto"/>
        </w:rPr>
      </w:pPr>
      <w:r>
        <w:rPr>
          <w:rFonts w:ascii="Arial" w:cs="Arial" w:eastAsia="Arial" w:hAnsi="Arial"/>
          <w:sz w:val="17"/>
          <w:szCs w:val="17"/>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58" w:lineRule="exact"/>
        <w:rPr>
          <w:sz w:val="20"/>
          <w:szCs w:val="20"/>
          <w:color w:val="auto"/>
        </w:rPr>
      </w:pPr>
    </w:p>
    <w:p>
      <w:pPr>
        <w:jc w:val="both"/>
        <w:ind w:left="240" w:right="60"/>
        <w:spacing w:after="0" w:line="251" w:lineRule="auto"/>
        <w:rPr>
          <w:sz w:val="20"/>
          <w:szCs w:val="20"/>
          <w:color w:val="auto"/>
        </w:rPr>
      </w:pPr>
      <w:r>
        <w:rPr>
          <w:rFonts w:ascii="Arial" w:cs="Arial" w:eastAsia="Arial" w:hAnsi="Arial"/>
          <w:sz w:val="18"/>
          <w:szCs w:val="18"/>
          <w:color w:val="auto"/>
        </w:rPr>
        <w:t>Selling costs generally correlate to revenue. As a percentage of sales, the Company expects selling costs to remain relatively flat in the more established operational markets (Connecticut, Illinois, Nevada, Maryland, Massachusetts and Pennsylvania) and increase in the up and coming markets as business continues to grow (Florida, New Jersey, New York and Ohio). The increase is expected to be driven primarily by the growth of our Retail channels and the ramp up from pre-revenue to sustainable market share.</w:t>
      </w:r>
    </w:p>
    <w:p>
      <w:pPr>
        <w:spacing w:after="0" w:line="190" w:lineRule="exact"/>
        <w:rPr>
          <w:sz w:val="20"/>
          <w:szCs w:val="20"/>
          <w:color w:val="auto"/>
        </w:rPr>
      </w:pPr>
    </w:p>
    <w:p>
      <w:pPr>
        <w:ind w:left="240" w:right="660"/>
        <w:spacing w:after="0" w:line="263" w:lineRule="auto"/>
        <w:rPr>
          <w:sz w:val="20"/>
          <w:szCs w:val="20"/>
          <w:color w:val="auto"/>
        </w:rPr>
      </w:pPr>
      <w:r>
        <w:rPr>
          <w:rFonts w:ascii="Arial" w:cs="Arial" w:eastAsia="Arial" w:hAnsi="Arial"/>
          <w:sz w:val="18"/>
          <w:szCs w:val="18"/>
          <w:color w:val="auto"/>
        </w:rPr>
        <w:t>General and administrative expenses also include costs incurred at the corporate offices, primarily related to personnel costs, including salaries, incentive compensation, benefits, stock-based compensation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320" w:top="452" w:right="5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left="240" w:right="120"/>
        <w:spacing w:after="0" w:line="270" w:lineRule="auto"/>
        <w:rPr>
          <w:sz w:val="20"/>
          <w:szCs w:val="20"/>
          <w:color w:val="auto"/>
        </w:rPr>
      </w:pPr>
      <w:r>
        <w:rPr>
          <w:rFonts w:ascii="Arial" w:cs="Arial" w:eastAsia="Arial" w:hAnsi="Arial"/>
          <w:sz w:val="17"/>
          <w:szCs w:val="17"/>
          <w:color w:val="auto"/>
        </w:rPr>
        <w:t>and other professional service costs. The Company expects to continue to invest considerably in this area to support aggressive expansion plans and to support the business by attracting and retaining top-tier talent. Furthermore, the Company expects to continue to incur acquisition and transaction costs related to these expansion plans and anticipates an increase in stock compensation expenses related to recruiting and hiring talent, along with legal and professional fees associated with being a publicly traded company.</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110" w:lineRule="exact"/>
        <w:rPr>
          <w:sz w:val="20"/>
          <w:szCs w:val="20"/>
          <w:color w:val="auto"/>
        </w:rPr>
      </w:pPr>
    </w:p>
    <w:p>
      <w:pPr>
        <w:ind w:left="240"/>
        <w:spacing w:after="0" w:line="248" w:lineRule="auto"/>
        <w:rPr>
          <w:sz w:val="20"/>
          <w:szCs w:val="20"/>
          <w:color w:val="auto"/>
        </w:rPr>
      </w:pPr>
      <w:r>
        <w:rPr>
          <w:rFonts w:ascii="Arial" w:cs="Arial" w:eastAsia="Arial" w:hAnsi="Arial"/>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Non-GAAP Measures</w:t>
      </w:r>
    </w:p>
    <w:p>
      <w:pPr>
        <w:spacing w:after="0" w:line="116" w:lineRule="exact"/>
        <w:rPr>
          <w:sz w:val="20"/>
          <w:szCs w:val="20"/>
          <w:color w:val="auto"/>
        </w:rPr>
      </w:pPr>
    </w:p>
    <w:p>
      <w:pPr>
        <w:ind w:left="240" w:right="80"/>
        <w:spacing w:after="0" w:line="263" w:lineRule="auto"/>
        <w:rPr>
          <w:sz w:val="20"/>
          <w:szCs w:val="20"/>
          <w:color w:val="auto"/>
        </w:rPr>
      </w:pPr>
      <w:r>
        <w:rPr>
          <w:rFonts w:ascii="Arial" w:cs="Arial" w:eastAsia="Arial" w:hAnsi="Arial"/>
          <w:sz w:val="17"/>
          <w:szCs w:val="17"/>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01" w:lineRule="exact"/>
        <w:rPr>
          <w:sz w:val="20"/>
          <w:szCs w:val="20"/>
          <w:color w:val="auto"/>
        </w:rPr>
      </w:pPr>
    </w:p>
    <w:tbl>
      <w:tblPr>
        <w:tblLayout w:type="fixed"/>
        <w:tblInd w:w="15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39"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4"/>
              <w:spacing w:after="0" w:line="139"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right"/>
              <w:spacing w:after="0" w:line="139"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(3,764)</w:t>
            </w:r>
          </w:p>
        </w:tc>
        <w:tc>
          <w:tcPr>
            <w:tcW w:w="46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w w:val="97"/>
              </w:rPr>
              <w:t>Earnings before interest, taxes, depreciation and amortization (EBITDA)</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(non-GAAP measure)</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20,258</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(10,368)</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Stock-based compensation, non-cash</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5,074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5,845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116" w:lineRule="exact"/>
        <w:rPr>
          <w:sz w:val="20"/>
          <w:szCs w:val="20"/>
          <w:color w:val="auto"/>
        </w:rPr>
      </w:pPr>
    </w:p>
    <w:p>
      <w:pPr>
        <w:ind w:left="240" w:right="100"/>
        <w:spacing w:after="0" w:line="264" w:lineRule="auto"/>
        <w:rPr>
          <w:sz w:val="20"/>
          <w:szCs w:val="20"/>
          <w:color w:val="auto"/>
        </w:rPr>
      </w:pPr>
      <w:r>
        <w:rPr>
          <w:rFonts w:ascii="Arial" w:cs="Arial" w:eastAsia="Arial" w:hAnsi="Arial"/>
          <w:sz w:val="17"/>
          <w:szCs w:val="17"/>
          <w:color w:val="auto"/>
        </w:rPr>
        <w:t>As of March 31, 2020 and December 31, 2019 the Company had total current liabilities of $128,250,270 and $111,367,255, respectively, and cash and cash equivalents of $71,521,924 and $46,667,334, respectively to meet its current obligations. The Company had working capital of $12,565,876 as of March 31, 2020, an increase of $14,870,520 as compared to December 31, 2019. This increase in working capital was primarily driven by the $26,800,844 increase in revenue experienced in the first quarter of 2020 over the fourth quarter of 2019 and the corresponding working capital impact from this increase. The Company’s quarterly results were driven by organic growth across the Company’s Consumer Packaged Goods and Retail businesses, particularly in Illinois following the commencement of adult use sales on January 1, 2020, and in Pennsylvania along with the settlement of certain contingent consideration during the quarter.</w:t>
      </w:r>
    </w:p>
    <w:p>
      <w:pPr>
        <w:spacing w:after="0" w:line="185" w:lineRule="exact"/>
        <w:rPr>
          <w:sz w:val="20"/>
          <w:szCs w:val="20"/>
          <w:color w:val="auto"/>
        </w:rPr>
      </w:pPr>
    </w:p>
    <w:p>
      <w:pPr>
        <w:ind w:left="240" w:right="40"/>
        <w:spacing w:after="0" w:line="284" w:lineRule="auto"/>
        <w:rPr>
          <w:sz w:val="20"/>
          <w:szCs w:val="20"/>
          <w:color w:val="auto"/>
        </w:rPr>
      </w:pPr>
      <w:r>
        <w:rPr>
          <w:rFonts w:ascii="Arial" w:cs="Arial" w:eastAsia="Arial" w:hAnsi="Arial"/>
          <w:sz w:val="16"/>
          <w:szCs w:val="16"/>
          <w:color w:val="auto"/>
        </w:rPr>
        <w:t>In the first quarter 2020, Green Thumb generated revenue from all 12 of its markets: California, Colorado, Connecticut, Florida, Illinois, Maryland, Massachusetts, Nevada, New Jersey, New York, Ohio and Pennsylvania. The Company’s Consumer Packaged Goods gross revenue grew approximately 21% (net 13%) during the three months ended March 31, 2020 as compared to the quarter ended December 31, 2019. As of March 31, 2020, Green Thumb’s branded products were sold in over 700 retail stores, including the Company’s Rise</w:t>
      </w:r>
      <w:r>
        <w:rPr>
          <w:rFonts w:ascii="Arial" w:cs="Arial" w:eastAsia="Arial" w:hAnsi="Arial"/>
          <w:sz w:val="13"/>
          <w:szCs w:val="13"/>
          <w:color w:val="auto"/>
        </w:rPr>
        <w:t>™</w:t>
      </w:r>
      <w:r>
        <w:rPr>
          <w:rFonts w:ascii="Arial" w:cs="Arial" w:eastAsia="Arial" w:hAnsi="Arial"/>
          <w:sz w:val="16"/>
          <w:szCs w:val="16"/>
          <w:color w:val="auto"/>
        </w:rPr>
        <w:t xml:space="preserve"> and Essence retail stores. The Company’s Retail revenue increased 45% during the three months ended March 31, 2020 as compared to the quarter ended December 31, 2019, primarily driven by increased transaction activity across the Company’s 42 store Retail footprint, as well as the two new Retail stores it opened in Illinois and the one new Retail store it opened in Pennsylvania during the quarter.</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320" w:top="452" w:right="5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left="240" w:right="280"/>
        <w:spacing w:after="0" w:line="328" w:lineRule="auto"/>
        <w:rPr>
          <w:sz w:val="20"/>
          <w:szCs w:val="20"/>
          <w:color w:val="auto"/>
        </w:rPr>
      </w:pPr>
      <w:r>
        <w:rPr>
          <w:rFonts w:ascii="Arial" w:cs="Arial" w:eastAsia="Arial" w:hAnsi="Arial"/>
          <w:sz w:val="15"/>
          <w:szCs w:val="15"/>
          <w:color w:val="auto"/>
        </w:rPr>
        <w:t>The Company is an early-stage growth company, which is generating cash from revenues and is deploying its capital reserves to acquire and develop assets capable of producing additional revenues and earnings over both the immediate and near term. Capital reserves are primarily being utilized for capital expenditures, facility improvements, product development and marketing, as well as customer, supplier and investor and industry relations.</w:t>
      </w:r>
    </w:p>
    <w:p>
      <w:pPr>
        <w:spacing w:after="0" w:line="138" w:lineRule="exact"/>
        <w:rPr>
          <w:sz w:val="20"/>
          <w:szCs w:val="20"/>
          <w:color w:val="auto"/>
        </w:rPr>
      </w:pPr>
    </w:p>
    <w:p>
      <w:pPr>
        <w:ind w:left="240" w:right="100"/>
        <w:spacing w:after="0" w:line="311" w:lineRule="auto"/>
        <w:rPr>
          <w:sz w:val="20"/>
          <w:szCs w:val="20"/>
          <w:color w:val="auto"/>
        </w:rPr>
      </w:pPr>
      <w:r>
        <w:rPr>
          <w:rFonts w:ascii="Arial" w:cs="Arial" w:eastAsia="Arial" w:hAnsi="Arial"/>
          <w:sz w:val="15"/>
          <w:szCs w:val="15"/>
          <w:color w:val="auto"/>
        </w:rPr>
        <w:t>While our revenue, gross profit and operating income were not materially impacted by COVID-19 and we maintained the consistency of our operations during the first quarter of 2020, the uncertain nature of the spread of COVID-19 may impact our business operations for reasons including the potential quarantine of our employees or those of our supply chain partners. 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Used in Operating Activities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cash used in operating activities for the three months ended March 31, 2020 and 2019, were as follows:</w:t>
      </w: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168"/>
        </w:trPr>
        <w:tc>
          <w:tcPr>
            <w:tcW w:w="48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4"/>
                <w:szCs w:val="14"/>
                <w:color w:val="auto"/>
              </w:rPr>
            </w:pPr>
          </w:p>
        </w:tc>
        <w:tc>
          <w:tcPr>
            <w:tcW w:w="22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8"/>
        </w:trPr>
        <w:tc>
          <w:tcPr>
            <w:tcW w:w="4820" w:type="dxa"/>
            <w:vAlign w:val="bottom"/>
            <w:tcBorders>
              <w:bottom w:val="single" w:sz="8" w:color="CCEEFF"/>
            </w:tcBorders>
            <w:vMerge w:val="continue"/>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1"/>
              <w:spacing w:after="0" w:line="139"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21"/>
              <w:spacing w:after="0" w:line="13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27,048</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c>
          <w:tcPr>
            <w:tcW w:w="6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1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Net cash used in investing activities for the three months ended March 31, 2020 and 2019, were as follows:</w:t>
      </w: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168"/>
        </w:trPr>
        <w:tc>
          <w:tcPr>
            <w:tcW w:w="43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tcPr>
          <w:p>
            <w:pPr>
              <w:spacing w:after="0"/>
              <w:rPr>
                <w:sz w:val="14"/>
                <w:szCs w:val="14"/>
                <w:color w:val="auto"/>
              </w:rPr>
            </w:pPr>
          </w:p>
        </w:tc>
        <w:tc>
          <w:tcPr>
            <w:tcW w:w="22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8"/>
        </w:trPr>
        <w:tc>
          <w:tcPr>
            <w:tcW w:w="4300" w:type="dxa"/>
            <w:vAlign w:val="bottom"/>
            <w:tcBorders>
              <w:bottom w:val="single" w:sz="8" w:color="CCEEFF"/>
            </w:tcBorders>
            <w:vMerge w:val="continue"/>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4"/>
              <w:spacing w:after="0" w:line="139"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1"/>
              <w:spacing w:after="0" w:line="13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0"/>
              </w:rPr>
              <w:t>($   1,447)</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c>
          <w:tcPr>
            <w:tcW w:w="7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25,237)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1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Net cash provided by financing activities for the three months ended March 31, 2020 and 2019, were as follows:</w:t>
      </w: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168"/>
        </w:trPr>
        <w:tc>
          <w:tcPr>
            <w:tcW w:w="47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8"/>
        </w:trPr>
        <w:tc>
          <w:tcPr>
            <w:tcW w:w="4700" w:type="dxa"/>
            <w:vAlign w:val="bottom"/>
            <w:tcBorders>
              <w:bottom w:val="single" w:sz="8" w:color="CCEEFF"/>
            </w:tcBorders>
            <w:vMerge w:val="continue"/>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4"/>
              <w:spacing w:after="0" w:line="139"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1"/>
              <w:spacing w:after="0" w:line="139"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Cash (used in) provided by Financing Activities</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c>
          <w:tcPr>
            <w:tcW w:w="6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746)</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632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Cash Obligations and Other Commitments and Contingencies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quantifies the Company’s future contractual obligations as of March 31, 2020:</w:t>
      </w: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right"/>
              <w:ind w:right="25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1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r>
      <w:tr>
        <w:trPr>
          <w:trHeight w:val="204"/>
        </w:trPr>
        <w:tc>
          <w:tcPr>
            <w:tcW w:w="33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Notes Payable</w:t>
            </w:r>
            <w:r>
              <w:rPr>
                <w:rFonts w:ascii="Arial" w:cs="Arial" w:eastAsia="Arial" w:hAnsi="Arial"/>
                <w:sz w:val="14"/>
                <w:szCs w:val="14"/>
                <w:color w:val="auto"/>
              </w:rPr>
              <w:t>(a)</w:t>
            </w:r>
          </w:p>
        </w:tc>
        <w:tc>
          <w:tcPr>
            <w:tcW w:w="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$105,466,429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7"/>
              </w:rPr>
              <w:t>$105,466,429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3300" w:type="dxa"/>
            <w:vAlign w:val="bottom"/>
          </w:tcPr>
          <w:p>
            <w:pPr>
              <w:spacing w:after="0"/>
              <w:rPr>
                <w:sz w:val="20"/>
                <w:szCs w:val="20"/>
                <w:color w:val="auto"/>
              </w:rPr>
            </w:pPr>
            <w:r>
              <w:rPr>
                <w:rFonts w:ascii="Arial" w:cs="Arial" w:eastAsia="Arial" w:hAnsi="Arial"/>
                <w:sz w:val="18"/>
                <w:szCs w:val="18"/>
                <w:color w:val="auto"/>
              </w:rPr>
              <w:t>Charitable Contributions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911,723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182,926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186,928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191,018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194,144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156,707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1"/>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Due on Notes Payable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27,149,659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9,500,647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12,655,971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4,993,041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1"/>
        </w:trPr>
        <w:tc>
          <w:tcPr>
            <w:tcW w:w="3300" w:type="dxa"/>
            <w:vAlign w:val="bottom"/>
          </w:tcPr>
          <w:p>
            <w:pPr>
              <w:spacing w:after="0"/>
              <w:rPr>
                <w:sz w:val="20"/>
                <w:szCs w:val="20"/>
                <w:color w:val="auto"/>
              </w:rPr>
            </w:pPr>
            <w:r>
              <w:rPr>
                <w:rFonts w:ascii="Arial" w:cs="Arial" w:eastAsia="Arial" w:hAnsi="Arial"/>
                <w:sz w:val="18"/>
                <w:szCs w:val="18"/>
                <w:color w:val="auto"/>
              </w:rPr>
              <w:t>Operating Leases - Third Party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270,600,973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12,039,451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20,432,259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20,053,541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20,030,831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18,980,307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179,064,584</w:t>
            </w:r>
          </w:p>
        </w:tc>
        <w:tc>
          <w:tcPr>
            <w:tcW w:w="60" w:type="dxa"/>
            <w:vAlign w:val="bottom"/>
          </w:tcPr>
          <w:p>
            <w:pPr>
              <w:spacing w:after="0"/>
              <w:rPr>
                <w:sz w:val="18"/>
                <w:szCs w:val="18"/>
                <w:color w:val="auto"/>
              </w:rPr>
            </w:pPr>
          </w:p>
        </w:tc>
      </w:tr>
      <w:tr>
        <w:trPr>
          <w:trHeight w:val="211"/>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 Related Parties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18,332,456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1,048,267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1,424,851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1,458,247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1,492,437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1,384,035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11,524,619</w:t>
            </w:r>
          </w:p>
        </w:tc>
        <w:tc>
          <w:tcPr>
            <w:tcW w:w="60" w:type="dxa"/>
            <w:vAlign w:val="bottom"/>
            <w:shd w:val="clear" w:color="auto" w:fill="CCEEFF"/>
          </w:tcPr>
          <w:p>
            <w:pPr>
              <w:spacing w:after="0"/>
              <w:rPr>
                <w:sz w:val="18"/>
                <w:szCs w:val="18"/>
                <w:color w:val="auto"/>
              </w:rPr>
            </w:pPr>
          </w:p>
        </w:tc>
      </w:tr>
      <w:tr>
        <w:trPr>
          <w:trHeight w:val="211"/>
        </w:trPr>
        <w:tc>
          <w:tcPr>
            <w:tcW w:w="33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50,344,502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41,581,975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8,762,527</w:t>
            </w:r>
          </w:p>
        </w:tc>
        <w:tc>
          <w:tcPr>
            <w:tcW w:w="1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1"/>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Commitments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5,131,995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5,131,995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8"/>
        </w:trPr>
        <w:tc>
          <w:tcPr>
            <w:tcW w:w="3300" w:type="dxa"/>
            <w:vAlign w:val="bottom"/>
          </w:tcPr>
          <w:p>
            <w:pPr>
              <w:spacing w:after="0"/>
              <w:rPr>
                <w:sz w:val="20"/>
                <w:szCs w:val="20"/>
                <w:color w:val="auto"/>
              </w:rPr>
            </w:pPr>
            <w:r>
              <w:rPr>
                <w:rFonts w:ascii="Arial" w:cs="Arial" w:eastAsia="Arial" w:hAnsi="Arial"/>
                <w:sz w:val="18"/>
                <w:szCs w:val="18"/>
                <w:b w:val="1"/>
                <w:bCs w:val="1"/>
                <w:color w:val="auto"/>
              </w:rPr>
              <w:t>Total as of March 31, 2020</w:t>
            </w:r>
          </w:p>
        </w:tc>
        <w:tc>
          <w:tcPr>
            <w:tcW w:w="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477,937,737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69,485,261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43,462,538</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132,162,275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21,717,412</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20,521,049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190,589,203</w:t>
            </w:r>
          </w:p>
        </w:tc>
        <w:tc>
          <w:tcPr>
            <w:tcW w:w="6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2" w:lineRule="exact"/>
        <w:rPr>
          <w:sz w:val="20"/>
          <w:szCs w:val="20"/>
          <w:color w:val="auto"/>
        </w:rPr>
      </w:pPr>
    </w:p>
    <w:p>
      <w:pPr>
        <w:ind w:left="480" w:hanging="243"/>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The amount excludes $13,505,195 of unamortized debt discount as of March 31, 2020. See Note 6 - Notes Payable for details.</w:t>
      </w:r>
    </w:p>
    <w:p>
      <w:pPr>
        <w:spacing w:after="0" w:line="149" w:lineRule="exact"/>
        <w:rPr>
          <w:rFonts w:ascii="Arial" w:cs="Arial" w:eastAsia="Arial" w:hAnsi="Arial"/>
          <w:sz w:val="18"/>
          <w:szCs w:val="18"/>
          <w:color w:val="auto"/>
        </w:rPr>
      </w:pPr>
    </w:p>
    <w:p>
      <w:pPr>
        <w:ind w:left="5540" w:hanging="107"/>
        <w:spacing w:after="0"/>
        <w:tabs>
          <w:tab w:leader="none" w:pos="5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020"/>
          </w:cols>
          <w:pgMar w:left="320" w:top="452" w:right="5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Off-Balance Sheet Arrangements</w:t>
      </w:r>
    </w:p>
    <w:p>
      <w:pPr>
        <w:spacing w:after="0" w:line="116" w:lineRule="exact"/>
        <w:rPr>
          <w:sz w:val="20"/>
          <w:szCs w:val="20"/>
          <w:color w:val="auto"/>
        </w:rPr>
      </w:pPr>
    </w:p>
    <w:p>
      <w:pPr>
        <w:jc w:val="both"/>
        <w:ind w:left="240" w:right="220" w:firstLine="431"/>
        <w:spacing w:after="0" w:line="254" w:lineRule="auto"/>
        <w:rPr>
          <w:sz w:val="20"/>
          <w:szCs w:val="20"/>
          <w:color w:val="auto"/>
        </w:rPr>
      </w:pPr>
      <w:r>
        <w:rPr>
          <w:rFonts w:ascii="Arial" w:cs="Arial" w:eastAsia="Arial" w:hAnsi="Arial"/>
          <w:sz w:val="18"/>
          <w:szCs w:val="18"/>
          <w:color w:val="auto"/>
        </w:rPr>
        <w:t>As of March 31, 2020,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16" w:lineRule="exact"/>
        <w:rPr>
          <w:sz w:val="20"/>
          <w:szCs w:val="20"/>
          <w:color w:val="auto"/>
        </w:rPr>
      </w:pPr>
    </w:p>
    <w:p>
      <w:pPr>
        <w:ind w:left="240" w:right="40" w:firstLine="431"/>
        <w:spacing w:after="0" w:line="263" w:lineRule="auto"/>
        <w:rPr>
          <w:sz w:val="20"/>
          <w:szCs w:val="20"/>
          <w:color w:val="auto"/>
        </w:rPr>
      </w:pPr>
      <w:r>
        <w:rPr>
          <w:rFonts w:ascii="Arial" w:cs="Arial" w:eastAsia="Arial" w:hAnsi="Arial"/>
          <w:sz w:val="18"/>
          <w:szCs w:val="18"/>
          <w:color w:val="auto"/>
        </w:rPr>
        <w:t>There were no material changes to our critical accounting policies and estimates from the information provided in “Management’s Discussion and Analysis of Financial Condition and Results of Operations,” included in our 2019 Form 10-K.</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Emerging Growth Company Status</w:t>
      </w:r>
    </w:p>
    <w:p>
      <w:pPr>
        <w:spacing w:after="0" w:line="116" w:lineRule="exact"/>
        <w:rPr>
          <w:sz w:val="20"/>
          <w:szCs w:val="20"/>
          <w:color w:val="auto"/>
        </w:rPr>
      </w:pPr>
    </w:p>
    <w:p>
      <w:pPr>
        <w:ind w:left="240" w:firstLine="431"/>
        <w:spacing w:after="0" w:line="249" w:lineRule="auto"/>
        <w:rPr>
          <w:sz w:val="20"/>
          <w:szCs w:val="20"/>
          <w:color w:val="auto"/>
        </w:rPr>
      </w:pPr>
      <w:r>
        <w:rPr>
          <w:rFonts w:ascii="Arial" w:cs="Arial" w:eastAsia="Arial" w:hAnsi="Arial"/>
          <w:sz w:val="18"/>
          <w:szCs w:val="18"/>
          <w:color w:val="auto"/>
        </w:rPr>
        <w:t>The Company is an “emerging growth company” as defined in the Section 2(a) of the Exchange Act, as modified by the Jumpstart Our Business Start-ups Act of 2012, or the JOBS Act provides that an emerging growth company can take advantage of the extended transition period provided in Section 13(a) of the Exchange Act for complying with new or revised accounting standards applicable to public companies. The Company has elected to take advantage of this extended transition period and as a result of this election, our financial statements may not be comparable to companies that comply with public company effective dates.</w:t>
      </w:r>
    </w:p>
    <w:p>
      <w:pPr>
        <w:spacing w:after="0" w:line="333"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QUANTITAVE AND QUALITATIVE DISCLOSURES ABOUT MARKET RISK</w:t>
      </w:r>
    </w:p>
    <w:p>
      <w:pPr>
        <w:spacing w:after="0" w:line="116" w:lineRule="exact"/>
        <w:rPr>
          <w:sz w:val="20"/>
          <w:szCs w:val="20"/>
          <w:color w:val="auto"/>
        </w:rPr>
      </w:pPr>
    </w:p>
    <w:p>
      <w:pPr>
        <w:ind w:left="240" w:right="460"/>
        <w:spacing w:after="0" w:line="263" w:lineRule="auto"/>
        <w:rPr>
          <w:sz w:val="20"/>
          <w:szCs w:val="20"/>
          <w:color w:val="auto"/>
        </w:rPr>
      </w:pPr>
      <w:r>
        <w:rPr>
          <w:rFonts w:ascii="Arial" w:cs="Arial" w:eastAsia="Arial" w:hAnsi="Arial"/>
          <w:sz w:val="18"/>
          <w:szCs w:val="18"/>
          <w:color w:val="auto"/>
        </w:rPr>
        <w:t>There have been no material changes to our market risk disclosures as set forth in Part II Item 7A of our Annual Report on Form 10-K for the year ended December 31, 2019 except as described below.</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COVID-19</w:t>
      </w:r>
    </w:p>
    <w:p>
      <w:pPr>
        <w:spacing w:after="0" w:line="110" w:lineRule="exact"/>
        <w:rPr>
          <w:sz w:val="20"/>
          <w:szCs w:val="20"/>
          <w:color w:val="auto"/>
        </w:rPr>
      </w:pPr>
    </w:p>
    <w:p>
      <w:pPr>
        <w:ind w:left="240" w:right="60"/>
        <w:spacing w:after="0" w:line="248" w:lineRule="auto"/>
        <w:rPr>
          <w:sz w:val="20"/>
          <w:szCs w:val="20"/>
          <w:color w:val="auto"/>
        </w:rPr>
      </w:pPr>
      <w:r>
        <w:rPr>
          <w:rFonts w:ascii="Arial" w:cs="Arial" w:eastAsia="Arial" w:hAnsi="Arial"/>
          <w:sz w:val="18"/>
          <w:szCs w:val="18"/>
          <w:color w:val="auto"/>
        </w:rPr>
        <w:t>The Company is monitoring COVID-19 closely, and although operations have not been materially affected by the COVID-19 outbreak to date, the ultimate severity of the outbreak and its impact on the economic environment is uncertain. Operations of the Company are currently ongoing as the cultivation, processing and sale of cannabis products is currently considered an essential business by the States in which we operate with respect to all customers (except for Massachusetts, where cannabis has been deemed essential only for medical patients). In all locations where regulations have been enabled by governmental authorities, the Company has expanded consumer delivery options and curbside pickup to help protect the health and safety of our employees and customers.</w:t>
      </w:r>
    </w:p>
    <w:p>
      <w:pPr>
        <w:spacing w:after="0" w:line="196" w:lineRule="exact"/>
        <w:rPr>
          <w:sz w:val="20"/>
          <w:szCs w:val="20"/>
          <w:color w:val="auto"/>
        </w:rPr>
      </w:pPr>
    </w:p>
    <w:p>
      <w:pPr>
        <w:ind w:left="240" w:right="120"/>
        <w:spacing w:after="0" w:line="254" w:lineRule="auto"/>
        <w:rPr>
          <w:sz w:val="20"/>
          <w:szCs w:val="20"/>
          <w:color w:val="auto"/>
        </w:rPr>
      </w:pPr>
      <w:r>
        <w:rPr>
          <w:rFonts w:ascii="Arial" w:cs="Arial" w:eastAsia="Arial" w:hAnsi="Arial"/>
          <w:sz w:val="18"/>
          <w:szCs w:val="18"/>
          <w:color w:val="auto"/>
        </w:rPr>
        <w:t>The pandemic has not materially impacted our business operations or liquidity position to date. We continue to generate operating cash flows to meet our short-term liquidity needs. The uncertain nature of the spread of COVID-19 may impact our business operations for reasons including the potential quarantine of our employees or those of our supply chain partners.</w:t>
      </w:r>
    </w:p>
    <w:p>
      <w:pPr>
        <w:spacing w:after="0" w:line="327"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3" w:lineRule="exact"/>
        <w:rPr>
          <w:sz w:val="20"/>
          <w:szCs w:val="20"/>
          <w:color w:val="auto"/>
        </w:rPr>
      </w:pPr>
    </w:p>
    <w:p>
      <w:pPr>
        <w:ind w:left="660" w:hanging="423"/>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16" w:lineRule="exact"/>
        <w:rPr>
          <w:sz w:val="20"/>
          <w:szCs w:val="20"/>
          <w:color w:val="auto"/>
        </w:rPr>
      </w:pPr>
    </w:p>
    <w:p>
      <w:pPr>
        <w:ind w:left="240" w:firstLine="431"/>
        <w:spacing w:after="0" w:line="298" w:lineRule="auto"/>
        <w:rPr>
          <w:sz w:val="20"/>
          <w:szCs w:val="20"/>
          <w:color w:val="auto"/>
        </w:rPr>
      </w:pPr>
      <w:r>
        <w:rPr>
          <w:rFonts w:ascii="Arial" w:cs="Arial" w:eastAsia="Arial" w:hAnsi="Arial"/>
          <w:sz w:val="15"/>
          <w:szCs w:val="15"/>
          <w:color w:val="auto"/>
        </w:rPr>
        <w:t>The Company evaluated the effectiveness of our disclosure controls and procedures as of March 31, 2020.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Management, including the Chief Executive Officer and Chief Financial Officer, evaluated the effectiveness of the Company’s disclosure controls and procedures (as defined in Rules 13a-15(b) and Rule 15d-15(e) of the Exchange Act) as of March 31, 2020. As of December 31, 2019, Green Thumb, as an emerging growth company, was not required to include management’s assessment of Internal Controls over Financial Reporting (“ICFR”) or an attestation report of the Company’s registered public accounting firm in our 2019 Form 10-K. However, management has developed and is in the process of enhancing the Company’s ICFR and its disclosure controls and procedures in preparation for the annual audit of the Company for the 2020 fiscal year. Green Thumb expects to be required to include both management’s assessment of ICFR and the attestation of the Company’s registered public accounting firm regarding the Company’s ICFR in our 2020 annual report on Form 10-K. Management, including the Chief Executive Officer and Chief Financial Officer, have carefully considered the Company’s progress in the development of the disclosure controls and procedures to date and determined that they were reasonably effective at the assurance level as of March 31, 2020.</w:t>
      </w: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320" w:top="452" w:right="5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 — OTHER INFORMATION</w:t>
      </w:r>
    </w:p>
    <w:p>
      <w:pPr>
        <w:spacing w:after="0" w:line="361"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16" w:lineRule="exact"/>
        <w:rPr>
          <w:sz w:val="20"/>
          <w:szCs w:val="20"/>
          <w:color w:val="auto"/>
        </w:rPr>
      </w:pPr>
    </w:p>
    <w:p>
      <w:pPr>
        <w:ind w:left="240" w:right="160"/>
        <w:spacing w:after="0" w:line="276" w:lineRule="auto"/>
        <w:rPr>
          <w:sz w:val="20"/>
          <w:szCs w:val="20"/>
          <w:color w:val="auto"/>
        </w:rPr>
      </w:pPr>
      <w:r>
        <w:rPr>
          <w:rFonts w:ascii="Arial" w:cs="Arial" w:eastAsia="Arial" w:hAnsi="Arial"/>
          <w:sz w:val="17"/>
          <w:szCs w:val="17"/>
          <w:color w:val="auto"/>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p>
    <w:p>
      <w:pPr>
        <w:spacing w:after="0" w:line="310" w:lineRule="exact"/>
        <w:rPr>
          <w:sz w:val="20"/>
          <w:szCs w:val="20"/>
          <w:color w:val="auto"/>
        </w:rPr>
      </w:pPr>
    </w:p>
    <w:p>
      <w:pPr>
        <w:ind w:left="240"/>
        <w:spacing w:after="0"/>
        <w:tabs>
          <w:tab w:leader="none" w:pos="14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have been no material changes to the risk factors disclosed in the 2019 Form 10-K.</w:t>
      </w:r>
    </w:p>
    <w:p>
      <w:pPr>
        <w:spacing w:after="0" w:line="355"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 OF EQUITY SECURITIES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16" w:lineRule="exact"/>
        <w:rPr>
          <w:sz w:val="20"/>
          <w:szCs w:val="20"/>
          <w:color w:val="auto"/>
        </w:rPr>
      </w:pPr>
    </w:p>
    <w:p>
      <w:pPr>
        <w:ind w:left="240" w:firstLine="431"/>
        <w:spacing w:after="0" w:line="307" w:lineRule="auto"/>
        <w:rPr>
          <w:sz w:val="20"/>
          <w:szCs w:val="20"/>
          <w:color w:val="auto"/>
        </w:rPr>
      </w:pPr>
      <w:r>
        <w:rPr>
          <w:rFonts w:ascii="Arial" w:cs="Arial" w:eastAsia="Arial" w:hAnsi="Arial"/>
          <w:sz w:val="15"/>
          <w:szCs w:val="15"/>
          <w:color w:val="auto"/>
        </w:rPr>
        <w:t>The following information represents securities sold by the Company for the period covered by this Quarterly Report on Form 10-Q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 or, in the case of shares in connection with our 2018 Share and Incentive Plan, in reliance upon Rule 701 promulgated under Section 3(b) of the Securities Act as transactions by an issuer pursuant to benefit plans and contracts related to compensation.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Subordinate Voting Shares</w:t>
      </w:r>
    </w:p>
    <w:p>
      <w:pPr>
        <w:spacing w:after="0" w:line="116" w:lineRule="exact"/>
        <w:rPr>
          <w:sz w:val="20"/>
          <w:szCs w:val="20"/>
          <w:color w:val="auto"/>
        </w:rPr>
      </w:pPr>
    </w:p>
    <w:p>
      <w:pPr>
        <w:ind w:left="240" w:right="220" w:firstLine="431"/>
        <w:spacing w:after="0" w:line="263" w:lineRule="auto"/>
        <w:rPr>
          <w:sz w:val="20"/>
          <w:szCs w:val="20"/>
          <w:color w:val="auto"/>
        </w:rPr>
      </w:pPr>
      <w:r>
        <w:rPr>
          <w:rFonts w:ascii="Arial" w:cs="Arial" w:eastAsia="Arial" w:hAnsi="Arial"/>
          <w:sz w:val="18"/>
          <w:szCs w:val="18"/>
          <w:color w:val="auto"/>
        </w:rPr>
        <w:t>On January 3, 2020, the Company issued 287,478 Subordinate Voting Shares as contingent consideration associated with the Company’s 2019 acquisition of Advanced Grow Labs.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15, 2020, the Company converted 127,730 Multiple Voting Shares into 12,773,000 Subordinate Voting Shares.</w:t>
      </w:r>
    </w:p>
    <w:p>
      <w:pPr>
        <w:spacing w:after="0" w:line="216" w:lineRule="exact"/>
        <w:rPr>
          <w:sz w:val="20"/>
          <w:szCs w:val="20"/>
          <w:color w:val="auto"/>
        </w:rPr>
      </w:pPr>
    </w:p>
    <w:p>
      <w:pPr>
        <w:ind w:left="240" w:right="80" w:firstLine="431"/>
        <w:spacing w:after="0" w:line="263" w:lineRule="auto"/>
        <w:rPr>
          <w:sz w:val="20"/>
          <w:szCs w:val="20"/>
          <w:color w:val="auto"/>
        </w:rPr>
      </w:pPr>
      <w:r>
        <w:rPr>
          <w:rFonts w:ascii="Arial" w:cs="Arial" w:eastAsia="Arial" w:hAnsi="Arial"/>
          <w:sz w:val="18"/>
          <w:szCs w:val="18"/>
          <w:color w:val="auto"/>
        </w:rPr>
        <w:t>Beginning on January 21, 2020 and continuing through January 23, 2020, the Company converted 16,111 Multiple Voting Shares into 1,611,100 Subordinate Voting Shares.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11, 2020, the Company converted 2,480 Multiple Voting Shares into 248,000 Subordinate Voting Shares.</w:t>
      </w:r>
    </w:p>
    <w:p>
      <w:pPr>
        <w:spacing w:after="0" w:line="216" w:lineRule="exact"/>
        <w:rPr>
          <w:sz w:val="20"/>
          <w:szCs w:val="20"/>
          <w:color w:val="auto"/>
        </w:rPr>
      </w:pPr>
    </w:p>
    <w:p>
      <w:pPr>
        <w:ind w:left="240" w:right="140" w:firstLine="431"/>
        <w:spacing w:after="0" w:line="263" w:lineRule="auto"/>
        <w:rPr>
          <w:sz w:val="20"/>
          <w:szCs w:val="20"/>
          <w:color w:val="auto"/>
        </w:rPr>
      </w:pPr>
      <w:r>
        <w:rPr>
          <w:rFonts w:ascii="Arial" w:cs="Arial" w:eastAsia="Arial" w:hAnsi="Arial"/>
          <w:sz w:val="18"/>
          <w:szCs w:val="18"/>
          <w:color w:val="auto"/>
        </w:rPr>
        <w:t>On February 12, 2020, the Company issued 48,450 Subordinate Voting Shares as deferred share issuances associated with the Company’s 2019 acquisition of KW Ventures Holdings, LLC minority interest.</w:t>
      </w:r>
    </w:p>
    <w:p>
      <w:pPr>
        <w:spacing w:after="0" w:line="180" w:lineRule="exact"/>
        <w:rPr>
          <w:sz w:val="20"/>
          <w:szCs w:val="20"/>
          <w:color w:val="auto"/>
        </w:rPr>
      </w:pPr>
    </w:p>
    <w:p>
      <w:pPr>
        <w:ind w:left="240" w:right="40" w:firstLine="431"/>
        <w:spacing w:after="0" w:line="263" w:lineRule="auto"/>
        <w:rPr>
          <w:sz w:val="20"/>
          <w:szCs w:val="20"/>
          <w:color w:val="auto"/>
        </w:rPr>
      </w:pPr>
      <w:r>
        <w:rPr>
          <w:rFonts w:ascii="Arial" w:cs="Arial" w:eastAsia="Arial" w:hAnsi="Arial"/>
          <w:sz w:val="18"/>
          <w:szCs w:val="18"/>
          <w:color w:val="auto"/>
        </w:rPr>
        <w:t>On February 26, 2020, the Company issued 779,690 Subordinate Voting Shares as contingent consideration associated with the Company’s 2019 acquisition of For Success Holding Company.</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00"/>
          </w:cols>
          <w:pgMar w:left="320" w:top="452" w:right="6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40" w:right="60" w:firstLine="431"/>
        <w:spacing w:after="0" w:line="254" w:lineRule="auto"/>
        <w:rPr>
          <w:sz w:val="20"/>
          <w:szCs w:val="20"/>
          <w:color w:val="auto"/>
        </w:rPr>
      </w:pPr>
      <w:r>
        <w:rPr>
          <w:rFonts w:ascii="Arial" w:cs="Arial" w:eastAsia="Arial" w:hAnsi="Arial"/>
          <w:sz w:val="18"/>
          <w:szCs w:val="18"/>
          <w:color w:val="auto"/>
        </w:rPr>
        <w:t>From January 1, 2020 through February 19, 2020 (the effective date of the filing of our registration statement on Form S-8), the Company issued, in total, 77,500 Subordinate Voting Shares to holders of the Company’s RSU’s issued under our 2018 Stock and Incentive Plan, which vested over the same period.</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Multiple Voting Shares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15, 2020, 2,475 Super Voting Shares were converted into 2,745 Multiple Voting Shares.</w:t>
      </w:r>
    </w:p>
    <w:p>
      <w:pPr>
        <w:spacing w:after="0" w:line="216" w:lineRule="exact"/>
        <w:rPr>
          <w:sz w:val="20"/>
          <w:szCs w:val="20"/>
          <w:color w:val="auto"/>
        </w:rPr>
      </w:pPr>
    </w:p>
    <w:p>
      <w:pPr>
        <w:ind w:left="240" w:right="80" w:firstLine="431"/>
        <w:spacing w:after="0" w:line="263" w:lineRule="auto"/>
        <w:rPr>
          <w:sz w:val="20"/>
          <w:szCs w:val="20"/>
          <w:color w:val="auto"/>
        </w:rPr>
      </w:pPr>
      <w:r>
        <w:rPr>
          <w:rFonts w:ascii="Arial" w:cs="Arial" w:eastAsia="Arial" w:hAnsi="Arial"/>
          <w:sz w:val="18"/>
          <w:szCs w:val="18"/>
          <w:color w:val="auto"/>
        </w:rPr>
        <w:t>Beginning on January 21, 2020 and continuing through January 23, 2020, the Company converted 9,000 Super Voting Shares into 9,000 Multiple Voting Shares.</w:t>
      </w:r>
    </w:p>
    <w:p>
      <w:pPr>
        <w:spacing w:after="0" w:line="319"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355"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exhibits are filed with this report:</w:t>
      </w: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9660" w:type="dxa"/>
            <w:vAlign w:val="bottom"/>
            <w:gridSpan w:val="2"/>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CERTIFICATE OF CHIEF EXECUTIVE OFFICER</w:t>
              </w:r>
            </w:hyperlink>
          </w:p>
        </w:tc>
      </w:tr>
      <w:tr>
        <w:trPr>
          <w:trHeight w:val="317"/>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9660" w:type="dxa"/>
            <w:vAlign w:val="bottom"/>
            <w:gridSpan w:val="2"/>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CERTIFICATE OF CHIEF FINANCIAL OFFICER</w:t>
              </w:r>
            </w:hyperlink>
          </w:p>
        </w:tc>
      </w:tr>
      <w:tr>
        <w:trPr>
          <w:trHeight w:val="278"/>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96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PURSUANT TO 18 U.S.C. SECTION 1350, AS ADOPTED PURSUANT TO SECTION 906 OF THE SARBANES-</w:t>
              </w:r>
            </w:hyperlink>
          </w:p>
        </w:tc>
      </w:tr>
      <w:tr>
        <w:trPr>
          <w:trHeight w:val="191"/>
        </w:trPr>
        <w:tc>
          <w:tcPr>
            <w:tcW w:w="1080" w:type="dxa"/>
            <w:vAlign w:val="bottom"/>
          </w:tcPr>
          <w:p>
            <w:pPr>
              <w:spacing w:after="0"/>
              <w:rPr>
                <w:sz w:val="16"/>
                <w:szCs w:val="16"/>
                <w:color w:val="auto"/>
              </w:rPr>
            </w:pPr>
          </w:p>
        </w:tc>
        <w:tc>
          <w:tcPr>
            <w:tcW w:w="1660" w:type="dxa"/>
            <w:vAlign w:val="bottom"/>
            <w:tcBorders>
              <w:bottom w:val="single" w:sz="8" w:color="0000EE"/>
            </w:tcBorders>
          </w:tcPr>
          <w:p>
            <w:pPr>
              <w:spacing w:after="0" w:line="191"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OXLEY ACT OF 2002</w:t>
              </w:r>
            </w:hyperlink>
          </w:p>
        </w:tc>
        <w:tc>
          <w:tcPr>
            <w:tcW w:w="8000" w:type="dxa"/>
            <w:vAlign w:val="bottom"/>
          </w:tcPr>
          <w:p>
            <w:pPr>
              <w:spacing w:after="0"/>
              <w:rPr>
                <w:sz w:val="16"/>
                <w:szCs w:val="16"/>
                <w:color w:val="auto"/>
              </w:rPr>
            </w:pPr>
          </w:p>
        </w:tc>
      </w:tr>
      <w:tr>
        <w:trPr>
          <w:trHeight w:val="297"/>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96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CERTIFICATION PURSUANT TO 18 U.S.C. SECTION 1350, AS ADOPTED PURSUANT TO SECTION 906 OF THE SARBANES-</w:t>
              </w:r>
            </w:hyperlink>
          </w:p>
        </w:tc>
      </w:tr>
      <w:tr>
        <w:trPr>
          <w:trHeight w:val="191"/>
        </w:trPr>
        <w:tc>
          <w:tcPr>
            <w:tcW w:w="1080" w:type="dxa"/>
            <w:vAlign w:val="bottom"/>
          </w:tcPr>
          <w:p>
            <w:pPr>
              <w:spacing w:after="0"/>
              <w:rPr>
                <w:sz w:val="16"/>
                <w:szCs w:val="16"/>
                <w:color w:val="auto"/>
              </w:rPr>
            </w:pPr>
          </w:p>
        </w:tc>
        <w:tc>
          <w:tcPr>
            <w:tcW w:w="1660" w:type="dxa"/>
            <w:vAlign w:val="bottom"/>
            <w:tcBorders>
              <w:bottom w:val="single" w:sz="8" w:color="0000EE"/>
            </w:tcBorders>
          </w:tcPr>
          <w:p>
            <w:pPr>
              <w:spacing w:after="0" w:line="191"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OXLEY ACT OF 2002</w:t>
              </w:r>
            </w:hyperlink>
          </w:p>
        </w:tc>
        <w:tc>
          <w:tcPr>
            <w:tcW w:w="8000" w:type="dxa"/>
            <w:vAlign w:val="bottom"/>
          </w:tcPr>
          <w:p>
            <w:pPr>
              <w:spacing w:after="0"/>
              <w:rPr>
                <w:sz w:val="16"/>
                <w:szCs w:val="16"/>
                <w:color w:val="auto"/>
              </w:rPr>
            </w:pPr>
          </w:p>
        </w:tc>
      </w:tr>
      <w:tr>
        <w:trPr>
          <w:trHeight w:val="336"/>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6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17"/>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6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17"/>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6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17"/>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6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17"/>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17"/>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6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57"/>
        </w:trPr>
        <w:tc>
          <w:tcPr>
            <w:tcW w:w="1080" w:type="dxa"/>
            <w:vAlign w:val="bottom"/>
          </w:tcPr>
          <w:p>
            <w:pPr>
              <w:spacing w:after="0"/>
              <w:rPr>
                <w:sz w:val="24"/>
                <w:szCs w:val="24"/>
                <w:color w:val="auto"/>
              </w:rPr>
            </w:pPr>
          </w:p>
        </w:tc>
        <w:tc>
          <w:tcPr>
            <w:tcW w:w="9660" w:type="dxa"/>
            <w:vAlign w:val="bottom"/>
            <w:gridSpan w:val="2"/>
          </w:tcPr>
          <w:p>
            <w:pPr>
              <w:ind w:left="412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0980"/>
          </w:cols>
          <w:pgMar w:left="320" w:top="452" w:right="5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 w:lineRule="exact"/>
        <w:rPr>
          <w:sz w:val="20"/>
          <w:szCs w:val="20"/>
          <w:color w:val="auto"/>
        </w:rPr>
      </w:pPr>
    </w:p>
    <w:p>
      <w:pPr>
        <w:ind w:left="240"/>
        <w:spacing w:after="0" w:line="249" w:lineRule="auto"/>
        <w:rPr>
          <w:sz w:val="20"/>
          <w:szCs w:val="20"/>
          <w:color w:val="auto"/>
        </w:rPr>
      </w:pPr>
      <w:r>
        <w:rPr>
          <w:rFonts w:ascii="Arial" w:cs="Arial" w:eastAsia="Arial" w:hAnsi="Arial"/>
          <w:sz w:val="18"/>
          <w:szCs w:val="18"/>
          <w:color w:val="auto"/>
        </w:rPr>
        <w:t>Pursuant to requirements of the Securities Exchange Act of 1934, the Company has duly caused this report to be signed on its behalf by the undersigned thereunto duly authorized.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GREEN THUMB INDUSTRIES INC.</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10795</wp:posOffset>
            </wp:positionV>
            <wp:extent cx="27336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33675" cy="8255"/>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 Benjamin Kovler</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Title: Chief Executive Officer</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May 15, 2020</w:t>
      </w: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GREEN THUMB INDUSTRIES INC.</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10795</wp:posOffset>
            </wp:positionV>
            <wp:extent cx="27336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33675" cy="8255"/>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 Anthony Georgiadis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Title: Chief Financial Officer</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May 15, 2020</w:t>
      </w:r>
    </w:p>
    <w:p>
      <w:pPr>
        <w:spacing w:after="0" w:line="1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320" w:top="452" w:right="6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Benjamin Kovler, certify that:</w:t>
      </w:r>
    </w:p>
    <w:p>
      <w:pPr>
        <w:spacing w:after="0" w:line="242" w:lineRule="exact"/>
        <w:rPr>
          <w:sz w:val="20"/>
          <w:szCs w:val="20"/>
          <w:color w:val="auto"/>
        </w:rPr>
      </w:pPr>
    </w:p>
    <w:p>
      <w:pPr>
        <w:ind w:left="940" w:hanging="521"/>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Thumb Industries Inc.;</w:t>
      </w:r>
    </w:p>
    <w:p>
      <w:pPr>
        <w:spacing w:after="0" w:line="123" w:lineRule="exact"/>
        <w:rPr>
          <w:rFonts w:ascii="Arial" w:cs="Arial" w:eastAsia="Arial" w:hAnsi="Arial"/>
          <w:sz w:val="18"/>
          <w:szCs w:val="18"/>
          <w:color w:val="auto"/>
        </w:rPr>
      </w:pPr>
    </w:p>
    <w:p>
      <w:pPr>
        <w:ind w:left="940" w:right="60" w:hanging="521"/>
        <w:spacing w:after="0" w:line="254"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940" w:right="340" w:hanging="521"/>
        <w:spacing w:after="0" w:line="364" w:lineRule="auto"/>
        <w:tabs>
          <w:tab w:leader="none" w:pos="9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Arial" w:cs="Arial" w:eastAsia="Arial" w:hAnsi="Arial"/>
          <w:sz w:val="15"/>
          <w:szCs w:val="15"/>
          <w:color w:val="auto"/>
        </w:rPr>
      </w:pPr>
    </w:p>
    <w:p>
      <w:pPr>
        <w:ind w:left="940" w:right="540" w:hanging="521"/>
        <w:spacing w:after="0" w:line="263"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7" w:lineRule="exact"/>
        <w:rPr>
          <w:rFonts w:ascii="Arial" w:cs="Arial" w:eastAsia="Arial" w:hAnsi="Arial"/>
          <w:sz w:val="18"/>
          <w:szCs w:val="18"/>
          <w:color w:val="auto"/>
        </w:rPr>
      </w:pPr>
    </w:p>
    <w:p>
      <w:pPr>
        <w:ind w:left="1920" w:right="100" w:hanging="524"/>
        <w:spacing w:after="0" w:line="328" w:lineRule="auto"/>
        <w:tabs>
          <w:tab w:leader="none" w:pos="1920" w:val="left"/>
        </w:tabs>
        <w:numPr>
          <w:ilvl w:val="1"/>
          <w:numId w:val="3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5"/>
          <w:szCs w:val="15"/>
          <w:color w:val="auto"/>
        </w:rPr>
      </w:pPr>
    </w:p>
    <w:p>
      <w:pPr>
        <w:jc w:val="both"/>
        <w:ind w:left="1920" w:right="100" w:hanging="524"/>
        <w:spacing w:after="0" w:line="254" w:lineRule="auto"/>
        <w:tabs>
          <w:tab w:leader="none" w:pos="1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1920" w:right="100" w:hanging="524"/>
        <w:spacing w:after="0" w:line="276" w:lineRule="auto"/>
        <w:tabs>
          <w:tab w:leader="none" w:pos="19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8" w:lineRule="exact"/>
        <w:rPr>
          <w:rFonts w:ascii="Arial" w:cs="Arial" w:eastAsia="Arial" w:hAnsi="Arial"/>
          <w:sz w:val="17"/>
          <w:szCs w:val="17"/>
          <w:color w:val="auto"/>
        </w:rPr>
      </w:pPr>
    </w:p>
    <w:p>
      <w:pPr>
        <w:ind w:left="940" w:right="260" w:hanging="521"/>
        <w:spacing w:after="0" w:line="254"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1920" w:right="360" w:hanging="524"/>
        <w:spacing w:after="0" w:line="254" w:lineRule="auto"/>
        <w:tabs>
          <w:tab w:leader="none" w:pos="1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1920" w:right="740" w:hanging="524"/>
        <w:spacing w:after="0" w:line="263" w:lineRule="auto"/>
        <w:tabs>
          <w:tab w:leader="none" w:pos="1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7336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336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Benjamin Kovler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2020</w:t>
      </w:r>
    </w:p>
    <w:p>
      <w:pPr>
        <w:sectPr>
          <w:pgSz w:w="11900" w:h="16838" w:orient="portrait"/>
          <w:cols w:equalWidth="0" w:num="1">
            <w:col w:w="10780"/>
          </w:cols>
          <w:pgMar w:left="560" w:top="121" w:right="5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Anthony Georgiadis, certify that:</w:t>
      </w:r>
    </w:p>
    <w:p>
      <w:pPr>
        <w:spacing w:after="0" w:line="123" w:lineRule="exact"/>
        <w:rPr>
          <w:sz w:val="20"/>
          <w:szCs w:val="20"/>
          <w:color w:val="auto"/>
        </w:rPr>
      </w:pPr>
    </w:p>
    <w:p>
      <w:pPr>
        <w:ind w:left="940" w:hanging="521"/>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Thumb Industries Inc.;</w:t>
      </w:r>
    </w:p>
    <w:p>
      <w:pPr>
        <w:spacing w:after="0" w:line="123" w:lineRule="exact"/>
        <w:rPr>
          <w:rFonts w:ascii="Arial" w:cs="Arial" w:eastAsia="Arial" w:hAnsi="Arial"/>
          <w:sz w:val="18"/>
          <w:szCs w:val="18"/>
          <w:color w:val="auto"/>
        </w:rPr>
      </w:pPr>
    </w:p>
    <w:p>
      <w:pPr>
        <w:ind w:left="940" w:right="60" w:hanging="521"/>
        <w:spacing w:after="0" w:line="254" w:lineRule="auto"/>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940" w:right="340" w:hanging="521"/>
        <w:spacing w:after="0" w:line="364" w:lineRule="auto"/>
        <w:tabs>
          <w:tab w:leader="none" w:pos="9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Arial" w:cs="Arial" w:eastAsia="Arial" w:hAnsi="Arial"/>
          <w:sz w:val="15"/>
          <w:szCs w:val="15"/>
          <w:color w:val="auto"/>
        </w:rPr>
      </w:pPr>
    </w:p>
    <w:p>
      <w:pPr>
        <w:ind w:left="940" w:right="540" w:hanging="521"/>
        <w:spacing w:after="0" w:line="263" w:lineRule="auto"/>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7" w:lineRule="exact"/>
        <w:rPr>
          <w:rFonts w:ascii="Arial" w:cs="Arial" w:eastAsia="Arial" w:hAnsi="Arial"/>
          <w:sz w:val="18"/>
          <w:szCs w:val="18"/>
          <w:color w:val="auto"/>
        </w:rPr>
      </w:pPr>
    </w:p>
    <w:p>
      <w:pPr>
        <w:ind w:left="1920" w:right="100" w:hanging="524"/>
        <w:spacing w:after="0" w:line="328" w:lineRule="auto"/>
        <w:tabs>
          <w:tab w:leader="none" w:pos="1920" w:val="left"/>
        </w:tabs>
        <w:numPr>
          <w:ilvl w:val="1"/>
          <w:numId w:val="3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5"/>
          <w:szCs w:val="15"/>
          <w:color w:val="auto"/>
        </w:rPr>
      </w:pPr>
    </w:p>
    <w:p>
      <w:pPr>
        <w:jc w:val="both"/>
        <w:ind w:left="1920" w:right="100" w:hanging="524"/>
        <w:spacing w:after="0" w:line="254" w:lineRule="auto"/>
        <w:tabs>
          <w:tab w:leader="none" w:pos="1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1920" w:right="100" w:hanging="524"/>
        <w:spacing w:after="0" w:line="276" w:lineRule="auto"/>
        <w:tabs>
          <w:tab w:leader="none" w:pos="19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8" w:lineRule="exact"/>
        <w:rPr>
          <w:rFonts w:ascii="Arial" w:cs="Arial" w:eastAsia="Arial" w:hAnsi="Arial"/>
          <w:sz w:val="17"/>
          <w:szCs w:val="17"/>
          <w:color w:val="auto"/>
        </w:rPr>
      </w:pPr>
    </w:p>
    <w:p>
      <w:pPr>
        <w:ind w:left="940" w:right="260" w:hanging="521"/>
        <w:spacing w:after="0" w:line="254" w:lineRule="auto"/>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1920" w:right="360" w:hanging="524"/>
        <w:spacing w:after="0" w:line="254" w:lineRule="auto"/>
        <w:tabs>
          <w:tab w:leader="none" w:pos="1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1920" w:right="740" w:hanging="524"/>
        <w:spacing w:after="0" w:line="263" w:lineRule="auto"/>
        <w:tabs>
          <w:tab w:leader="none" w:pos="1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7336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336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Anthony Georgiadis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2020</w:t>
      </w:r>
    </w:p>
    <w:p>
      <w:pPr>
        <w:sectPr>
          <w:pgSz w:w="11900" w:h="16838" w:orient="portrait"/>
          <w:cols w:equalWidth="0" w:num="1">
            <w:col w:w="10780"/>
          </w:cols>
          <w:pgMar w:left="560" w:top="121" w:right="559" w:bottom="1440" w:gutter="0" w:footer="0" w:header="0"/>
        </w:sectPr>
      </w:pPr>
    </w:p>
    <w:bookmarkStart w:id="41" w:name="page42"/>
    <w:bookmarkEnd w:id="41"/>
    <w:p>
      <w:pPr>
        <w:ind w:left="9860"/>
        <w:spacing w:after="0"/>
        <w:rPr>
          <w:sz w:val="20"/>
          <w:szCs w:val="20"/>
          <w:color w:val="auto"/>
        </w:rPr>
      </w:pPr>
      <w:r>
        <w:rPr>
          <w:rFonts w:ascii="Arial" w:cs="Arial" w:eastAsia="Arial" w:hAnsi="Arial"/>
          <w:sz w:val="15"/>
          <w:szCs w:val="15"/>
          <w:b w:val="1"/>
          <w:bCs w:val="1"/>
          <w:color w:val="auto"/>
        </w:rPr>
        <w:t>Exhibit 32.1</w:t>
      </w:r>
    </w:p>
    <w:p>
      <w:pPr>
        <w:spacing w:after="0" w:line="250" w:lineRule="exact"/>
        <w:rPr>
          <w:sz w:val="20"/>
          <w:szCs w:val="20"/>
          <w:color w:val="auto"/>
        </w:rPr>
      </w:pPr>
    </w:p>
    <w:p>
      <w:pPr>
        <w:jc w:val="center"/>
        <w:ind w:right="20"/>
        <w:spacing w:after="0" w:line="27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74" w:lineRule="exact"/>
        <w:rPr>
          <w:sz w:val="20"/>
          <w:szCs w:val="20"/>
          <w:color w:val="auto"/>
        </w:rPr>
      </w:pPr>
    </w:p>
    <w:p>
      <w:pPr>
        <w:ind w:right="260" w:firstLine="431"/>
        <w:spacing w:after="0" w:line="311" w:lineRule="auto"/>
        <w:rPr>
          <w:sz w:val="20"/>
          <w:szCs w:val="20"/>
          <w:color w:val="auto"/>
        </w:rPr>
      </w:pPr>
      <w:r>
        <w:rPr>
          <w:rFonts w:ascii="Arial" w:cs="Arial" w:eastAsia="Arial" w:hAnsi="Arial"/>
          <w:sz w:val="15"/>
          <w:szCs w:val="15"/>
          <w:color w:val="auto"/>
        </w:rPr>
        <w:t>In connection with the Quarterly Report of Green Thumb Industries Inc. (the “Company”) on Form 10-Q for the three months ended March 31, 2020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7336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336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Benjamin Kovler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2020</w:t>
      </w:r>
    </w:p>
    <w:p>
      <w:pPr>
        <w:sectPr>
          <w:pgSz w:w="11900" w:h="16838" w:orient="portrait"/>
          <w:cols w:equalWidth="0" w:num="1">
            <w:col w:w="10780"/>
          </w:cols>
          <w:pgMar w:left="560" w:top="121" w:right="559" w:bottom="1440" w:gutter="0" w:footer="0" w:header="0"/>
        </w:sectPr>
      </w:pPr>
    </w:p>
    <w:bookmarkStart w:id="42" w:name="page43"/>
    <w:bookmarkEnd w:id="42"/>
    <w:p>
      <w:pPr>
        <w:ind w:left="9860"/>
        <w:spacing w:after="0"/>
        <w:rPr>
          <w:sz w:val="20"/>
          <w:szCs w:val="20"/>
          <w:color w:val="auto"/>
        </w:rPr>
      </w:pPr>
      <w:r>
        <w:rPr>
          <w:rFonts w:ascii="Arial" w:cs="Arial" w:eastAsia="Arial" w:hAnsi="Arial"/>
          <w:sz w:val="15"/>
          <w:szCs w:val="15"/>
          <w:b w:val="1"/>
          <w:bCs w:val="1"/>
          <w:color w:val="auto"/>
        </w:rPr>
        <w:t>Exhibit 32.2</w:t>
      </w:r>
    </w:p>
    <w:p>
      <w:pPr>
        <w:spacing w:after="0" w:line="250" w:lineRule="exact"/>
        <w:rPr>
          <w:sz w:val="20"/>
          <w:szCs w:val="20"/>
          <w:color w:val="auto"/>
        </w:rPr>
      </w:pPr>
    </w:p>
    <w:p>
      <w:pPr>
        <w:jc w:val="center"/>
        <w:ind w:right="20"/>
        <w:spacing w:after="0" w:line="27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74" w:lineRule="exact"/>
        <w:rPr>
          <w:sz w:val="20"/>
          <w:szCs w:val="20"/>
          <w:color w:val="auto"/>
        </w:rPr>
      </w:pPr>
    </w:p>
    <w:p>
      <w:pPr>
        <w:ind w:right="260" w:firstLine="431"/>
        <w:spacing w:after="0" w:line="311" w:lineRule="auto"/>
        <w:rPr>
          <w:sz w:val="20"/>
          <w:szCs w:val="20"/>
          <w:color w:val="auto"/>
        </w:rPr>
      </w:pPr>
      <w:r>
        <w:rPr>
          <w:rFonts w:ascii="Arial" w:cs="Arial" w:eastAsia="Arial" w:hAnsi="Arial"/>
          <w:sz w:val="15"/>
          <w:szCs w:val="15"/>
          <w:color w:val="auto"/>
        </w:rPr>
        <w:t>In connection with the Quarterly Report of Green Thumb Industries Inc. (the “Company”) on Form 10-Q for the three months ended March 31, 2020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7336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336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Anthony Georgiadis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2020</w:t>
      </w:r>
    </w:p>
    <w:sectPr>
      <w:pgSz w:w="11900" w:h="16838" w:orient="portrait"/>
      <w:cols w:equalWidth="0" w:num="1">
        <w:col w:w="10780"/>
      </w:cols>
      <w:pgMar w:left="560" w:top="12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lowerRoman"/>
      <w:start w:val="1"/>
    </w:lvl>
    <w:lvl w:ilvl="1">
      <w:lvlJc w:val="left"/>
      <w:lvlText w:val="(%2)"/>
      <w:numFmt w:val="lowerLetter"/>
      <w:start w:val="5"/>
    </w:lvl>
  </w:abstractNum>
  <w:abstractNum w:abstractNumId="4">
    <w:nsid w:val="436C6125"/>
    <w:multiLevelType w:val="hybridMultilevel"/>
    <w:lvl w:ilvl="0">
      <w:lvlJc w:val="left"/>
      <w:lvlText w:val="%1"/>
      <w:numFmt w:val="lowerRoman"/>
      <w:start w:val="1"/>
    </w:lvl>
    <w:lvl w:ilvl="1">
      <w:lvlJc w:val="left"/>
      <w:lvlText w:val="(%2)"/>
      <w:numFmt w:val="lowerLetter"/>
      <w:start w:val="9"/>
    </w:lvl>
  </w:abstractNum>
  <w:abstractNum w:abstractNumId="5">
    <w:nsid w:val="628C895D"/>
    <w:multiLevelType w:val="hybridMultilevel"/>
    <w:lvl w:ilvl="0">
      <w:lvlJc w:val="left"/>
      <w:lvlText w:val="%1"/>
      <w:numFmt w:val="lowerRoman"/>
      <w:start w:val="1"/>
    </w:lvl>
    <w:lvl w:ilvl="1">
      <w:lvlJc w:val="left"/>
      <w:lvlText w:val="(%2)"/>
      <w:numFmt w:val="lowerLetter"/>
      <w:start w:val="35"/>
    </w:lvl>
  </w:abstractNum>
  <w:abstractNum w:abstractNumId="6">
    <w:nsid w:val="333AB105"/>
    <w:multiLevelType w:val="hybridMultilevel"/>
    <w:lvl w:ilvl="0">
      <w:lvlJc w:val="left"/>
      <w:lvlText w:val="%1."/>
      <w:numFmt w:val="decimal"/>
      <w:start w:val="2"/>
    </w:lvl>
  </w:abstractNum>
  <w:abstractNum w:abstractNumId="7">
    <w:nsid w:val="721DA317"/>
    <w:multiLevelType w:val="hybridMultilevel"/>
    <w:lvl w:ilvl="0">
      <w:lvlJc w:val="left"/>
      <w:lvlText w:val="%1."/>
      <w:numFmt w:val="decimal"/>
      <w:start w:val="3"/>
    </w:lvl>
  </w:abstractNum>
  <w:abstractNum w:abstractNumId="8">
    <w:nsid w:val="2443A858"/>
    <w:multiLevelType w:val="hybridMultilevel"/>
    <w:lvl w:ilvl="0">
      <w:lvlJc w:val="left"/>
      <w:lvlText w:val="%1."/>
      <w:numFmt w:val="decimal"/>
      <w:start w:val="4"/>
    </w:lvl>
  </w:abstractNum>
  <w:abstractNum w:abstractNumId="9">
    <w:nsid w:val="2D1D5AE9"/>
    <w:multiLevelType w:val="hybridMultilevel"/>
    <w:lvl w:ilvl="0">
      <w:lvlJc w:val="left"/>
      <w:lvlText w:val="%1."/>
      <w:numFmt w:val="decimal"/>
      <w:start w:val="4"/>
    </w:lvl>
  </w:abstractNum>
  <w:abstractNum w:abstractNumId="10">
    <w:nsid w:val="6763845E"/>
    <w:multiLevelType w:val="hybridMultilevel"/>
    <w:lvl w:ilvl="0">
      <w:lvlJc w:val="left"/>
      <w:lvlText w:val="%1."/>
      <w:numFmt w:val="decimal"/>
      <w:start w:val="5"/>
    </w:lvl>
  </w:abstractNum>
  <w:abstractNum w:abstractNumId="11">
    <w:nsid w:val="75A2A8D4"/>
    <w:multiLevelType w:val="hybridMultilevel"/>
    <w:lvl w:ilvl="0">
      <w:lvlJc w:val="left"/>
      <w:lvlText w:val="%1."/>
      <w:numFmt w:val="decimal"/>
      <w:start w:val="5"/>
    </w:lvl>
  </w:abstractNum>
  <w:abstractNum w:abstractNumId="12">
    <w:nsid w:val="8EDBDAB"/>
    <w:multiLevelType w:val="hybridMultilevel"/>
    <w:lvl w:ilvl="0">
      <w:lvlJc w:val="left"/>
      <w:lvlText w:val="%1."/>
      <w:numFmt w:val="decimal"/>
      <w:start w:val="7"/>
    </w:lvl>
  </w:abstractNum>
  <w:abstractNum w:abstractNumId="13">
    <w:nsid w:val="79838CB2"/>
    <w:multiLevelType w:val="hybridMultilevel"/>
    <w:lvl w:ilvl="0">
      <w:lvlJc w:val="left"/>
      <w:lvlText w:val="%1."/>
      <w:numFmt w:val="decimal"/>
      <w:start w:val="7"/>
    </w:lvl>
  </w:abstractNum>
  <w:abstractNum w:abstractNumId="14">
    <w:nsid w:val="4353D0CD"/>
    <w:multiLevelType w:val="hybridMultilevel"/>
    <w:lvl w:ilvl="0">
      <w:lvlJc w:val="left"/>
      <w:lvlText w:val="%1."/>
      <w:numFmt w:val="decimal"/>
      <w:start w:val="8"/>
    </w:lvl>
  </w:abstractNum>
  <w:abstractNum w:abstractNumId="15">
    <w:nsid w:val="B03E0C6"/>
    <w:multiLevelType w:val="hybridMultilevel"/>
    <w:lvl w:ilvl="0">
      <w:lvlJc w:val="left"/>
      <w:lvlText w:val="%1."/>
      <w:numFmt w:val="decimal"/>
      <w:start w:val="8"/>
    </w:lvl>
  </w:abstractNum>
  <w:abstractNum w:abstractNumId="16">
    <w:nsid w:val="189A769B"/>
    <w:multiLevelType w:val="hybridMultilevel"/>
    <w:lvl w:ilvl="0">
      <w:lvlJc w:val="left"/>
      <w:lvlText w:val="%1."/>
      <w:numFmt w:val="decimal"/>
      <w:start w:val="9"/>
    </w:lvl>
  </w:abstractNum>
  <w:abstractNum w:abstractNumId="17">
    <w:nsid w:val="54E49EB4"/>
    <w:multiLevelType w:val="hybridMultilevel"/>
    <w:lvl w:ilvl="0">
      <w:lvlJc w:val="left"/>
      <w:lvlText w:val="%1."/>
      <w:numFmt w:val="decimal"/>
      <w:start w:val="10"/>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Roman"/>
      <w:start w:val="1"/>
    </w:lvl>
  </w:abstractNum>
  <w:abstractNum w:abstractNumId="20">
    <w:nsid w:val="836C40E"/>
    <w:multiLevelType w:val="hybridMultilevel"/>
    <w:lvl w:ilvl="0">
      <w:lvlJc w:val="left"/>
      <w:lvlText w:val="(%1)"/>
      <w:numFmt w:val="lowerRoman"/>
      <w:start w:val="2"/>
    </w:lvl>
  </w:abstractNum>
  <w:abstractNum w:abstractNumId="21">
    <w:nsid w:val="2901D82"/>
    <w:multiLevelType w:val="hybridMultilevel"/>
    <w:lvl w:ilvl="0">
      <w:lvlJc w:val="left"/>
      <w:lvlText w:val="(%1)"/>
      <w:numFmt w:val="lowerLetter"/>
      <w:start w:val="2"/>
    </w:lvl>
  </w:abstractNum>
  <w:abstractNum w:abstractNumId="22">
    <w:nsid w:val="3A95F874"/>
    <w:multiLevelType w:val="hybridMultilevel"/>
    <w:lvl w:ilvl="0">
      <w:lvlJc w:val="left"/>
      <w:lvlText w:val="%1."/>
      <w:numFmt w:val="decimal"/>
      <w:start w:val="10"/>
    </w:lvl>
  </w:abstractNum>
  <w:abstractNum w:abstractNumId="23">
    <w:nsid w:val="8138641"/>
    <w:multiLevelType w:val="hybridMultilevel"/>
    <w:lvl w:ilvl="0">
      <w:lvlJc w:val="left"/>
      <w:lvlText w:val="(%1)"/>
      <w:numFmt w:val="lowerLetter"/>
      <w:start w:val="3"/>
    </w:lvl>
  </w:abstractNum>
  <w:abstractNum w:abstractNumId="24">
    <w:nsid w:val="1E7FF521"/>
    <w:multiLevelType w:val="hybridMultilevel"/>
    <w:lvl w:ilvl="0">
      <w:lvlJc w:val="left"/>
      <w:lvlText w:val="%1."/>
      <w:numFmt w:val="decimal"/>
      <w:start w:val="10"/>
    </w:lvl>
  </w:abstractNum>
  <w:abstractNum w:abstractNumId="25">
    <w:nsid w:val="7C3DBD3D"/>
    <w:multiLevelType w:val="hybridMultilevel"/>
    <w:lvl w:ilvl="0">
      <w:lvlJc w:val="left"/>
      <w:lvlText w:val="(%1)"/>
      <w:numFmt w:val="lowerLetter"/>
      <w:start w:val="3"/>
    </w:lvl>
  </w:abstractNum>
  <w:abstractNum w:abstractNumId="26">
    <w:nsid w:val="737B8DDC"/>
    <w:multiLevelType w:val="hybridMultilevel"/>
    <w:lvl w:ilvl="0">
      <w:lvlJc w:val="left"/>
      <w:lvlText w:val="(%1)"/>
      <w:numFmt w:val="lowerLetter"/>
      <w:start w:val="4"/>
    </w:lvl>
  </w:abstractNum>
  <w:abstractNum w:abstractNumId="27">
    <w:nsid w:val="6CEAF087"/>
    <w:multiLevelType w:val="hybridMultilevel"/>
    <w:lvl w:ilvl="0">
      <w:lvlJc w:val="left"/>
      <w:lvlText w:val="(%1)"/>
      <w:numFmt w:val="lowerLetter"/>
      <w:start w:val="1"/>
    </w:lvl>
    <w:lvl w:ilvl="1">
      <w:lvlJc w:val="left"/>
      <w:lvlText w:val="-"/>
      <w:numFmt w:val="bullet"/>
      <w:start w:val="1"/>
    </w:lvl>
  </w:abstractNum>
  <w:abstractNum w:abstractNumId="28">
    <w:nsid w:val="22221A70"/>
    <w:multiLevelType w:val="hybridMultilevel"/>
    <w:lvl w:ilvl="0">
      <w:lvlJc w:val="left"/>
      <w:lvlText w:val="%1."/>
      <w:numFmt w:val="decimal"/>
      <w:start w:val="12"/>
    </w:lvl>
    <w:lvl w:ilvl="1">
      <w:lvlJc w:val="left"/>
      <w:lvlText w:val="(%2)"/>
      <w:numFmt w:val="lowerLetter"/>
      <w:start w:val="3"/>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3"/>
    </w:lvl>
    <w:lvl w:ilvl="1">
      <w:lvlJc w:val="left"/>
      <w:lvlText w:val="(%2)"/>
      <w:numFmt w:val="lowerLetter"/>
      <w:start w:val="3"/>
    </w:lvl>
  </w:abstractNum>
  <w:abstractNum w:abstractNumId="31">
    <w:nsid w:val="614FD4A1"/>
    <w:multiLevelType w:val="hybridMultilevel"/>
    <w:lvl w:ilvl="0">
      <w:lvlJc w:val="left"/>
      <w:lvlText w:val="(%1)"/>
      <w:numFmt w:val="lowerRoman"/>
      <w:start w:val="1"/>
    </w:lvl>
  </w:abstractNum>
  <w:abstractNum w:abstractNumId="32">
    <w:nsid w:val="419AC241"/>
    <w:multiLevelType w:val="hybridMultilevel"/>
    <w:lvl w:ilvl="0">
      <w:lvlJc w:val="left"/>
      <w:lvlText w:val="(%1)"/>
      <w:numFmt w:val="lowerLetter"/>
      <w:start w:val="1"/>
    </w:lvl>
    <w:lvl w:ilvl="1">
      <w:lvlJc w:val="left"/>
      <w:lvlText w:val="-"/>
      <w:numFmt w:val="bullet"/>
      <w:start w:val="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2020-05-15T05:34:41Z</dcterms:created>
  <dcterms:modified xsi:type="dcterms:W3CDTF">2020-05-15T05:34:41Z</dcterms:modified>
</cp:coreProperties>
</file>