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tbif-20250806.htm"/>
      <w:bookmarkStart w:id="1" w:name="ksgtbif2025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GREEN THUMB INDUSTRIES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3"/>
        <w:gridCol w:w="869"/>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British Columbia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000-56132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98-1437430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325 West Huron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471-6720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August 4, 2026, Green Thumb Industries Inc. issued a press release announcing its financial results for the quarter ended June 30, 2026, a copy of which is attached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tbif-ex99_1.htm">
              <w:r>
                <w:rPr>
                  <w:rStyle w:val="InternetLink"/>
                  <w:rFonts w:ascii="Times New Roman" w:hAnsi="Times New Roman"/>
                  <w:color w:val="0000FF"/>
                  <w:sz w:val="20"/>
                  <w:u w:val="single"/>
                </w:rPr>
                <w:t>Press release dated August 4,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XRBL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79" w:type="dxa"/>
        <w:jc w:val="left"/>
        <w:tblInd w:w="0" w:type="dxa"/>
        <w:tblLayout w:type="fixed"/>
        <w:tblCellMar>
          <w:top w:w="28" w:type="dxa"/>
          <w:left w:w="28" w:type="dxa"/>
          <w:bottom w:w="28" w:type="dxa"/>
          <w:right w:w="28" w:type="dxa"/>
        </w:tblCellMar>
      </w:tblPr>
      <w:tblGrid>
        <w:gridCol w:w="556"/>
        <w:gridCol w:w="1351"/>
        <w:gridCol w:w="451"/>
        <w:gridCol w:w="312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GREEN THUMB INDUSTRIES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Mathew Faulkner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Mathew Faulkner</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tbif-ex99_1.htm"/>
      <w:bookmarkStart w:id="3" w:name="ksgtbif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pPr>
      <w:r>
        <w:rPr/>
        <w:t> </w:t>
      </w:r>
    </w:p>
    <w:p>
      <w:pPr>
        <w:pStyle w:val="TextBody"/>
        <w:bidi w:val="0"/>
        <w:jc w:val="center"/>
        <w:rPr/>
      </w:pPr>
      <w:r>
        <w:rPr/>
        <w:drawing>
          <wp:inline distT="0" distB="0" distL="0" distR="0">
            <wp:extent cx="34766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4572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Reports Second Quarter 2026 Results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CHICAGO and VANCOUVER, British Columbia, August 4, 2026 (GLOBE NEWSWIRE) – </w:t>
      </w:r>
      <w:r>
        <w:rPr>
          <w:rFonts w:ascii="Times New Roman" w:hAnsi="Times New Roman"/>
          <w:color w:val="0000FF"/>
          <w:sz w:val="20"/>
          <w:u w:val="single"/>
        </w:rPr>
        <w:t>Green Thumb Industries Inc.</w:t>
      </w:r>
      <w:r>
        <w:rPr>
          <w:rFonts w:ascii="Times New Roman" w:hAnsi="Times New Roman"/>
          <w:color w:val="000000"/>
          <w:sz w:val="20"/>
        </w:rPr>
        <w:t xml:space="preserve"> (“Green Thumb” or the “Company”) (CSE: GTII) (OTCQX: GTBIF), a leading national cannabis consumer packaged goods company and owner of </w:t>
      </w:r>
      <w:r>
        <w:rPr>
          <w:rFonts w:ascii="Times New Roman" w:hAnsi="Times New Roman"/>
          <w:color w:val="0000FF"/>
          <w:sz w:val="20"/>
          <w:u w:val="single"/>
        </w:rPr>
        <w:t>RISE Dispensaries</w:t>
      </w:r>
      <w:r>
        <w:rPr>
          <w:rFonts w:ascii="Times New Roman" w:hAnsi="Times New Roman"/>
          <w:color w:val="000000"/>
          <w:sz w:val="20"/>
        </w:rPr>
        <w:t>, today reported its financial results for the quarter ended June 30, 2026. Financial results are reported in accordance with U.S. generally accepted accounting principles (“GAAP”), and all currency is in U.S. dollars.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Highlights for the second quarter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of $306.7 million, an increase of 4.6% over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at quarter end totaled $283.6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GAAP net income of $4.9 million or $0.02 per basic and diluted share.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Normalized EBITDA of $84.3 million or 27.5%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 from operations of $29.0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Repurchased the equivalent of approximately 7.9 million of the Company’s Subordinate Voting Shares for $48.3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Virginia authorized adult-use sales beginning July 1, 2027, where the Company has operated since 2021 and holds one of five vertically integrated medical cannabis licenses, six RISE dispensaries, and a grower-processor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Named to the TIME America’s Best Companies 2026 list – the highest ranked cannabis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Launched adult-use sales at RISE Dispensary Paramus in New Jersey on July 13,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Opened RISE Dispensary Hanover in Pennsylvania on July 31,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See definitions and reconciliation of non-GAAP measures elsewhere in this release.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Management Commentary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19"/>
        </w:rPr>
        <w:t>The Green Thumb team continues to drive topline growth despite persistent pricing pressure in many of our key markets. Second quarter 2026 revenue was $307 million, a 5% gain year-over-year. Normalized EBITDA was $84 million, and our second quarter cash flow from operations was $29 million. We also bought back the equivalent of 7.9 million Subordinate Voting Shares at an average price of $6.11 per share throughout the quarter,” said Green Thumb Founder, Chairman and Chief Executive Officer Ben Kovler. “There is real momentum in the business, and we are building on it with a disciplined approach and a solid balance sheet. Consumers continue to choose cannabis</w:t>
      </w:r>
      <w:r>
        <w:rPr>
          <w:rFonts w:ascii="Times New Roman" w:hAnsi="Times New Roman"/>
          <w:color w:val="000000"/>
          <w:sz w:val="13"/>
        </w:rPr>
        <w:t>1</w:t>
      </w:r>
      <w:r>
        <w:rPr>
          <w:rFonts w:ascii="Times New Roman" w:hAnsi="Times New Roman"/>
          <w:color w:val="000000"/>
          <w:sz w:val="19"/>
        </w:rPr>
        <w:t>, and our decisions follow the consumer. Material developments are underway in Virginia and Texas, two states that together account for roughly 12% of the U.S. population. Virginia is one of the largest states yet to open recreational retail, with adult-use sales launching July 1, 2027</w:t>
      </w:r>
      <w:r>
        <w:rPr>
          <w:rFonts w:ascii="Times New Roman" w:hAnsi="Times New Roman"/>
          <w:color w:val="000000"/>
          <w:sz w:val="13"/>
        </w:rPr>
        <w:t>2</w:t>
      </w:r>
      <w:r>
        <w:rPr>
          <w:rFonts w:ascii="Times New Roman" w:hAnsi="Times New Roman"/>
          <w:color w:val="000000"/>
          <w:sz w:val="19"/>
        </w:rPr>
        <w:t>, while our conditional license under Texas’ Compassionate Use Program positions us to serve patients as access expands. Hemp policy is also turning in favor of the regulated market, with Ohio an early example as most intoxicating hemp products are removed from retail and consumers move into the licensed cannabis channel. We are optimistic that this transition will carve out a lasting place for THC beverages in the mainstream market. This environment favors operators with scale, brands, and shelf space already in place, and Green Thumb is well positioned to take advantage of it.”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9"/>
        </w:rPr>
        <w:t>Green Thumb President Anthony Georgiadis added, “The second quarter was a productive one. We continued to lean into our wholesale business to support revenue growth, and we are pleased with the results. In Illinois, Pennsylvania, Ohio, Maryland, and Minnesota, we are especially proud of our brand performance, retaining the number one share position in each state. Our strength in these markets comes from offering our third-party customers high-quality products at exceptional value, while continuously innovating and maintaining an enhanced focus on service and order execution. We also increased investment in our team during the quarter, which shows up in selling, general and administrative expense and weighed on EBITDA margins in the near term. This was a deliberate decision to retain and reward our most valuable asset, the people who drive our long-term success. In an industry that continues to reshape itself, we are confident in the strength of our team, our strategy, and our capital base to navigate today’s market and keep building for the future.”</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Second Quarter 2026 Financial Overview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2</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revenue for the second quarter 2026 was $306.7 million, up 4.6% from the prior year period. Revenue growth in the second quarter was driven primarily by retail sales in Minnesota, reflecting the launch of adult-use sales in the state on September 17, 2025, as well as continued growth in existing markets, particularly Connecticut, Florida, and Ohio, partially offset by price compression and increased competition.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Overall retail revenue increased 3.6% versus the second quarter of 2025. Second quarter 2026 comparable sales (stores open at least 12 months) decreased 1.1% versus the prior year on a base of 103 stores.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Consumer Packaged Goods gross revenue increased 3.7% versus the second quarter of 2025, primarily due to the launch of adult-use sales in Minnesota, as well as continued growth in existing markets, particularly in New Jersey and Ohio, partially offset by price compression and increased 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for the second quarter 2026 was $137.9 million or 45.0% of revenue, down from $146.3 million or 49.9% of revenue over the prior year period. The decline in gross margin was primarily driven by RYTHM brand licensing fees incurred in the current period and price compression as discussed above.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selling, general and administrative expenses for the second quarter 2026 were $117.9 million or 38.4% of revenue, compared to $106.8 million or 36.4% of revenue for the second quarter 2025. The increase in selling, general, and administrative expenses was primarily attributable to increased compensation and benefits costs, reflecting planned changes to the Company’s compensation structure intended to support retention and execution.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other expense for the second quarter 2026 was $4.0 million compared to $17.1 million in the second quarter of 2025. The reduction in other expense was primarily attributable to the loss on sale of Green Thumb's incredibles intellectual property and hemp business to RYTHM, Inc. in the prior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for the second quarter of 2026 was $12.5 million compared to $21.6 million for the comparable period in the prior year. The decrease in income tax expense was primarily due to the Department of Justice's final order reclassifying state legal medical cannabis to Schedule III under the Controlled Substances Act, resulting in the end of Internal Revenue Code Section 280E to portions of our business. The final order became effective on April 28,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income attributable to the Company for the second quarter 2026 was $4.9 million or $0.02 per basic and diluted share, compared to a net loss of $0.6 million, or $0.01 per basic and diluted share in the prior year period.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second quarter 2026, EBITDA was $53.1 million or 17.3% of revenue, versus $69.1 million or 23.6% of revenue for the comparable prior year period. Normalized EBITDA, which excludes licensing fees of $15.8 million, non-cash stock-based compensation of $10.6 million and other non-operating adjustments of $4.8 million, was $84.3 million or 27.5% of revenue, up from $82.7 million or 28.2% of revenue for the second quarter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additional information on the non-GAAP financial measures discussed above, see under “Non-GAAP Financial Information” below.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Balance Sheet and Liquidity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current assets were $624.3 million, including cash and cash equivalents of $283.6 million. Total debt outstanding was $283.0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basic and diluted weighted average shares outstanding for the three months ended June 30, 2026, were 221.0 million shares and 222.8 million shares,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Allocation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second quarter, the Company repurchased the equivalent of approximately 7.9 million Subordinate Voting Shares for $48.3 million, at an average price of $6.11 per share. To date, the Company has repurchased the equivalent of approximately 29.5 million Subordinate Voting Shares for $203.4 million, with an average price of $6.90 per share. The Company's remaining authority to repurchase Shares is $62.3 million, available through September 22, 2026.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Headset, Cannabis Industry Statistics, July 5, 2026.</w:t>
      </w:r>
    </w:p>
    <w:p>
      <w:pPr>
        <w:pStyle w:val="TextBody"/>
        <w:bidi w:val="0"/>
        <w:jc w:val="left"/>
        <w:rPr>
          <w:rFonts w:ascii="Times New Roman" w:hAnsi="Times New Roman"/>
          <w:sz w:val="20"/>
        </w:rPr>
      </w:pPr>
      <w:r>
        <w:rPr>
          <w:rFonts w:ascii="Times New Roman" w:hAnsi="Times New Roman"/>
          <w:color w:val="000000"/>
          <w:sz w:val="12"/>
        </w:rPr>
        <w:t xml:space="preserve">2 </w:t>
      </w:r>
      <w:r>
        <w:rPr>
          <w:rFonts w:ascii="Times New Roman" w:hAnsi="Times New Roman"/>
          <w:color w:val="000000"/>
          <w:sz w:val="18"/>
        </w:rPr>
        <w:t>Office of the Governor of Virginia, news release, June 16,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3</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Non-GAAP Financial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Definitions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EBITDA: </w:t>
      </w:r>
      <w:r>
        <w:rPr>
          <w:rFonts w:ascii="Times New Roman" w:hAnsi="Times New Roman"/>
          <w:color w:val="000000"/>
          <w:sz w:val="20"/>
        </w:rPr>
        <w:t>Earnings before interest, taxes, other income or expense and depreciation and amortization.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Adjusted EBITDA: </w:t>
      </w:r>
      <w:r>
        <w:rPr>
          <w:rFonts w:ascii="Times New Roman" w:hAnsi="Times New Roman"/>
          <w:color w:val="000000"/>
          <w:sz w:val="20"/>
        </w:rPr>
        <w:t>Earnings before interest, taxes, depreciation, and amortization, adjusted for other income, non-cash stock-based compensation, one-time transaction related expenses, or other non-operating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Normalized EBITDA: </w:t>
      </w:r>
      <w:r>
        <w:rPr>
          <w:rFonts w:ascii="Times New Roman" w:hAnsi="Times New Roman"/>
          <w:color w:val="000000"/>
          <w:sz w:val="20"/>
        </w:rPr>
        <w:t>Adjusted EBITDA plus brand license fees.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Conference Call and Webcast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Green Thumb will host a conference call on Tuesday, August 4, 2026, at 5:00 pm Eastern Time to discuss its results for the second quarter ended June 30, 2026. The earnings call may be accessed by dialing 844-883-3895 (toll-free) or 412-317-5797 (international). A live audio webcast of the call will also be available on the Investor Relations section of Green Thumb’s website at </w:t>
      </w:r>
      <w:r>
        <w:rPr>
          <w:rFonts w:ascii="Times New Roman" w:hAnsi="Times New Roman"/>
          <w:sz w:val="20"/>
        </w:rPr>
        <w:t>https://investors.gtigrows.com</w:t>
      </w:r>
      <w:r>
        <w:rPr>
          <w:rFonts w:ascii="Times New Roman" w:hAnsi="Times New Roman"/>
          <w:color w:val="000000"/>
          <w:sz w:val="20"/>
        </w:rPr>
        <w:t xml:space="preserve"> and will be archived for replay.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About Green Thumb Industries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Green Thumb Industries Inc. (“Green Thumb” or the “Company”) is a leading national cannabis consumer packaged goods company and retailer headquartered in Chicago, Illinois. The company manufactures and distributes a portfolio of branded cannabis products, some of which are licensed, including RYTHM, Dogwalkers, incredibles, Beboe, &amp;Shine, Doctor Solomon’s and Good Green. Green Thumb also owns and operates RISE Dispensaries, a rapidly growing national retail chain with over 120 locations. Green Thumb serves millions of patients and customers each year with a mission to promote well-being through the power of cannabis while giving back to the communities it serves. Established in 2014, Green Thumb has manufacturing facilities and retail stores across 14 U.S. markets, employing approximately 4,900 people. More information is available at </w:t>
      </w:r>
      <w:r>
        <w:rPr>
          <w:rFonts w:ascii="Times New Roman" w:hAnsi="Times New Roman"/>
          <w:sz w:val="20"/>
        </w:rPr>
        <w:t>www.gtigrows.com.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Cautionary Note Regarding Forward-Looking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future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have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it conducts business; the Company faces intense competition; the Company faces competition from the illicit market as well as hemp products that are actually or purportedly compliant with the Agricultural Improvement Act of 2018 (the Farm Bill); the Company is dependent upon the popularity and consumer acceptance of its brand portfolio that the Company licenses from a third party; the Company has limited trademark protections; as a cannabis business, the Company is subject to unfavorable tax treatment and may incur significant tax liability; as a cannabis business, the Company may be subject to civil asset forfeiture; the Company is subject to proceeds of crime statutes; the Company faces exposure to fraudulent or illegal activity; the Company faces risks due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4</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industry immaturity or limited comparable, competitive or established industry best practices; the Company faces risks related to its products; the Company’s business is subject to the risks inherent in agricultural operations; the Company faces an inherent risk of product liability and similar claims; the Company’s products may be subject to product recalls; the Company may face unfavorable publicity or consumer perception; the Company may be adversely impacted by rising or volatile energy costs and availability;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relies on the expertise of its management team and other employees experienced in the cannabis industry, and the loss of key personnel could negatively affect its business; the Company’s voting control is concentrated; the Company’s capital structure and voting control may cause unpredictability; and sales of substantial amounts Subordinate Voting Shares by the Company’s shareholders in the public market may have an adverse effect on the market price of the Company’s Subordinate Voting Shares. Further information on these and other potential factors that could affect the Company’s business and financial condition and the results of operations are included in the “Risk Factors” section of the Company’s most recent Annual Report on Form 10-K and elsewhere in the Company’s filings with the SEC, which are available (or will become available) on the SEC’s website, and on the Company’s SEDAR+ profile at www.sedarplus.ca, and at </w:t>
      </w:r>
      <w:r>
        <w:rPr>
          <w:rFonts w:ascii="Times New Roman" w:hAnsi="Times New Roman"/>
          <w:sz w:val="20"/>
        </w:rPr>
        <w:t>https://investors.gtigrows.com</w:t>
      </w:r>
      <w:r>
        <w:rPr>
          <w:rFonts w:ascii="Times New Roman" w:hAnsi="Times New Roman"/>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jc w:val="both"/>
        <w:rPr>
          <w:rFonts w:ascii="Times New Roman" w:hAnsi="Times New Roman"/>
          <w:color w:val="000000"/>
          <w:sz w:val="20"/>
        </w:rPr>
      </w:pPr>
      <w:r>
        <w:rPr>
          <w:rFonts w:ascii="Times New Roman" w:hAnsi="Times New Roman"/>
          <w:color w:val="000000"/>
          <w:sz w:val="20"/>
        </w:rPr>
        <w:t>The Canadian Securities Exchange does not accept responsibility for the adequacy or accuracy of this release.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Contacts: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Mathew Faulkner</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sz w:val="20"/>
        </w:rPr>
      </w:pPr>
      <w:r>
        <w:rPr>
          <w:rFonts w:ascii="Times New Roman" w:hAnsi="Times New Roman"/>
          <w:sz w:val="20"/>
        </w:rPr>
        <w:t>InvestorRelations@gtigrows.com</w:t>
      </w:r>
    </w:p>
    <w:p>
      <w:pPr>
        <w:pStyle w:val="TextBody"/>
        <w:bidi w:val="0"/>
        <w:jc w:val="left"/>
        <w:rPr>
          <w:rFonts w:ascii="Times New Roman" w:hAnsi="Times New Roman"/>
          <w:color w:val="000000"/>
          <w:sz w:val="20"/>
        </w:rPr>
      </w:pPr>
      <w:r>
        <w:rPr>
          <w:rFonts w:ascii="Times New Roman" w:hAnsi="Times New Roman"/>
          <w:color w:val="000000"/>
          <w:sz w:val="20"/>
        </w:rPr>
        <w:t>310-622-8257</w:t>
      </w:r>
    </w:p>
    <w:p>
      <w:pPr>
        <w:pStyle w:val="TextBody"/>
        <w:bidi w:val="0"/>
        <w:jc w:val="left"/>
        <w:rPr>
          <w:rFonts w:ascii="Times New Roman" w:hAnsi="Times New Roman"/>
          <w:sz w:val="20"/>
        </w:rPr>
      </w:pPr>
      <w:r>
        <w:rPr>
          <w:rFonts w:ascii="Times New Roman" w:hAnsi="Times New Roman"/>
          <w:color w:val="000000"/>
          <w:sz w:val="20"/>
        </w:rPr>
        <w:br/>
        <w:t>Andy Grossman</w:t>
        <w:br/>
        <w:t>EVP, Capital Markets &amp; Investor Relations</w:t>
        <w:br/>
      </w:r>
      <w:r>
        <w:rPr>
          <w:rFonts w:ascii="Times New Roman" w:hAnsi="Times New Roman"/>
          <w:sz w:val="20"/>
        </w:rPr>
        <w:t>InvestorRelations@gtigrows.com</w:t>
      </w:r>
      <w:r>
        <w:rPr>
          <w:rFonts w:ascii="Times New Roman" w:hAnsi="Times New Roman"/>
          <w:color w:val="000000"/>
          <w:sz w:val="20"/>
        </w:rPr>
        <w:t xml:space="preserve"> </w:t>
        <w:br/>
        <w:t>310-622-8257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Media Contact:</w:t>
      </w:r>
      <w:r>
        <w:rPr>
          <w:rFonts w:ascii="Times New Roman" w:hAnsi="Times New Roman"/>
          <w:color w:val="000000"/>
          <w:sz w:val="20"/>
        </w:rPr>
        <w:br/>
        <w:t>GTI Communications</w:t>
        <w:br/>
      </w:r>
      <w:r>
        <w:rPr>
          <w:rFonts w:ascii="Times New Roman" w:hAnsi="Times New Roman"/>
          <w:sz w:val="20"/>
        </w:rPr>
        <w:t>media@gtigrows.com</w:t>
      </w:r>
      <w:r>
        <w:rPr>
          <w:rFonts w:ascii="Times New Roman" w:hAnsi="Times New Roman"/>
          <w:color w:val="000000"/>
          <w:sz w:val="20"/>
        </w:rPr>
        <w:t> </w:t>
      </w:r>
    </w:p>
    <w:p>
      <w:pPr>
        <w:pStyle w:val="TextBody"/>
        <w:bidi w:val="0"/>
        <w:jc w:val="left"/>
        <w:rPr>
          <w:rFonts w:ascii="Times New Roman" w:hAnsi="Times New Roman"/>
          <w:b/>
          <w:color w:val="000000"/>
          <w:sz w:val="20"/>
        </w:rPr>
      </w:pPr>
      <w:r>
        <w:rPr>
          <w:rFonts w:ascii="Times New Roman" w:hAnsi="Times New Roman"/>
          <w:b/>
          <w:color w:val="000000"/>
          <w:sz w:val="20"/>
        </w:rPr>
        <w:t>Source: Green Thumb Industries Inc.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5</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Highlights from Unaudited Interim Condensed Consolidated Statements of Operations</w:t>
      </w:r>
    </w:p>
    <w:p>
      <w:pPr>
        <w:pStyle w:val="TextBody"/>
        <w:bidi w:val="0"/>
        <w:jc w:val="left"/>
        <w:rPr>
          <w:rFonts w:ascii="Times New Roman" w:hAnsi="Times New Roman"/>
          <w:b/>
          <w:color w:val="000000"/>
          <w:sz w:val="20"/>
        </w:rPr>
      </w:pPr>
      <w:r>
        <w:rPr>
          <w:rFonts w:ascii="Times New Roman" w:hAnsi="Times New Roman"/>
          <w:b/>
          <w:color w:val="000000"/>
          <w:sz w:val="20"/>
        </w:rPr>
        <w:t>For the Three Months Ended June 30, 2026, March 31, 2026 and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42"/>
        <w:gridCol w:w="169"/>
        <w:gridCol w:w="1256"/>
        <w:gridCol w:w="146"/>
        <w:gridCol w:w="1397"/>
        <w:gridCol w:w="146"/>
        <w:gridCol w:w="1256"/>
        <w:gridCol w:w="393"/>
      </w:tblGrid>
      <w:tr>
        <w:trPr/>
        <w:tc>
          <w:tcPr>
            <w:tcW w:w="54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$293,257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Income</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non-controlling interest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Green Thumb Industries Inc.</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basic</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 diluted</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221,022,912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230,596,682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222,776,252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231,827,061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6</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left"/>
        <w:rPr>
          <w:rFonts w:ascii="Times New Roman" w:hAnsi="Times New Roman"/>
          <w:b/>
          <w:color w:val="000000"/>
          <w:sz w:val="20"/>
        </w:rPr>
      </w:pPr>
      <w:r>
        <w:rPr>
          <w:rFonts w:ascii="Times New Roman" w:hAnsi="Times New Roman"/>
          <w:b/>
          <w:color w:val="000000"/>
          <w:sz w:val="20"/>
        </w:rPr>
        <w:t>Highlights from the Unaudited Interim Condensed Consolidated Balance Sheet</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Thousands of United States Dollars)</w:t>
      </w:r>
    </w:p>
    <w:p>
      <w:pPr>
        <w:pStyle w:val="TextBody"/>
        <w:bidi w:val="0"/>
        <w:jc w:val="left"/>
        <w:rPr/>
      </w:pPr>
      <w:r>
        <w:rPr/>
        <w:t> </w:t>
      </w:r>
    </w:p>
    <w:tbl>
      <w:tblPr>
        <w:tblW w:w="6305" w:type="dxa"/>
        <w:jc w:val="left"/>
        <w:tblInd w:w="0" w:type="dxa"/>
        <w:tblLayout w:type="fixed"/>
        <w:tblCellMar>
          <w:top w:w="28" w:type="dxa"/>
          <w:left w:w="28" w:type="dxa"/>
          <w:bottom w:w="28" w:type="dxa"/>
          <w:right w:w="28" w:type="dxa"/>
        </w:tblCellMar>
      </w:tblPr>
      <w:tblGrid>
        <w:gridCol w:w="4726"/>
        <w:gridCol w:w="146"/>
        <w:gridCol w:w="146"/>
        <w:gridCol w:w="146"/>
        <w:gridCol w:w="114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$283,586</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340,731</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695,708</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242,444</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435,585</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601,479</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215,880</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$2,815,413</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$218,795</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Net of Current Portion and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259,283</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255,376</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221,183</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1,860,776</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$2,815,413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Green Thumb Industries Inc.</w:t>
      </w:r>
    </w:p>
    <w:p>
      <w:pPr>
        <w:pStyle w:val="TextBody"/>
        <w:bidi w:val="0"/>
        <w:jc w:val="left"/>
        <w:rPr>
          <w:rFonts w:ascii="Times New Roman" w:hAnsi="Times New Roman"/>
          <w:sz w:val="20"/>
        </w:rPr>
      </w:pPr>
      <w:r>
        <w:rPr>
          <w:rFonts w:ascii="Times New Roman" w:hAnsi="Times New Roman"/>
          <w:i/>
          <w:color w:val="000000"/>
          <w:sz w:val="20"/>
        </w:rPr>
        <w:t>Page 7</w:t>
      </w:r>
      <w:r>
        <w:rPr>
          <w:rFonts w:ascii="Times New Roman" w:hAnsi="Times New Roman"/>
          <w:color w:val="000000"/>
          <w:sz w:val="20"/>
        </w:rPr>
        <w:t xml:space="preserve"> </w:t>
      </w:r>
      <w:r>
        <w:rPr>
          <w:rFonts w:ascii="Times New Roman" w:hAnsi="Times New Roman"/>
          <w:i/>
          <w:color w:val="000000"/>
          <w:sz w:val="20"/>
        </w:rPr>
        <w:t>of 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Supplemental Information (Unaudited) Regarding Non-GAAP Financial Measures</w:t>
      </w:r>
    </w:p>
    <w:p>
      <w:pPr>
        <w:pStyle w:val="TextBody"/>
        <w:bidi w:val="0"/>
        <w:jc w:val="left"/>
        <w:rPr>
          <w:rFonts w:ascii="Times New Roman" w:hAnsi="Times New Roman"/>
          <w:b/>
          <w:color w:val="000000"/>
          <w:sz w:val="20"/>
        </w:rPr>
      </w:pPr>
      <w:r>
        <w:rPr>
          <w:rFonts w:ascii="Times New Roman" w:hAnsi="Times New Roman"/>
          <w:b/>
          <w:color w:val="000000"/>
          <w:sz w:val="20"/>
        </w:rPr>
        <w:t>For the For the Three Months Ended June 30, 2026, March 31, 2026 and June 30, 2025</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Thousands of United States Dollars)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42804"/>
          <w:sz w:val="20"/>
        </w:rPr>
        <w:t>EBITDA, Adjusted EBITDA, and Normalized EBITDA are non-GAAP measures and do not have standardized definitions under GAAP. We define each term as follows:</w:t>
      </w:r>
      <w:r>
        <w:rPr>
          <w:rFonts w:ascii="Times New Roman" w:hAnsi="Times New Roman"/>
          <w:color w:val="000000"/>
          <w:sz w:val="20"/>
        </w:rPr>
        <w:br/>
        <w:br/>
      </w:r>
      <w:r>
        <w:rPr>
          <w:rFonts w:ascii="Times New Roman" w:hAnsi="Times New Roman"/>
          <w:color w:val="042804"/>
          <w:sz w:val="20"/>
        </w:rPr>
        <w:t>(1) EBITDA is defined as earnings before interest, taxes, other income or expense and depreciation and amortization.</w:t>
      </w:r>
      <w:r>
        <w:rPr>
          <w:rFonts w:ascii="Times New Roman" w:hAnsi="Times New Roman"/>
          <w:color w:val="000000"/>
          <w:sz w:val="20"/>
        </w:rPr>
        <w:br/>
      </w:r>
      <w:r>
        <w:rPr>
          <w:rFonts w:ascii="Times New Roman" w:hAnsi="Times New Roman"/>
          <w:color w:val="042804"/>
          <w:sz w:val="20"/>
        </w:rPr>
        <w:t>(2) Adjusted EBITDA is defined as earnings before interest, taxes, depreciation, and amortization, adjusted for other income, non-cash share-based compensation, one-time transaction related expenses, or other non-operating (income) or costs.</w:t>
      </w:r>
    </w:p>
    <w:p>
      <w:pPr>
        <w:pStyle w:val="TextBody"/>
        <w:bidi w:val="0"/>
        <w:jc w:val="both"/>
        <w:rPr>
          <w:rFonts w:ascii="Times New Roman" w:hAnsi="Times New Roman"/>
          <w:sz w:val="20"/>
        </w:rPr>
      </w:pPr>
      <w:r>
        <w:rPr>
          <w:rFonts w:ascii="Times New Roman" w:hAnsi="Times New Roman"/>
          <w:color w:val="042804"/>
          <w:sz w:val="20"/>
        </w:rPr>
        <w:t xml:space="preserve">(3) Normalized EBITDA is defined as </w:t>
      </w:r>
      <w:r>
        <w:rPr>
          <w:rFonts w:ascii="Times New Roman" w:hAnsi="Times New Roman"/>
          <w:color w:val="000000"/>
          <w:sz w:val="20"/>
        </w:rPr>
        <w:t>Adjusted EBITDA plus brand license fees.</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color w:val="042804"/>
          <w:sz w:val="20"/>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5"/>
        <w:gridCol w:w="146"/>
        <w:gridCol w:w="1195"/>
        <w:gridCol w:w="146"/>
        <w:gridCol w:w="1305"/>
        <w:gridCol w:w="146"/>
        <w:gridCol w:w="1242"/>
      </w:tblGrid>
      <w:tr>
        <w:trPr/>
        <w:tc>
          <w:tcPr>
            <w:tcW w:w="6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29,671</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Before Interest, Taxes, Depreciation and Amortization (EBITDA) (non-GAAP measure)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$69,104</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Non-Cash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Transaction, and Other Non-Operating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(non-GAAP measure)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b/>
                <w:color w:val="000000"/>
                <w:sz w:val="20"/>
              </w:rPr>
            </w:pPr>
            <w:r>
              <w:rPr>
                <w:rFonts w:ascii="Times New Roman" w:hAnsi="Times New Roman"/>
                <w:b/>
                <w:color w:val="000000"/>
                <w:sz w:val="20"/>
              </w:rPr>
              <w:t>$82,740</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 Fee recorded in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Normalized EBITDA (Non-GAAP Measure)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$82,740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3696</Words>
  <Characters>21210</Characters>
  <CharactersWithSpaces>25044</CharactersWithSpaces>
  <Paragraphs>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