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10/A</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146685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left="2420" w:right="660"/>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2">
            <w:col w:w="7400" w:space="720"/>
            <w:col w:w="3040"/>
          </w:cols>
          <w:pgMar w:left="240" w:top="230" w:right="499" w:bottom="1440" w:gutter="0" w:footer="0" w:header="0"/>
          <w:type w:val="continuous"/>
        </w:sectPr>
      </w:pPr>
    </w:p>
    <w:p>
      <w:pPr>
        <w:spacing w:after="0" w:line="12"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160"/>
          </w:cols>
          <w:pgMar w:left="240" w:top="230" w:right="499" w:bottom="1440" w:gutter="0" w:footer="0" w:header="0"/>
          <w:type w:val="continuous"/>
        </w:sectPr>
      </w:pP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325 West Huron Street, Suite 412</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20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(312) 471-6720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160"/>
          </w:cols>
          <w:pgMar w:left="240" w:top="230" w:right="499" w:bottom="1440" w:gutter="0" w:footer="0" w:header="0"/>
          <w:type w:val="continuous"/>
        </w:sectPr>
      </w:pP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None</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Subordinate Voting Shares</w:t>
      </w:r>
    </w:p>
    <w:p>
      <w:pPr>
        <w:jc w:val="center"/>
        <w:ind w:right="-259"/>
        <w:spacing w:after="0" w:line="221" w:lineRule="auto"/>
        <w:rPr>
          <w:sz w:val="20"/>
          <w:szCs w:val="20"/>
          <w:color w:val="auto"/>
        </w:rPr>
      </w:pPr>
      <w:r>
        <w:rPr>
          <w:rFonts w:ascii="Arial" w:cs="Arial" w:eastAsia="Arial" w:hAnsi="Arial"/>
          <w:sz w:val="14"/>
          <w:szCs w:val="14"/>
          <w:b w:val="1"/>
          <w:bCs w:val="1"/>
          <w:color w:val="auto"/>
        </w:rPr>
        <w:t>Multiple Voting Shares</w:t>
      </w:r>
    </w:p>
    <w:p>
      <w:pPr>
        <w:jc w:val="center"/>
        <w:ind w:right="-259"/>
        <w:spacing w:after="0"/>
        <w:rPr>
          <w:sz w:val="20"/>
          <w:szCs w:val="20"/>
          <w:color w:val="auto"/>
        </w:rPr>
      </w:pPr>
      <w:r>
        <w:rPr>
          <w:rFonts w:ascii="Arial" w:cs="Arial" w:eastAsia="Arial" w:hAnsi="Arial"/>
          <w:sz w:val="14"/>
          <w:szCs w:val="14"/>
          <w:b w:val="1"/>
          <w:bCs w:val="1"/>
          <w:color w:val="auto"/>
        </w:rPr>
        <w:t>Super Voting Shares</w:t>
      </w: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200"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4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2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IMPLICATIONS OF BEING AN EMERGING GROWTH COMPANY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2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DISCLOSURE REGARDING FORWARD-LOOKING STATEMENTS</w:t>
              </w:r>
            </w:hyperlink>
          </w:p>
        </w:tc>
        <w:tc>
          <w:tcPr>
            <w:tcW w:w="54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52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 BUSINESS</w:t>
              </w:r>
            </w:hyperlink>
          </w:p>
        </w:tc>
        <w:tc>
          <w:tcPr>
            <w:tcW w:w="914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2. FINANCIAL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3. PROPERTIES</w:t>
              </w:r>
            </w:hyperlink>
          </w:p>
        </w:tc>
        <w:tc>
          <w:tcPr>
            <w:tcW w:w="1200" w:type="dxa"/>
            <w:vAlign w:val="bottom"/>
            <w:tcBorders>
              <w:top w:val="single" w:sz="8" w:color="0000EE"/>
            </w:tcBorders>
            <w:gridSpan w:val="3"/>
          </w:tcPr>
          <w:p>
            <w:pPr>
              <w:spacing w:after="0"/>
              <w:rPr>
                <w:sz w:val="24"/>
                <w:szCs w:val="24"/>
                <w:color w:val="auto"/>
              </w:rPr>
            </w:pPr>
          </w:p>
        </w:tc>
        <w:tc>
          <w:tcPr>
            <w:tcW w:w="774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740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72">
              <w:r>
                <w:rPr>
                  <w:rFonts w:ascii="Arial" w:cs="Arial" w:eastAsia="Arial" w:hAnsi="Arial"/>
                  <w:sz w:val="18"/>
                  <w:szCs w:val="18"/>
                  <w:color w:val="0000EE"/>
                  <w:w w:val="96"/>
                </w:rPr>
                <w:t>ITEM 4. SECURITY OWNERSHIP OF CERTAIN BENEFICIAL OWNERS AND MANAGEMENT</w:t>
              </w:r>
            </w:hyperlink>
          </w:p>
        </w:tc>
        <w:tc>
          <w:tcPr>
            <w:tcW w:w="32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5. DIRECTORS AND EXECUTIVE OFFICERS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31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ITEM 6. EXECUTIVE COMPENSATION</w:t>
              </w:r>
            </w:hyperlink>
          </w:p>
        </w:tc>
        <w:tc>
          <w:tcPr>
            <w:tcW w:w="920" w:type="dxa"/>
            <w:vAlign w:val="bottom"/>
            <w:tcBorders>
              <w:top w:val="single" w:sz="8" w:color="0000EE"/>
            </w:tcBorders>
          </w:tcPr>
          <w:p>
            <w:pPr>
              <w:spacing w:after="0"/>
              <w:rPr>
                <w:sz w:val="24"/>
                <w:szCs w:val="24"/>
                <w:color w:val="auto"/>
              </w:rPr>
            </w:pPr>
          </w:p>
        </w:tc>
        <w:tc>
          <w:tcPr>
            <w:tcW w:w="662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04"/>
        </w:trPr>
        <w:tc>
          <w:tcPr>
            <w:tcW w:w="794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ITEM 7. CERTAIN RELATIONSHIPS AND RELATED TRANSACTIONS, DIRECTOR INDEPENDENCE</w:t>
              </w:r>
            </w:hyperlink>
          </w:p>
        </w:tc>
        <w:tc>
          <w:tcPr>
            <w:tcW w:w="272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8. 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9. MARKET PRICE OF AND DIVIDENDS ON THE REGISTRANT’S COMMON EQUITY AND RELATED STOCKHOLDER</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MATTERS</w:t>
              </w:r>
            </w:hyperlink>
          </w:p>
        </w:tc>
        <w:tc>
          <w:tcPr>
            <w:tcW w:w="7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ITEM 10. RECENT SALES OF UNREGISTERED SECURITIES</w:t>
              </w:r>
            </w:hyperlink>
          </w:p>
        </w:tc>
        <w:tc>
          <w:tcPr>
            <w:tcW w:w="58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11. DESCRIPTION OF THE REGISTRANT’S SECURITIES TO BE REGISTERED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04"/>
        </w:trPr>
        <w:tc>
          <w:tcPr>
            <w:tcW w:w="50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6"/>
              </w:rPr>
            </w:pPr>
            <w:hyperlink w:anchor="page95">
              <w:r>
                <w:rPr>
                  <w:rFonts w:ascii="Arial" w:cs="Arial" w:eastAsia="Arial" w:hAnsi="Arial"/>
                  <w:sz w:val="18"/>
                  <w:szCs w:val="18"/>
                  <w:color w:val="0000EE"/>
                  <w:w w:val="96"/>
                </w:rPr>
                <w:t>ITEM 12. INDEMNIFICATION OF DIRECTORS AND OFFICERS</w:t>
              </w:r>
            </w:hyperlink>
          </w:p>
        </w:tc>
        <w:tc>
          <w:tcPr>
            <w:tcW w:w="1680" w:type="dxa"/>
            <w:vAlign w:val="bottom"/>
            <w:tcBorders>
              <w:top w:val="single" w:sz="8" w:color="0000EE"/>
            </w:tcBorders>
            <w:gridSpan w:val="4"/>
          </w:tcPr>
          <w:p>
            <w:pPr>
              <w:spacing w:after="0"/>
              <w:rPr>
                <w:sz w:val="24"/>
                <w:szCs w:val="24"/>
                <w:color w:val="auto"/>
              </w:rPr>
            </w:pPr>
          </w:p>
        </w:tc>
        <w:tc>
          <w:tcPr>
            <w:tcW w:w="398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4"/>
        </w:trPr>
        <w:tc>
          <w:tcPr>
            <w:tcW w:w="54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ITEM 13. FINANCIAL STATEMENTS AND SUPPLEMENTARY DATA</w:t>
              </w:r>
            </w:hyperlink>
          </w:p>
        </w:tc>
        <w:tc>
          <w:tcPr>
            <w:tcW w:w="524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4"/>
        </w:trPr>
        <w:tc>
          <w:tcPr>
            <w:tcW w:w="944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ITEM 14. CHANGES IN AND DISAGREEMENTS WITH AUDITORS ON ACCOUNTING AND FINANCIAL DISCLOSURE</w:t>
              </w:r>
            </w:hyperlink>
          </w:p>
        </w:tc>
        <w:tc>
          <w:tcPr>
            <w:tcW w:w="12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15. FINANCIAL STATEMENTS AND 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04"/>
        </w:trPr>
        <w:tc>
          <w:tcPr>
            <w:tcW w:w="4200" w:type="dxa"/>
            <w:vAlign w:val="bottom"/>
            <w:tcBorders>
              <w:top w:val="single" w:sz="8" w:color="0000EE"/>
            </w:tcBorders>
            <w:gridSpan w:val="1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APPENDIX A</w:t>
              </w:r>
            </w:hyperlink>
          </w:p>
        </w:tc>
        <w:tc>
          <w:tcPr>
            <w:tcW w:w="646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34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EXHIBIT INDEX</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of 1933, as amended, which we refer to as the “</w:t>
      </w:r>
      <w:r>
        <w:rPr>
          <w:rFonts w:ascii="Arial" w:cs="Arial" w:eastAsia="Arial" w:hAnsi="Arial"/>
          <w:sz w:val="18"/>
          <w:szCs w:val="18"/>
          <w:b w:val="1"/>
          <w:bCs w:val="1"/>
          <w:color w:val="auto"/>
        </w:rPr>
        <w:t>Securities Act</w:t>
      </w:r>
      <w:r>
        <w:rPr>
          <w:rFonts w:ascii="Arial" w:cs="Arial" w:eastAsia="Arial" w:hAnsi="Arial"/>
          <w:sz w:val="18"/>
          <w:szCs w:val="18"/>
          <w:color w:val="auto"/>
        </w:rPr>
        <w:t>,” as modified by the Jumpstart Our Business Startups Act of 2012, or the “</w:t>
      </w:r>
      <w:r>
        <w:rPr>
          <w:rFonts w:ascii="Arial" w:cs="Arial" w:eastAsia="Arial" w:hAnsi="Arial"/>
          <w:sz w:val="18"/>
          <w:szCs w:val="18"/>
          <w:b w:val="1"/>
          <w:bCs w:val="1"/>
          <w:color w:val="auto"/>
        </w:rPr>
        <w:t>JOBS Act</w:t>
      </w:r>
      <w:r>
        <w:rPr>
          <w:rFonts w:ascii="Arial" w:cs="Arial" w:eastAsia="Arial" w:hAnsi="Arial"/>
          <w:sz w:val="18"/>
          <w:szCs w:val="18"/>
          <w:color w:val="auto"/>
        </w:rPr>
        <w:t>.” As an emerging growth company, we may take advantage of specified reduced disclosure and other exemptions from requirements that are otherwise applicable to public companies that are not emerging growth companies. These provisions include:</w:t>
      </w:r>
    </w:p>
    <w:p>
      <w:pPr>
        <w:spacing w:after="0" w:line="94" w:lineRule="exact"/>
        <w:rPr>
          <w:sz w:val="20"/>
          <w:szCs w:val="20"/>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Exemptions from non-binding shareholder advisory votes on executive compensation or golden parachute arrangements;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if we have more than $1.07 billion in annual revenues as of the end of a fiscal year, if we are deemed to be a large-accelerated filer under the rules of the Securities and Exchange Commission or if we issue more than $1.0 billion of non-convertible debt over a three-year period.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You should rely only on the information contained in this document or to which we have referred you. We have not authorized anyone to provide you with information that is different. You should assume that the information contained in this document is accurate as of the date of this registration statement on Form 10 only.</w:t>
      </w:r>
    </w:p>
    <w:p>
      <w:pPr>
        <w:spacing w:after="0" w:line="177" w:lineRule="exact"/>
        <w:rPr>
          <w:sz w:val="20"/>
          <w:szCs w:val="20"/>
          <w:color w:val="auto"/>
        </w:rPr>
      </w:pPr>
    </w:p>
    <w:p>
      <w:pPr>
        <w:jc w:val="both"/>
        <w:ind w:left="200" w:right="280" w:firstLine="441"/>
        <w:spacing w:after="0" w:line="258" w:lineRule="auto"/>
        <w:rPr>
          <w:sz w:val="20"/>
          <w:szCs w:val="20"/>
          <w:color w:val="auto"/>
        </w:rPr>
      </w:pPr>
      <w:r>
        <w:rPr>
          <w:rFonts w:ascii="Arial" w:cs="Arial" w:eastAsia="Arial" w:hAnsi="Arial"/>
          <w:sz w:val="18"/>
          <w:szCs w:val="18"/>
          <w:color w:val="auto"/>
        </w:rPr>
        <w:t>This registration statement will become effective automatically 60 days from the date of the original filing (the “</w:t>
      </w:r>
      <w:r>
        <w:rPr>
          <w:rFonts w:ascii="Arial" w:cs="Arial" w:eastAsia="Arial" w:hAnsi="Arial"/>
          <w:sz w:val="18"/>
          <w:szCs w:val="18"/>
          <w:b w:val="1"/>
          <w:bCs w:val="1"/>
          <w:color w:val="auto"/>
        </w:rPr>
        <w:t>Effective Date</w:t>
      </w:r>
      <w:r>
        <w:rPr>
          <w:rFonts w:ascii="Arial" w:cs="Arial" w:eastAsia="Arial" w:hAnsi="Arial"/>
          <w:sz w:val="18"/>
          <w:szCs w:val="18"/>
          <w:color w:val="auto"/>
        </w:rPr>
        <w:t>”), pursuant to Section 12(g)(1)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As of the Effective Date, we will become subject to the reporting requirements of Section 13(a) under the Exchange Act and will be required to file annual reports on Form 10-K, quarterly reports on Form 10-Q and current reports on Form 8-K, and we will be required to comply with all other obligations of the Exchange Act applicable to issuers filing registration statements pursuant to Section 12(g) of the Exchange Act.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Names</w:t>
      </w:r>
    </w:p>
    <w:p>
      <w:pPr>
        <w:spacing w:after="0" w:line="117" w:lineRule="exact"/>
        <w:rPr>
          <w:sz w:val="20"/>
          <w:szCs w:val="20"/>
          <w:color w:val="auto"/>
        </w:rPr>
      </w:pPr>
    </w:p>
    <w:p>
      <w:pPr>
        <w:ind w:left="200" w:right="200" w:firstLine="441"/>
        <w:spacing w:after="0" w:line="266" w:lineRule="auto"/>
        <w:rPr>
          <w:sz w:val="20"/>
          <w:szCs w:val="20"/>
          <w:color w:val="auto"/>
        </w:rPr>
      </w:pPr>
      <w:r>
        <w:rPr>
          <w:rFonts w:ascii="Arial" w:cs="Arial" w:eastAsia="Arial" w:hAnsi="Arial"/>
          <w:sz w:val="18"/>
          <w:szCs w:val="18"/>
          <w:color w:val="auto"/>
        </w:rPr>
        <w:t>In this registration statement on Form 10, unless the context otherwise requires, the terms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Corporation</w:t>
      </w:r>
      <w:r>
        <w:rPr>
          <w:rFonts w:ascii="Arial" w:cs="Arial" w:eastAsia="Arial" w:hAnsi="Arial"/>
          <w:sz w:val="18"/>
          <w:szCs w:val="18"/>
          <w:color w:val="auto"/>
        </w:rPr>
        <w:t>” or “</w:t>
      </w:r>
      <w:r>
        <w:rPr>
          <w:rFonts w:ascii="Arial" w:cs="Arial" w:eastAsia="Arial" w:hAnsi="Arial"/>
          <w:sz w:val="18"/>
          <w:szCs w:val="18"/>
          <w:b w:val="1"/>
          <w:bCs w:val="1"/>
          <w:color w:val="auto"/>
        </w:rPr>
        <w:t>GTI</w:t>
      </w:r>
      <w:r>
        <w:rPr>
          <w:rFonts w:ascii="Arial" w:cs="Arial" w:eastAsia="Arial" w:hAnsi="Arial"/>
          <w:sz w:val="18"/>
          <w:szCs w:val="18"/>
          <w:color w:val="auto"/>
        </w:rPr>
        <w:t>” refer to Green Thumb Industries Inc. together with its wholly-owned subsidiaries. References to “</w:t>
      </w:r>
      <w:r>
        <w:rPr>
          <w:rFonts w:ascii="Arial" w:cs="Arial" w:eastAsia="Arial" w:hAnsi="Arial"/>
          <w:sz w:val="18"/>
          <w:szCs w:val="18"/>
          <w:b w:val="1"/>
          <w:bCs w:val="1"/>
          <w:color w:val="auto"/>
        </w:rPr>
        <w:t>Bayswater</w:t>
      </w:r>
      <w:r>
        <w:rPr>
          <w:rFonts w:ascii="Arial" w:cs="Arial" w:eastAsia="Arial" w:hAnsi="Arial"/>
          <w:sz w:val="18"/>
          <w:szCs w:val="18"/>
          <w:color w:val="auto"/>
        </w:rPr>
        <w:t>” refer to the Corporation prior to completion of the Transaction (as hereinafter defined).</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Unless otherwise indicated, all references to “$” or “US$” in this registration statement refer to United States dollars, and all references to “C$” refer to Canadian dollars.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This registration statement on Form 10 contains statements that we believe are, or may be considered to be, “forward-looking statements.” All statements other than statements of historical fact included in this registration statement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i w:val="1"/>
          <w:iCs w:val="1"/>
          <w:color w:val="auto"/>
        </w:rPr>
        <w:t>”)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registration statement,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registration statement.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200" w:right="300" w:firstLine="441"/>
        <w:spacing w:after="0" w:line="266" w:lineRule="auto"/>
        <w:rPr>
          <w:sz w:val="20"/>
          <w:szCs w:val="20"/>
          <w:color w:val="auto"/>
        </w:rPr>
      </w:pPr>
      <w:r>
        <w:rPr>
          <w:rFonts w:ascii="Arial" w:cs="Arial" w:eastAsia="Arial" w:hAnsi="Arial"/>
          <w:sz w:val="18"/>
          <w:szCs w:val="18"/>
          <w:color w:val="auto"/>
        </w:rPr>
        <w:t>Green Thumb Industries Inc. is a reporting issuer in Canada listed for trading on the Canadian Securities Exchange (“</w:t>
      </w:r>
      <w:r>
        <w:rPr>
          <w:rFonts w:ascii="Arial" w:cs="Arial" w:eastAsia="Arial" w:hAnsi="Arial"/>
          <w:sz w:val="18"/>
          <w:szCs w:val="18"/>
          <w:b w:val="1"/>
          <w:bCs w:val="1"/>
          <w:color w:val="auto"/>
        </w:rPr>
        <w:t>CSE</w:t>
      </w:r>
      <w:r>
        <w:rPr>
          <w:rFonts w:ascii="Arial" w:cs="Arial" w:eastAsia="Arial" w:hAnsi="Arial"/>
          <w:sz w:val="18"/>
          <w:szCs w:val="18"/>
          <w:color w:val="auto"/>
        </w:rPr>
        <w:t>”) under the symbol “GTII.” The Corporation’s Subordinate Voting Shares (as hereinafter defined) are also traded in the United States on the OTCQX Best Market (the “</w:t>
      </w:r>
      <w:r>
        <w:rPr>
          <w:rFonts w:ascii="Arial" w:cs="Arial" w:eastAsia="Arial" w:hAnsi="Arial"/>
          <w:sz w:val="18"/>
          <w:szCs w:val="18"/>
          <w:b w:val="1"/>
          <w:bCs w:val="1"/>
          <w:color w:val="auto"/>
        </w:rPr>
        <w:t>OTCQX</w:t>
      </w:r>
      <w:r>
        <w:rPr>
          <w:rFonts w:ascii="Arial" w:cs="Arial" w:eastAsia="Arial" w:hAnsi="Arial"/>
          <w:sz w:val="18"/>
          <w:szCs w:val="18"/>
          <w:color w:val="auto"/>
        </w:rPr>
        <w:t>”) under the symbol “GTBIF.”</w:t>
      </w:r>
    </w:p>
    <w:p>
      <w:pPr>
        <w:spacing w:after="0" w:line="18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Originally founded in 2014, GTI began operations in 2015 upon the award of a medical marijuana license for cultivation/processing and retail in Illinois. The Company has since expanded its operational footprint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12 U.S. markets, including California, Colorado, Connecticut, Florida, Maryland, Massachusetts, Nevada, New Jersey, New York, Ohio and Pennsylvania. Currently, GTI owns, manufactures and distributes a portfolio of cannabis consumer packaged goods brands (which we refer to as our consumer products or wholesale business), including Beboe, Dogwalkers, Dr. Solomon’s, incredibles, Rythm and The Feel Collection, primarily to third-party licensed retail cannabis stores across the United States as well as to GTI-owned retail stores. The Company also owns and operates a rapidly growing national chain of retail cannabis stores called Rise and, in the Las Vegas, Nevada area, a chain of stores called Essence, which both sell GTI and third-party products (which we refer to as our retail business).</w:t>
      </w:r>
    </w:p>
    <w:p>
      <w:pPr>
        <w:spacing w:after="0" w:line="193"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Corporation, through its subsidiaries, owns interests in several state-licensed medical and/or adult use marijuana businesses in Connecticut, Florida, Illinois, Maryland, Massachusetts, Nevada, New Jersey, New York, Ohio and Pennsylvania. The Corporation also licenses its intellectual property and certain brands to licensees in California and Colorado. The following organizational chart describes the organizational structure of the Corporation as of November 30, 2019. See Exhibit 21.1 to this registration statement for a list of subsidiaries of the Corporation. All lines represent 100% ownership of outstanding securities of the applicable subsidiary unless otherwise noted in 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126365</wp:posOffset>
            </wp:positionV>
            <wp:extent cx="5188585" cy="3704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858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registered office of the Corporation is located at 250 Howe Street, 20</w:t>
      </w:r>
      <w:r>
        <w:rPr>
          <w:rFonts w:ascii="Arial" w:cs="Arial" w:eastAsia="Arial" w:hAnsi="Arial"/>
          <w:sz w:val="15"/>
          <w:szCs w:val="15"/>
          <w:color w:val="auto"/>
        </w:rPr>
        <w:t>th</w:t>
      </w:r>
      <w:r>
        <w:rPr>
          <w:rFonts w:ascii="Arial" w:cs="Arial" w:eastAsia="Arial" w:hAnsi="Arial"/>
          <w:sz w:val="18"/>
          <w:szCs w:val="18"/>
          <w:color w:val="auto"/>
        </w:rPr>
        <w:t xml:space="preserve"> Floor, Vancouver, British Columbia V6C 3R8. The head office is located at 325 W. Huron Street, Suite 412, Chicago, Illinois 60654.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the Corporation</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 xml:space="preserve">The Corporation was incorporated under the </w:t>
      </w:r>
      <w:r>
        <w:rPr>
          <w:rFonts w:ascii="Arial" w:cs="Arial" w:eastAsia="Arial" w:hAnsi="Arial"/>
          <w:sz w:val="18"/>
          <w:szCs w:val="18"/>
          <w:i w:val="1"/>
          <w:iCs w:val="1"/>
          <w:color w:val="auto"/>
        </w:rPr>
        <w:t>Company Act</w:t>
      </w:r>
      <w:r>
        <w:rPr>
          <w:rFonts w:ascii="Arial" w:cs="Arial" w:eastAsia="Arial" w:hAnsi="Arial"/>
          <w:sz w:val="18"/>
          <w:szCs w:val="18"/>
          <w:color w:val="auto"/>
        </w:rPr>
        <w:t xml:space="preserve"> (British Columbia) on June 26, 1979 under the name “Dalmatian Resources Ltd.” On February 18, 2002, the Corporation changed its name to “Enwest Ventures Corp.” Further, on February 25, 2003, the Corporation changed its name to “Bayswater Ventures Corp.” In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00"/>
        <w:spacing w:after="0" w:line="277" w:lineRule="auto"/>
        <w:rPr>
          <w:sz w:val="20"/>
          <w:szCs w:val="20"/>
          <w:color w:val="auto"/>
        </w:rPr>
      </w:pPr>
      <w:r>
        <w:rPr>
          <w:rFonts w:ascii="Arial" w:cs="Arial" w:eastAsia="Arial" w:hAnsi="Arial"/>
          <w:sz w:val="18"/>
          <w:szCs w:val="18"/>
          <w:color w:val="auto"/>
        </w:rPr>
        <w:t>August 2006, the Corporation changed its name from Bayswater Ventures Corp. to “Bayswater Uranium Corporation” following a Canadian amalgamation transaction with Pathfinder Resources Ltd.</w:t>
      </w:r>
    </w:p>
    <w:p>
      <w:pPr>
        <w:spacing w:after="0" w:line="170"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 xml:space="preserve">On July 18, 2007, under a plan of arrangement, the Corporation amalgamated with Kilgore Minerals Ltd., a company incorporated under the </w:t>
      </w:r>
      <w:r>
        <w:rPr>
          <w:rFonts w:ascii="Arial" w:cs="Arial" w:eastAsia="Arial" w:hAnsi="Arial"/>
          <w:sz w:val="18"/>
          <w:szCs w:val="18"/>
          <w:i w:val="1"/>
          <w:iCs w:val="1"/>
          <w:color w:val="auto"/>
        </w:rPr>
        <w:t xml:space="preserve">Canada Business Corporations Act </w:t>
      </w:r>
      <w:r>
        <w:rPr>
          <w:rFonts w:ascii="Arial" w:cs="Arial" w:eastAsia="Arial" w:hAnsi="Arial"/>
          <w:sz w:val="18"/>
          <w:szCs w:val="18"/>
          <w:color w:val="auto"/>
        </w:rPr>
        <w:t>(the “</w:t>
      </w:r>
      <w:r>
        <w:rPr>
          <w:rFonts w:ascii="Arial" w:cs="Arial" w:eastAsia="Arial" w:hAnsi="Arial"/>
          <w:sz w:val="18"/>
          <w:szCs w:val="18"/>
          <w:b w:val="1"/>
          <w:bCs w:val="1"/>
          <w:color w:val="auto"/>
        </w:rPr>
        <w:t>CBCA</w:t>
      </w:r>
      <w:r>
        <w:rPr>
          <w:rFonts w:ascii="Arial" w:cs="Arial" w:eastAsia="Arial" w:hAnsi="Arial"/>
          <w:sz w:val="18"/>
          <w:szCs w:val="18"/>
          <w:color w:val="auto"/>
        </w:rPr>
        <w:t>”) on June 21, 2002 and continued into the Province of British Columbia under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(British Columbia) (the “</w:t>
      </w:r>
      <w:r>
        <w:rPr>
          <w:rFonts w:ascii="Arial" w:cs="Arial" w:eastAsia="Arial" w:hAnsi="Arial"/>
          <w:sz w:val="18"/>
          <w:szCs w:val="18"/>
          <w:b w:val="1"/>
          <w:bCs w:val="1"/>
          <w:color w:val="auto"/>
        </w:rPr>
        <w:t>BCBCA</w:t>
      </w:r>
      <w:r>
        <w:rPr>
          <w:rFonts w:ascii="Arial" w:cs="Arial" w:eastAsia="Arial" w:hAnsi="Arial"/>
          <w:sz w:val="18"/>
          <w:szCs w:val="18"/>
          <w:color w:val="auto"/>
        </w:rPr>
        <w:t>”) on December 7, 2006. Following the plan of arrangement, Kilgore Minerals Ltd. changed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 to “Bayswater Uranium Corporation” on July 24, 2007.</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Subsequent to the Corporation’s financial year ended February 28, 2018, the Corporation completed the Transaction (as hereinafter defined), filed Articles of Amendment in the Province of British Columbia to effect the name change from “Bayswater Uranium Corporation” to “Green Thumb Industries Inc.” and continued the business of VCP23, LLC (“</w:t>
      </w:r>
      <w:r>
        <w:rPr>
          <w:rFonts w:ascii="Arial" w:cs="Arial" w:eastAsia="Arial" w:hAnsi="Arial"/>
          <w:sz w:val="18"/>
          <w:szCs w:val="18"/>
          <w:b w:val="1"/>
          <w:bCs w:val="1"/>
          <w:color w:val="auto"/>
        </w:rPr>
        <w:t>VCP</w:t>
      </w:r>
      <w:r>
        <w:rPr>
          <w:rFonts w:ascii="Arial" w:cs="Arial" w:eastAsia="Arial" w:hAnsi="Arial"/>
          <w:sz w:val="18"/>
          <w:szCs w:val="18"/>
          <w:color w:val="auto"/>
        </w:rPr>
        <w:t>”). VCP was formed in the State of Delaware on November 27, 2017. The entity had no activity or financials in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Transaction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1, 2018, the Corporation completed a restructuring to consolidate its organizational structure. RCP23, LLC, which had operations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Maryland, Massachusetts, Nevada and Pennsylvania, and GTI-Clinic Illinois Holdings, LLC, which had operations in Illinois, restructured and each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entity contributed certain assets and real estate to VCP or its subsidiaries. Simultaneously, GTI-Clinic Illinois Holdings, LLC transferred its membership</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interests in the Illinois licensed medical businesses to GTI Core, LLC. Prior to the closing of the Transaction, VCP was acquired by GTI23, Inc.</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GTI23</w:t>
      </w:r>
      <w:r>
        <w:rPr>
          <w:rFonts w:ascii="Arial" w:cs="Arial" w:eastAsia="Arial" w:hAnsi="Arial"/>
          <w:sz w:val="16"/>
          <w:szCs w:val="16"/>
          <w:color w:val="auto"/>
        </w:rPr>
        <w:t>”) and the members of VCP exchanged their membership interests in VCP in exchange for shares of GTI23. The transaction did not include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outside parties that were not previously members of RCP23, LLC or GTI-Clinic Illinois Holdings, LLC. The transaction did involve certain current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directors and officers of the Corporation that, at the time, were members of the RCP23, LLC and/or GTI-Clinic Illinois Holdings, LLC entities.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12, 2018, the Corporation, 1165318 B.C. Ltd. (a wholly-owned subsidiary of Bayswater) (“</w:t>
      </w:r>
      <w:r>
        <w:rPr>
          <w:rFonts w:ascii="Arial" w:cs="Arial" w:eastAsia="Arial" w:hAnsi="Arial"/>
          <w:sz w:val="17"/>
          <w:szCs w:val="17"/>
          <w:b w:val="1"/>
          <w:bCs w:val="1"/>
          <w:color w:val="auto"/>
        </w:rPr>
        <w:t>Subco</w:t>
      </w:r>
      <w:r>
        <w:rPr>
          <w:rFonts w:ascii="Arial" w:cs="Arial" w:eastAsia="Arial" w:hAnsi="Arial"/>
          <w:sz w:val="17"/>
          <w:szCs w:val="17"/>
          <w:color w:val="auto"/>
        </w:rPr>
        <w:t>”), VCP, GTI23 and GTI Finco Inc.</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GTI Finco</w:t>
      </w:r>
      <w:r>
        <w:rPr>
          <w:rFonts w:ascii="Arial" w:cs="Arial" w:eastAsia="Arial" w:hAnsi="Arial"/>
          <w:sz w:val="16"/>
          <w:szCs w:val="16"/>
          <w:color w:val="auto"/>
        </w:rPr>
        <w:t>”) entered into a Business Combination Agreement whereby the Corporation, Subco, VCP, GTI23 and GTI Finco combined their respective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businesses (the “</w:t>
      </w:r>
      <w:r>
        <w:rPr>
          <w:rFonts w:ascii="Arial" w:cs="Arial" w:eastAsia="Arial" w:hAnsi="Arial"/>
          <w:sz w:val="17"/>
          <w:szCs w:val="17"/>
          <w:b w:val="1"/>
          <w:bCs w:val="1"/>
          <w:color w:val="auto"/>
        </w:rPr>
        <w:t>Transaction</w:t>
      </w:r>
      <w:r>
        <w:rPr>
          <w:rFonts w:ascii="Arial" w:cs="Arial" w:eastAsia="Arial" w:hAnsi="Arial"/>
          <w:sz w:val="17"/>
          <w:szCs w:val="17"/>
          <w:color w:val="auto"/>
        </w:rPr>
        <w:t>”). The Transaction was structured as a series of transactions, including a Canadian three-cornered amalgamation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 and a series of U.S. reorganization steps, for the purpose of raising capital from third-party and related party investors simultaneously with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closing of the Transaction. The Corporation (formerly Bayswater) had no active business operations leading up to completion of the Transaction.</w:t>
      </w:r>
    </w:p>
    <w:p>
      <w:pPr>
        <w:spacing w:after="0" w:line="23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connection with the Transaction, the Corporation disposed of its uranium-based assets, changed its name from “Bayswater Uranium Corporation” to “Green Thumb Industries Inc.” and consolidated its existing common shares on the basis of one Subordinate Voting Share for each 368 existing common shares of the Corporation.</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At a meeting of the Corporation’s shareholders on June 11, 2018, the shareholders approved a resolution to restructure the Corporation’s share capital to, among other things, re-designate its existing common shares as subordinate voting shares (“</w:t>
      </w:r>
      <w:r>
        <w:rPr>
          <w:rFonts w:ascii="Arial" w:cs="Arial" w:eastAsia="Arial" w:hAnsi="Arial"/>
          <w:sz w:val="17"/>
          <w:szCs w:val="17"/>
          <w:b w:val="1"/>
          <w:bCs w:val="1"/>
          <w:color w:val="auto"/>
        </w:rPr>
        <w:t>Subordinate Voting Shares</w:t>
      </w:r>
      <w:r>
        <w:rPr>
          <w:rFonts w:ascii="Arial" w:cs="Arial" w:eastAsia="Arial" w:hAnsi="Arial"/>
          <w:sz w:val="17"/>
          <w:szCs w:val="17"/>
          <w:color w:val="auto"/>
        </w:rPr>
        <w:t>”) and create a class of multiple voting shares (“</w:t>
      </w:r>
      <w:r>
        <w:rPr>
          <w:rFonts w:ascii="Arial" w:cs="Arial" w:eastAsia="Arial" w:hAnsi="Arial"/>
          <w:sz w:val="17"/>
          <w:szCs w:val="17"/>
          <w:b w:val="1"/>
          <w:bCs w:val="1"/>
          <w:color w:val="auto"/>
        </w:rPr>
        <w:t>Multiple Voting Shares</w:t>
      </w:r>
      <w:r>
        <w:rPr>
          <w:rFonts w:ascii="Arial" w:cs="Arial" w:eastAsia="Arial" w:hAnsi="Arial"/>
          <w:sz w:val="17"/>
          <w:szCs w:val="17"/>
          <w:color w:val="auto"/>
        </w:rPr>
        <w:t>”) and super voting shares (“</w:t>
      </w:r>
      <w:r>
        <w:rPr>
          <w:rFonts w:ascii="Arial" w:cs="Arial" w:eastAsia="Arial" w:hAnsi="Arial"/>
          <w:sz w:val="17"/>
          <w:szCs w:val="17"/>
          <w:b w:val="1"/>
          <w:bCs w:val="1"/>
          <w:color w:val="auto"/>
        </w:rPr>
        <w:t>Super Voting Shares</w:t>
      </w:r>
      <w:r>
        <w:rPr>
          <w:rFonts w:ascii="Arial" w:cs="Arial" w:eastAsia="Arial" w:hAnsi="Arial"/>
          <w:sz w:val="17"/>
          <w:szCs w:val="17"/>
          <w:color w:val="auto"/>
        </w:rPr>
        <w: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Corporation, Subco and GTI Finco were parties to a Canadian three-cornered amalgamation (the “</w:t>
      </w:r>
      <w:r>
        <w:rPr>
          <w:rFonts w:ascii="Arial" w:cs="Arial" w:eastAsia="Arial" w:hAnsi="Arial"/>
          <w:sz w:val="18"/>
          <w:szCs w:val="18"/>
          <w:b w:val="1"/>
          <w:bCs w:val="1"/>
          <w:color w:val="auto"/>
        </w:rPr>
        <w:t>Amalgamation</w:t>
      </w:r>
      <w:r>
        <w:rPr>
          <w:rFonts w:ascii="Arial" w:cs="Arial" w:eastAsia="Arial" w:hAnsi="Arial"/>
          <w:sz w:val="18"/>
          <w:szCs w:val="18"/>
          <w:color w:val="auto"/>
        </w:rPr>
        <w:t>”) whereby:</w:t>
      </w:r>
    </w:p>
    <w:p>
      <w:pPr>
        <w:spacing w:after="0" w:line="135" w:lineRule="exact"/>
        <w:rPr>
          <w:sz w:val="20"/>
          <w:szCs w:val="20"/>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GTI Finco shareholders received Subordinate Voting Shares of the Corporation on a one-for-one basis;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members of VCP contributed their membership interests to GTI23 for shares of GTI23;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of VCP then contributed their shares of GTI23 to GTI in exchange for Super Voting Shares and Multiple Voting Shares of GTI.</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SR Offering</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Prior to the Transaction, GTI Finco (a special purpose corporation wholly-owned by VCP), completed a brokered and a non-brokered subscription receipt financing at a price of C$7.75 per subscription receipt for aggregate gross proceeds of approximately $64.1 million (C$87 million) (the “</w:t>
      </w:r>
      <w:r>
        <w:rPr>
          <w:rFonts w:ascii="Arial" w:cs="Arial" w:eastAsia="Arial" w:hAnsi="Arial"/>
          <w:sz w:val="17"/>
          <w:szCs w:val="17"/>
          <w:b w:val="1"/>
          <w:bCs w:val="1"/>
          <w:color w:val="auto"/>
        </w:rPr>
        <w:t>SR</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w:t>
      </w:r>
      <w:r>
        <w:rPr>
          <w:rFonts w:ascii="Arial" w:cs="Arial" w:eastAsia="Arial" w:hAnsi="Arial"/>
          <w:sz w:val="17"/>
          <w:szCs w:val="17"/>
          <w:color w:val="auto"/>
        </w:rPr>
        <w:t>”). As part of closing the Transaction, the investors in the SR Offering received Subordinate Voting Shares of GTI on an economically</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 basis. The brokered portion of the SR Offering was co-led by GMP Securities L.P. and Canaccord Genuity Corp., with a syndicate that included Beacon Securities Limited, Echelon Wealth Partners Inc. and Eight Capital Corp. In connection with the Transaction and pursuant to the SR Offering, a total of 11,245,434 Subordinate Voting Shares were issued and outstanding after completion of the Transaction, including Subordinate Voting Shares issued to former holders of GTI Finco subscription receipts issued in the SR Offering.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Subordinate Voting Shares began trading on the CSE on June 13, 2018 under the symbol “GTII.”</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January 31, 2020, the Corporation closed on a sale and leaseback transaction to sell its Toledo, Ohio processing facility to an unrelated third party, Innovative Industrial Properties (“</w:t>
      </w:r>
      <w:r>
        <w:rPr>
          <w:rFonts w:ascii="Arial" w:cs="Arial" w:eastAsia="Arial" w:hAnsi="Arial"/>
          <w:sz w:val="17"/>
          <w:szCs w:val="17"/>
          <w:b w:val="1"/>
          <w:bCs w:val="1"/>
          <w:color w:val="auto"/>
        </w:rPr>
        <w:t>IIP</w:t>
      </w:r>
      <w:r>
        <w:rPr>
          <w:rFonts w:ascii="Arial" w:cs="Arial" w:eastAsia="Arial" w:hAnsi="Arial"/>
          <w:sz w:val="17"/>
          <w:szCs w:val="17"/>
          <w:color w:val="auto"/>
        </w:rPr>
        <w:t>”). Under a long-term agreement, the Corporation will lease back the facility and continue to operate the space and manage it. The purchase price for the property was $2.9 million, excluding transaction costs. The Corporation is also expected to make certain improvements to the property that will significantly enhance production capacity, for which IIP has agreed to provide reimbursement of up to $4.3 million. Assuming full reimbursement for such improvements, IIP’s total investment in the property will be $7.2 million.</w:t>
      </w:r>
    </w:p>
    <w:p>
      <w:pPr>
        <w:spacing w:after="0" w:line="173"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On November 12, 2019, the Corporation closed on a sale and leaseback transaction to sell its Danville, Pennsylvania cultivation and processing facility to IIP. Under a long-term agreement, the Corporation will lease back the facility and continue to operate and manage it. The purchase price for the property was $20.3 million, excluding transaction costs. The Corporation is also expected to make certain improvements to the property that will significantly enhance production capacity, for which IIP has agreed to provide reimbursement of up to $19.3 million. Assuming full reimbursement for such improvements, IIP’s total investment in the property will be $39.6 million.</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May 22, 2019, the Corporation closed a $105 million senior secured non-brokered private placement financing through the issuance of three-year senior secured notes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Note Purchase Agreement (the “</w:t>
      </w:r>
      <w:r>
        <w:rPr>
          <w:rFonts w:ascii="Arial" w:cs="Arial" w:eastAsia="Arial" w:hAnsi="Arial"/>
          <w:sz w:val="16"/>
          <w:szCs w:val="16"/>
          <w:b w:val="1"/>
          <w:bCs w:val="1"/>
          <w:color w:val="auto"/>
        </w:rPr>
        <w:t>Note Purchase Agreement</w:t>
      </w:r>
      <w:r>
        <w:rPr>
          <w:rFonts w:ascii="Arial" w:cs="Arial" w:eastAsia="Arial" w:hAnsi="Arial"/>
          <w:sz w:val="16"/>
          <w:szCs w:val="16"/>
          <w:color w:val="auto"/>
        </w:rPr>
        <w:t>”). The financing generated funds for general working capital purposes and various growth initiatives and to retire the Corporation’s existing debt, including the Bridge Notes (as hereinafter defined). The Notes have a maturity date of May 22, 2022 and will bear interest from the date of issue at 12% per annum, payable quarterly, with an option, at the discretion of the Corporation, to extend an additional 12 months. Upon the execution of the Note Purchase Agreement, the Purchasers of the Notes received warrants to purchase 1,822,771 Subordinate Voting Shares at an exercise price of C$19.39 per share, which can be exercised for 60 months from the date of issuance. The Corporation entered into the First Amendment to the Note Purchase Agreement (the “</w:t>
      </w:r>
      <w:r>
        <w:rPr>
          <w:rFonts w:ascii="Arial" w:cs="Arial" w:eastAsia="Arial" w:hAnsi="Arial"/>
          <w:sz w:val="16"/>
          <w:szCs w:val="16"/>
          <w:b w:val="1"/>
          <w:bCs w:val="1"/>
          <w:color w:val="auto"/>
        </w:rPr>
        <w:t>Note Purchase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on November 9, 2019. The Note Purchase Agreement Amendment reduced the borrowing capacity from $150 million to $130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allows the Corporation to borrow an additional $24.5 million over a period of 12 months from the closing date of the Note Purchase Agreement. Upon the execution of the Note Purchase Agreement Amendment, the Purchasers of the Notes received warrants to purchase 365,076 Subordinate Voting Shares at an exercise price of C$12.04 per share, which can be exercised for 60 months from the date of issuance.</w:t>
      </w:r>
    </w:p>
    <w:p>
      <w:pPr>
        <w:spacing w:after="0" w:line="169" w:lineRule="exact"/>
        <w:rPr>
          <w:sz w:val="20"/>
          <w:szCs w:val="20"/>
          <w:color w:val="auto"/>
        </w:rPr>
      </w:pPr>
    </w:p>
    <w:p>
      <w:pPr>
        <w:ind w:left="200" w:right="40" w:firstLine="441"/>
        <w:spacing w:after="0" w:line="314" w:lineRule="auto"/>
        <w:rPr>
          <w:sz w:val="20"/>
          <w:szCs w:val="20"/>
          <w:color w:val="auto"/>
        </w:rPr>
      </w:pPr>
      <w:r>
        <w:rPr>
          <w:rFonts w:ascii="Arial" w:cs="Arial" w:eastAsia="Arial" w:hAnsi="Arial"/>
          <w:sz w:val="16"/>
          <w:szCs w:val="16"/>
          <w:color w:val="auto"/>
        </w:rPr>
        <w:t>On April 12, 2019, the Corporation closed on a private placement of $12.5 million in six-month senior secured promissory notes (the “</w:t>
      </w:r>
      <w:r>
        <w:rPr>
          <w:rFonts w:ascii="Arial" w:cs="Arial" w:eastAsia="Arial" w:hAnsi="Arial"/>
          <w:sz w:val="16"/>
          <w:szCs w:val="16"/>
          <w:b w:val="1"/>
          <w:bCs w:val="1"/>
          <w:color w:val="auto"/>
        </w:rPr>
        <w:t>Bridge</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The Bridge Notes accrue interest at an annual rate of 10.5% payable on a monthly basis, commencing June 1, 2019. The Bridge Notes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to purchase 218,964 Subordinate Voting Shares at an exercise price of C$22.90 per share, which can be exercised for 42 months from</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closing date of the transaction. On May 22, 2019, the Corporation repaid the full principal amount and accrued interest for the Bridge Notes.</w:t>
      </w:r>
    </w:p>
    <w:p>
      <w:pPr>
        <w:spacing w:after="0" w:line="23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On October 17, 2018, the Corporation closed a $78.6 million (C$101.7 million) bought deal financing, which included proceeds from the sale of Subordinate Voting Shares following the full exercise by the underwriters, namely GMP Securities L.P. (as lead underwriter and sole bookrunner), Beacon Securities Limited, Cormark Securities Inc., Echelon Wealth Partners Inc. and Eight Capital Corp., of an over-allotment option. The financing generated funds for the Corporation’s continued growth, including wholesale capacity, strategic initiatives and general corporate purposes.</w:t>
      </w:r>
    </w:p>
    <w:p>
      <w:pPr>
        <w:spacing w:after="0" w:line="15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 August 2, 2018, the Corporation closed a $61.7 million (C$80.3 million) bought deal financing, co-led by Canaccord Genuity Corp. and GMP Securities L.P., and including Beacon Securities Limited, Echelon Wealth Partners Inc. and Eight Capital Corp., to fund the Corporation’s continued growth, including the acquisition of one of ten licenses in the regulated New York cannabis market and the buildout of five dispensaries in Ohio pursuant to licenses awarded by the Ohio State Board of Pharmacy in June 2018, and for working capital purposes.</w:t>
      </w:r>
    </w:p>
    <w:p>
      <w:pPr>
        <w:spacing w:after="0" w:line="17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 June 12, 2018, GTI Finco completed the SR Offering, a brokered and a non-brokered subscription receipt financing at a price of C$7.75 per subscription receipt for aggregate gross proceeds of approximately $64.1 million (C$87 million). The investors received 11,245,434 Subordinate Voting Shares on an economically equivalent basis. The brokered portion of the financing was co-led by GMP Securities L.P. and Canaccord Genuity Corp., with a syndicate that included Beacon Securities Limited, Echelon Wealth Partners Inc. and Eight Capital Corp.</w:t>
      </w:r>
    </w:p>
    <w:p>
      <w:pPr>
        <w:spacing w:after="0" w:line="167" w:lineRule="exact"/>
        <w:rPr>
          <w:sz w:val="20"/>
          <w:szCs w:val="20"/>
          <w:color w:val="auto"/>
        </w:rPr>
      </w:pPr>
    </w:p>
    <w:p>
      <w:pPr>
        <w:ind w:left="200" w:right="100" w:firstLine="441"/>
        <w:spacing w:after="0" w:line="266" w:lineRule="auto"/>
        <w:rPr>
          <w:sz w:val="20"/>
          <w:szCs w:val="20"/>
          <w:color w:val="auto"/>
        </w:rPr>
      </w:pPr>
      <w:r>
        <w:rPr>
          <w:rFonts w:ascii="Arial" w:cs="Arial" w:eastAsia="Arial" w:hAnsi="Arial"/>
          <w:sz w:val="18"/>
          <w:szCs w:val="18"/>
          <w:color w:val="auto"/>
        </w:rPr>
        <w:t>On April 30, 2018, the Corporation closed a private placement offering to sell $45 million in a convertible promissory note (“</w:t>
      </w:r>
      <w:r>
        <w:rPr>
          <w:rFonts w:ascii="Arial" w:cs="Arial" w:eastAsia="Arial" w:hAnsi="Arial"/>
          <w:sz w:val="18"/>
          <w:szCs w:val="18"/>
          <w:b w:val="1"/>
          <w:bCs w:val="1"/>
          <w:color w:val="auto"/>
        </w:rPr>
        <w:t>Convertible</w:t>
      </w:r>
      <w:r>
        <w:rPr>
          <w:rFonts w:ascii="Arial" w:cs="Arial" w:eastAsia="Arial" w:hAnsi="Arial"/>
          <w:sz w:val="18"/>
          <w:szCs w:val="18"/>
          <w:color w:val="auto"/>
        </w:rPr>
        <w:t xml:space="preserve"> </w:t>
      </w:r>
      <w:r>
        <w:rPr>
          <w:rFonts w:ascii="Arial" w:cs="Arial" w:eastAsia="Arial" w:hAnsi="Arial"/>
          <w:sz w:val="18"/>
          <w:szCs w:val="18"/>
          <w:b w:val="1"/>
          <w:bCs w:val="1"/>
          <w:color w:val="auto"/>
        </w:rPr>
        <w:t>Promissory Note</w:t>
      </w:r>
      <w:r>
        <w:rPr>
          <w:rFonts w:ascii="Arial" w:cs="Arial" w:eastAsia="Arial" w:hAnsi="Arial"/>
          <w:sz w:val="18"/>
          <w:szCs w:val="18"/>
          <w:color w:val="auto"/>
        </w:rPr>
        <w:t>”) to VCP Convert, LLC, a Delaware limited liability company owned by accredited investors. The Convertible Promissory Note was</w:t>
      </w:r>
      <w:r>
        <w:rPr>
          <w:rFonts w:ascii="Arial" w:cs="Arial" w:eastAsia="Arial" w:hAnsi="Arial"/>
          <w:sz w:val="18"/>
          <w:szCs w:val="18"/>
          <w:b w:val="1"/>
          <w:bCs w:val="1"/>
          <w:color w:val="auto"/>
        </w:rPr>
        <w:t xml:space="preserve"> </w:t>
      </w:r>
      <w:r>
        <w:rPr>
          <w:rFonts w:ascii="Arial" w:cs="Arial" w:eastAsia="Arial" w:hAnsi="Arial"/>
          <w:sz w:val="18"/>
          <w:szCs w:val="18"/>
          <w:color w:val="auto"/>
        </w:rPr>
        <w:t>converted into common units of VCP immediately prior to the Transaction.</w:t>
      </w:r>
    </w:p>
    <w:p>
      <w:pPr>
        <w:spacing w:after="0" w:line="176" w:lineRule="exact"/>
        <w:rPr>
          <w:sz w:val="20"/>
          <w:szCs w:val="20"/>
          <w:color w:val="auto"/>
        </w:rPr>
      </w:pPr>
    </w:p>
    <w:p>
      <w:pPr>
        <w:ind w:left="200" w:right="260" w:firstLine="441"/>
        <w:spacing w:after="0" w:line="282" w:lineRule="auto"/>
        <w:rPr>
          <w:sz w:val="20"/>
          <w:szCs w:val="20"/>
          <w:color w:val="auto"/>
        </w:rPr>
      </w:pPr>
      <w:r>
        <w:rPr>
          <w:rFonts w:ascii="Arial" w:cs="Arial" w:eastAsia="Arial" w:hAnsi="Arial"/>
          <w:sz w:val="18"/>
          <w:szCs w:val="18"/>
          <w:color w:val="auto"/>
        </w:rPr>
        <w:t>On December 31, 2017, RCP23, LLC, closed a $67 million private placement offering to sell investor member units (“</w:t>
      </w:r>
      <w:r>
        <w:rPr>
          <w:rFonts w:ascii="Arial" w:cs="Arial" w:eastAsia="Arial" w:hAnsi="Arial"/>
          <w:sz w:val="18"/>
          <w:szCs w:val="18"/>
          <w:b w:val="1"/>
          <w:bCs w:val="1"/>
          <w:color w:val="auto"/>
        </w:rPr>
        <w:t>RCP Investor Member</w:t>
      </w:r>
      <w:r>
        <w:rPr>
          <w:rFonts w:ascii="Arial" w:cs="Arial" w:eastAsia="Arial" w:hAnsi="Arial"/>
          <w:sz w:val="18"/>
          <w:szCs w:val="18"/>
          <w:color w:val="auto"/>
        </w:rPr>
        <w:t xml:space="preserve"> </w:t>
      </w:r>
      <w:r>
        <w:rPr>
          <w:rFonts w:ascii="Arial" w:cs="Arial" w:eastAsia="Arial" w:hAnsi="Arial"/>
          <w:sz w:val="18"/>
          <w:szCs w:val="18"/>
          <w:b w:val="1"/>
          <w:bCs w:val="1"/>
          <w:color w:val="auto"/>
        </w:rPr>
        <w:t>Units</w:t>
      </w:r>
      <w:r>
        <w:rPr>
          <w:rFonts w:ascii="Arial" w:cs="Arial" w:eastAsia="Arial" w:hAnsi="Arial"/>
          <w:sz w:val="18"/>
          <w:szCs w:val="18"/>
          <w:color w:val="auto"/>
        </w:rPr>
        <w:t>”) in RCP23, LLC to fund growth opportunities and working capital of the Corporation.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Recent Developments</w:t>
      </w:r>
    </w:p>
    <w:p>
      <w:pPr>
        <w:spacing w:after="0" w:line="117"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color w:val="auto"/>
        </w:rPr>
        <w:t>On August 23, 2019, the Corporation closed on its acquisition of Fiorello Pharmaceuticals, Inc. (“</w:t>
      </w:r>
      <w:r>
        <w:rPr>
          <w:rFonts w:ascii="Arial" w:cs="Arial" w:eastAsia="Arial" w:hAnsi="Arial"/>
          <w:sz w:val="18"/>
          <w:szCs w:val="18"/>
          <w:b w:val="1"/>
          <w:bCs w:val="1"/>
          <w:color w:val="auto"/>
        </w:rPr>
        <w:t>Fiorello</w:t>
      </w:r>
      <w:r>
        <w:rPr>
          <w:rFonts w:ascii="Arial" w:cs="Arial" w:eastAsia="Arial" w:hAnsi="Arial"/>
          <w:sz w:val="18"/>
          <w:szCs w:val="18"/>
          <w:color w:val="auto"/>
        </w:rPr>
        <w:t>”). Fiorello is one of only ten companies in New York licensed to grow, process and dispense medical cannabis. Fiorello has one cultivation/processing facility and four dispensing locations, with three of such dispensing locations currently operating.</w:t>
      </w:r>
    </w:p>
    <w:p>
      <w:pPr>
        <w:spacing w:after="0" w:line="176"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On June 5, 2019, the Corporation closed on its acquisition of Integral Associates, LLC (“</w:t>
      </w:r>
      <w:r>
        <w:rPr>
          <w:rFonts w:ascii="Arial" w:cs="Arial" w:eastAsia="Arial" w:hAnsi="Arial"/>
          <w:sz w:val="17"/>
          <w:szCs w:val="17"/>
          <w:b w:val="1"/>
          <w:bCs w:val="1"/>
          <w:color w:val="auto"/>
        </w:rPr>
        <w:t>Integral Nevada</w:t>
      </w:r>
      <w:r>
        <w:rPr>
          <w:rFonts w:ascii="Arial" w:cs="Arial" w:eastAsia="Arial" w:hAnsi="Arial"/>
          <w:sz w:val="17"/>
          <w:szCs w:val="17"/>
          <w:color w:val="auto"/>
        </w:rPr>
        <w:t>”), a leading cannabis operator in Nevada, and Integral Associates CA, LLC (“</w:t>
      </w:r>
      <w:r>
        <w:rPr>
          <w:rFonts w:ascii="Arial" w:cs="Arial" w:eastAsia="Arial" w:hAnsi="Arial"/>
          <w:sz w:val="17"/>
          <w:szCs w:val="17"/>
          <w:b w:val="1"/>
          <w:bCs w:val="1"/>
          <w:color w:val="auto"/>
        </w:rPr>
        <w:t>Integral California</w:t>
      </w:r>
      <w:r>
        <w:rPr>
          <w:rFonts w:ascii="Arial" w:cs="Arial" w:eastAsia="Arial" w:hAnsi="Arial"/>
          <w:sz w:val="17"/>
          <w:szCs w:val="17"/>
          <w:color w:val="auto"/>
        </w:rPr>
        <w:t>,” together with Integral Nevada, “</w:t>
      </w:r>
      <w:r>
        <w:rPr>
          <w:rFonts w:ascii="Arial" w:cs="Arial" w:eastAsia="Arial" w:hAnsi="Arial"/>
          <w:sz w:val="17"/>
          <w:szCs w:val="17"/>
          <w:b w:val="1"/>
          <w:bCs w:val="1"/>
          <w:color w:val="auto"/>
        </w:rPr>
        <w:t>Integral Associates</w:t>
      </w:r>
      <w:r>
        <w:rPr>
          <w:rFonts w:ascii="Arial" w:cs="Arial" w:eastAsia="Arial" w:hAnsi="Arial"/>
          <w:sz w:val="17"/>
          <w:szCs w:val="17"/>
          <w:color w:val="auto"/>
        </w:rPr>
        <w:t>”). In addition to the initial consideration paid at closing, the membership interest purchase agreement (the “</w:t>
      </w:r>
      <w:r>
        <w:rPr>
          <w:rFonts w:ascii="Arial" w:cs="Arial" w:eastAsia="Arial" w:hAnsi="Arial"/>
          <w:sz w:val="17"/>
          <w:szCs w:val="17"/>
          <w:b w:val="1"/>
          <w:bCs w:val="1"/>
          <w:color w:val="auto"/>
        </w:rPr>
        <w:t>Membership Interest Purchase Agreement</w:t>
      </w:r>
      <w:r>
        <w:rPr>
          <w:rFonts w:ascii="Arial" w:cs="Arial" w:eastAsia="Arial" w:hAnsi="Arial"/>
          <w:sz w:val="17"/>
          <w:szCs w:val="17"/>
          <w:color w:val="auto"/>
        </w:rPr>
        <w:t xml:space="preserve">”) provides for the payment by the Corporation of additional consideration upon the achievement of certain performance targets (including a potential EBITDA earn-out payment) and regulatory license awards. Milestone payments for each license won are 50% payable at the initial license award, and the remaining 50% will be paid at a later date. The total consideration paid as of November 30, 2019 is approximately $326 million, including $52 million in cash and 24.7 million Subordinate Voting Shares. The acquisition includes: (i) Integral Associates’ three Essence retail stores located across the Las Vegas, Nevada area; (ii) eight additional adult use retail licenses in Nevada, five in the Las Vegas area and three in Northern Nevada; (iii) West Hollywood, California retail license, one of only five with a consumption lounge and delivery service; (iv) Pasadena, California and Culver City, California retail licenses; (v) Desert Grown Farms, a 54,000 square foot state-of-the-art cultivation and processing facility with an award-winning genetics library of 100+ strains; and (vi) Cannabiotix NV, a 41,000 square foot cultivation and processing facility which has been a recognized </w:t>
      </w:r>
      <w:r>
        <w:rPr>
          <w:rFonts w:ascii="Arial" w:cs="Arial" w:eastAsia="Arial" w:hAnsi="Arial"/>
          <w:sz w:val="17"/>
          <w:szCs w:val="17"/>
          <w:i w:val="1"/>
          <w:iCs w:val="1"/>
          <w:color w:val="auto"/>
        </w:rPr>
        <w:t>High Times</w:t>
      </w:r>
      <w:r>
        <w:rPr>
          <w:rFonts w:ascii="Arial" w:cs="Arial" w:eastAsia="Arial" w:hAnsi="Arial"/>
          <w:sz w:val="17"/>
          <w:szCs w:val="17"/>
          <w:color w:val="auto"/>
        </w:rPr>
        <w:t xml:space="preserve"> Cannabis Cup award winner.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On February 21, 2019, the Corporation closed on its acquisition of For Success Holdings Company, the Los Angeles-based creator of the lifestyle suite of Beboe branded cannabis products. Beboe is best known for, among other things, the thoughtfully designed aesthetic of its iconic rose gold vaporizing pens and edible pastilles, with each product curated using a unique blend of socially dosed THC (as hereinafter defined) and CBD (as hereinafter defined). The acquisition was an all-stock transaction, and consideration was satisfied through the issuance of Subordinate Voting Shares. The purchase agreement also includes additional consideration based on future performance targets.</w:t>
      </w:r>
    </w:p>
    <w:p>
      <w:pPr>
        <w:spacing w:after="0" w:line="169"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On February 12, 2019, the Corporation closed on its acquisition of Connecticut-based Advanced Grow Labs LLC (“</w:t>
      </w:r>
      <w:r>
        <w:rPr>
          <w:rFonts w:ascii="Arial" w:cs="Arial" w:eastAsia="Arial" w:hAnsi="Arial"/>
          <w:sz w:val="18"/>
          <w:szCs w:val="18"/>
          <w:b w:val="1"/>
          <w:bCs w:val="1"/>
          <w:color w:val="auto"/>
        </w:rPr>
        <w:t>AGL</w:t>
      </w:r>
      <w:r>
        <w:rPr>
          <w:rFonts w:ascii="Arial" w:cs="Arial" w:eastAsia="Arial" w:hAnsi="Arial"/>
          <w:sz w:val="18"/>
          <w:szCs w:val="18"/>
          <w:color w:val="auto"/>
        </w:rPr>
        <w:t>”). AGL is one of four companies in Connecticut licensed to grow and process cannabis. AGL operates a 41,000 square foot manufacturing facility in West Haven, Connecticut, with expansion potential. AGL also has an ownership stake in a dispensary that is located in Westport, Connecticut. AGL produces and distributes a wide range of cannabis products to the operating stores in the state. The transaction consideration was approximately $80 million, including $15 million in cash and approximately 7 million Subordinate Voting Shares. The purchase agreement also includes additional consideration based on future performance targets.</w:t>
      </w:r>
    </w:p>
    <w:p>
      <w:pPr>
        <w:spacing w:after="0" w:line="192"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On November 8, 2018, the Corporation acquired KSGNF, LLC, the holder of a license to operate a vertically-integrated medical marijuana treatment center in Florida, in exchange for approximately $48.6 million in cash and Subordinate Voting shares valued at approximately $49.6 million. KSGNF, LLC operates a cultivation/processing facility in Homestead, Florida with six open and operating dispensaries across the state.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 of the Corporation</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Established in 2014 and headquartered in Chicago, Illinois, GTI is promoting well-being through the power of cannabis, while being committed to community and sustainable profitable growth. As of January 1, 2020, GTI has operations across 12 U.S. markets, employs approximately 1,500 people and serves hundreds of thousands of patients and customers annually.</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GTI’s core business is manufacturing, distributing and marketing a portfolio of owned cannabis consumer packaged goods brands (which we refer to as our consumer products or wholesale business), including Beboe, Dogwalkers, Dr. Solomon’s, incredibles, Rythm and The Feel Collection. We distribute and market these products primarily to third-party licensed retail cannabis stores across the United States as well as to GTI-owned retail stores (which we refer to as our retail business).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Corporation’s consumer products portfolio is primarily generated from plant material that GTI grows and processes itself, which we use to produce our consumer packaged goods in 13 manufacturing facilities. This portfolio consists of stock keeping units (“</w:t>
      </w:r>
      <w:r>
        <w:rPr>
          <w:rFonts w:ascii="Arial" w:cs="Arial" w:eastAsia="Arial" w:hAnsi="Arial"/>
          <w:sz w:val="18"/>
          <w:szCs w:val="18"/>
          <w:b w:val="1"/>
          <w:bCs w:val="1"/>
          <w:color w:val="auto"/>
        </w:rPr>
        <w:t>SKUs</w:t>
      </w:r>
      <w:r>
        <w:rPr>
          <w:rFonts w:ascii="Arial" w:cs="Arial" w:eastAsia="Arial" w:hAnsi="Arial"/>
          <w:sz w:val="18"/>
          <w:szCs w:val="18"/>
          <w:color w:val="auto"/>
        </w:rPr>
        <w:t>”) across a range of cannabis product categories, including flower, pre-rolls, concentrates, vape, capsules, tinctures, edibles, topicals and other cannabis-related products (none of which product categories are individually material to the Corporation).</w:t>
      </w:r>
    </w:p>
    <w:p>
      <w:pPr>
        <w:spacing w:after="0" w:line="18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GTI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GTI produced products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and are located in Nevada. The Essence stores differ from the Rise stores mainly in geographic location. As of January 1, 2020, the Corporation had 40 open and operating retail locations, with state licensed permission to open a total of 96 stores. We currently anticipate that we will open 15 to 20 additional stores in 2020, bringing our total number of</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open and operating retail locations to approximately 55 to 60, depending on market conditions, obtaining local licensing, construction and other permissions and subject to our capital allocation plans.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Financial Highlights and Revenue Streams</w:t>
      </w:r>
    </w:p>
    <w:p>
      <w:pPr>
        <w:spacing w:after="0" w:line="11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Corporation has consolidated financial statements across its operating businesses with revenue from the manufacture, sale and distribution of branded cannabis products to third-party licensed retail customers as well as the sale of finished products to consumers in its retail stores.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percentage of total revenue contributed by consumer products operations was 48%, 40% and 33% for the years ended December 31, 2016,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2018, respectively. The percentage of total revenue contributed by retail operations was 52%, 60% and 67% for the years ended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 2017 and 2018, respectively. See Item 2—“Financial Information” for details on key financial highlights.</w:t>
      </w:r>
    </w:p>
    <w:p>
      <w:pPr>
        <w:spacing w:after="0" w:line="21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of the nine months ended September 30, 2019, GTI has operating revenue in 11 of its 12 markets (California, Colorado, Connecticut, Florida, Illinois, Maryland, Massachusetts, Nevada, New York, Ohio and Pennsylvania) and ramp up expenses related to the build out of New Jersey as a new market in preparation for revenue generation over the next three months.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GTI operates in 12 U.S. states: California, Colorado, Connecticut, Florida, Illinois, Maryland, Massachusetts, Nevada, New Jersey, New York, Ohio and Pennsylvania.</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NATIONAL FOOTPRINT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12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160020</wp:posOffset>
            </wp:positionV>
            <wp:extent cx="2667000" cy="2006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6700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 Research, Design and Development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Corporation’s branded products portfolio includes SKUs across a range of product categories, including flower, pre-rolls, concentrates, vape, capsules, tinctures, edibles, topicals and other cannabis-related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GTI engages in research and development activities focused on developing new extracted or infused cannabis consumer packaged products.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branded products are produced in manufacturing facilities across 12 U.S. states in which the primary activity is the cultivation, processing and manufacture of cannabis consumer packaged goods.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majority of our finished goods production is manufactured by our owned production facilities. However, we also have entered into manufacturing agreements with third parties, primarily for our cannabidiol (“</w:t>
      </w:r>
      <w:r>
        <w:rPr>
          <w:rFonts w:ascii="Arial" w:cs="Arial" w:eastAsia="Arial" w:hAnsi="Arial"/>
          <w:sz w:val="18"/>
          <w:szCs w:val="18"/>
          <w:b w:val="1"/>
          <w:bCs w:val="1"/>
          <w:color w:val="auto"/>
        </w:rPr>
        <w:t>CBD</w:t>
      </w:r>
      <w:r>
        <w:rPr>
          <w:rFonts w:ascii="Arial" w:cs="Arial" w:eastAsia="Arial" w:hAnsi="Arial"/>
          <w:sz w:val="18"/>
          <w:szCs w:val="18"/>
          <w:color w:val="auto"/>
        </w:rPr>
        <w:t>”) business lines, none of which account for more than 1% of finished goods production.</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Sources and Availability of Materials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Almost all of the raw material input, except packaging materials, used by the Corporation to produce finished cannabis consumer packaged goods are cultivated or processed internally for further use in the manufacturing process.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GTI is not dependent upon a single customer, or a few customers, the loss of any one or more of which would have a material adverse effect on the business. No customer accounted for 10% or more of our consolidated net revenue during fiscal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To meet the array of unique customer needs, we offer a variety of cannabis products at each of our Rise, Essence and other stores, totaling thousands of SKUs in managed inventory, comprehensive of product categories including flower, concentrates, topicals (bath and beauty products) and edibles (confection, beverages, snacks).</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leverage our owned retail channel, Rise, Essence and other stores, to distribute our branded product portfolio, such as Beboe, Dogwalkers, Dr. Solomon’s, incredibles, Rythm and The Feel Collection, among others.</w:t>
      </w:r>
    </w:p>
    <w:p>
      <w:pPr>
        <w:spacing w:after="0" w:line="170"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the Corporation’s vendor requirements for quality assurance and reliability.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Omnichannel Distribution</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Products sold at our retail stores, including Rise and Essence, are delivered directly to our stores primarily by our manufacturing and distribution vendor partners.</w:t>
      </w:r>
    </w:p>
    <w:p>
      <w:pPr>
        <w:spacing w:after="0" w:line="17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Our primary retail presence is traditional brick and mortar. However, as regulations allow, we will continue to expand our e-commerce, in-store guest pick-up and direct to consumer delivery capabilities as part of our commitment to providing a consistent retail brand experience no matter where the consumer might be.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Property—Patents and Trademarks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used, or intended for use, lawfully. Because cannabis-related products and services remain illegal at the federal level under the Controlled Substances Act (21 U.S.C. § 811) (the “</w:t>
      </w:r>
      <w:r>
        <w:rPr>
          <w:rFonts w:ascii="Arial" w:cs="Arial" w:eastAsia="Arial" w:hAnsi="Arial"/>
          <w:sz w:val="17"/>
          <w:szCs w:val="17"/>
          <w:b w:val="1"/>
          <w:bCs w:val="1"/>
          <w:color w:val="auto"/>
        </w:rPr>
        <w:t>CSA</w:t>
      </w:r>
      <w:r>
        <w:rPr>
          <w:rFonts w:ascii="Arial" w:cs="Arial" w:eastAsia="Arial" w:hAnsi="Arial"/>
          <w:sz w:val="17"/>
          <w:szCs w:val="17"/>
          <w:color w:val="auto"/>
        </w:rPr>
        <w:t>”), we are not able to fully protect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7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From the time the Corporation became licensed to cultivate marijuana, we have developed proprietary cultivation techniques. The Corporation has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Corporation relies on non-disclosure/confidentiality agreements to protect its intellectual property rights. To the extent the Corporation describes or discloses its proprietary cultivation or extraction techniques in its applications for cultivation or processing licenses, the Corporation redacts or requests redaction of such information prior to public disclosure.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GTI has sought U.S. patent protection for certain of its Dr. Solomon’s products, namely a utility patent for compositions and methods for treating skin and neuropathic conditions and disorders. Where commercially reasonable, we will seek further U.S. patent protection on other eligible products and services.</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Corporation owns several website domains, including www.gtigrows.com, numerous social media accounts across all major platforms and various phone and web application platforms.</w:t>
      </w:r>
    </w:p>
    <w:p>
      <w:pPr>
        <w:spacing w:after="0" w:line="17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GTI has successfully registered over 20 trademarks across three countries and nine states for brands offered within those jurisdictions and has additional state trademark applications pending. GTI is in the process of registering several brands for trademark protection at the U.S. federal level and/or in the states in which the brands are offered, including Beboe, Dogwalkers, Dr. Solomon’s, incredibles, Rythm and The Feel Collection. GTI anticipates feedback on outstanding submitted applications on a rolling basis. As such, GTI will continue to rely on common law protection for these brands during the trademark registration process. Moreover, where commercially feasible, GTI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17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For incredibles and Beboe branded cannabis products, the Corporation has entered into licensing and distribution contracts with third parties that hold licenses to engage in the sale of cannabis in the states of California and Colorado, where the Corporation does not currently have permission to operate cultivation and processing facilities. Such third parties directly engage in or arrange for the sourcing, manufacturing, laboratory testing, quality assurance, storage, marketing, sales, distribution and delivery of products containing cannabis and remit licensing fees to the Corporation.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utilize joint ventures when necessary to comply with state regulatory requirements in certain states. Partnering with one or more non-affiliated third parties provides the Corporation with the opportunity to mitigate certain operational and financial risks while ensuring continued compliance with the applicable regulatory guidelines. Currently, the Corporation has joint ventures for a vertically integrated license in Ohio and for the operation of (i) a medical marijuana dispensary in Effingham, Illinois (NH Medicinal Dispensaries, LLC) of which the Company holds a 50% interest, (ii) a medical marijuana dispensary in Westport, Connecticut (Bluepoint Wellness of Westport, LLC) of which the Company holds a 46% interest, and (iii) a Registered Marijuana Dispensary in Chicopee, Massachusetts (Cal Funding, LLC) of which the Company holds less than a 10% interest.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Effective inventory management is critical to the Corporation’s ongoing success and the Corporation uses a variety of demand and supply forecasting, planning and replenishment techniques. The Corporation strives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maintain sufficient levels of inventory of core product categories, maintain positive vendor and customer relationships and carefully plan to minimize markdowns and inventory write-offs. For our consumer products business, in order to maintain sufficient levels of raw material and packaging inventory, the Corporation provides its vendor base with annual projections so that the vendors can work to ensure a steady supply. The Corporation also checks in with its vendors at least quarterly to provide updates to real time changes in the Corporation’s annual plan. In addition, the Corporation currently produces all products to inventory (rather than to order). For most important raw materials and packaging, the Corporation has both a primary vendor supplier and a secondary vendor supplier to ensure redundancy. Once we have inventory available for sale, we notify our customer base, at which point they may place their orders with the Corporation. Under these processes, the Corporation does not currently carry a backlog of orders from one time period to the next.</w:t>
      </w:r>
    </w:p>
    <w:p>
      <w:pPr>
        <w:spacing w:after="0" w:line="19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additional details on liquidity and Capital Resources, see Item 2—“Management’s Discussion and Analysis of Financial Condition and Results of Operations.”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Number of Employees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of January 1, 2020, GTI employs approximately 1,500 team members nationwide including corporate, retail, manufacturing and part-time employees,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Expenditures for compliance with federal, state and local environmental laws and regulations are consistent from year to year and are not material to the Corporation’s financials. The Corporation is compliant with all applicable regulations and does not use materials that would pose any known risk under normal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Conditions and the Corporation’s Position in the Industry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markets in which the Corporation’s products are distributed and its retail stores are operated are highly competitive markets. The Corporation’s operations exist in markets with relatively high barriers to entry given the licensed nature of the cannabis industry. The Corporation competes directly with cannabis producers and retailers within single-state operating markets, as well as those that operate across several U.S. markets. More broadly, GTI views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Corporation faces intense competition from other companies that may have a longer operating history, a higher capitalization, additional financial resources, more manufacturing and marketing experience, greater access to public equity and debt markets and more experienced management than the Corporation. Increased competition by larger and better financed competitors could materially affect the business, financial condition and results of operations of the Corporation. The vast majority of both manufacturing and retail competitors in our markets consist of localized businesses (i.e. doing business in only a single state market). There are a few multistate operators with whom the Corporation competes directly in several of the Corporation’s operating markets. Aside from this direct competition, out-of-state operators that are capitalized well enough to enter those markets through acquisitions are also part of the competitive landscape. Similarly, as the Corporation executes its national U.S. growth strategy, operators in our future state markets will inevitably become direct competitors.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of the early stage of the industry in which the Corporation operates, the Corporation faces additional competition from new entrants. If the number of consumers of medical and adult use cannabis in the states in which the Corporation operates its business increases, the demand for products will increase and the Corporation expects that competition will become more intense, as current and future competitors begin to offer an increasing number of diversified products. To remain competitive, the Corporation will require a continued high level of investment in research and development, marketing, sales and client support. The Corporation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1A—“Risk Factors” with respect to competition.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Medical-Only Markets</w:t>
      </w:r>
    </w:p>
    <w:p>
      <w:pPr>
        <w:spacing w:after="0" w:line="117"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All of the medical-only markets that the Corporation does business in (Connecticut, Florida, Maryland, New Jersey, New York, Ohio and Pennsylvania) have written regulations that impose limitations on the number of cannabis business licenses that can be awarded. In each of these markets, the Corporation has a proven track record of: (i) entering the market through state-granted awards based on the merit of its application and business plans; and/or (ii) expanding market reach through accretive mergers, acquisitions and partnership ventures.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Adult Use Markets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adult use markets in which the Corporation operates in (Illinois, California, Colorado, Massachusetts and Nevada) have fewer barriers to entry and more closely reflect free market dynamics typically seen in mature retail and manufacturing industries. The growth of these markets poses a risk of increased competition. However, given the Corporation’s additional growth opportunities as an original operator in these states, which have historically been limited supply markets, management views the Corporation’s market share as less at risk than operators without a current operating footprint.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Government Regulation</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Below is a discussion of the federal and state-level regulatory regimes in those jurisdictions where the Corporation is currently directly involved through its subsidiaries. The Corporation’s subsidiaries are directly engaged in the manufacture, possession, sale or distribution of cannabis in the adult use and/or medicinal cannabis marketplace in the states of California, Colorado, Connecticut, Florida, Illinois, Maryland, Massachusetts, Nevada, New Jersey, New York, Ohio and Pennsylvania.</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Regulation of Cannabis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2005, the U.S. Supreme Court ruled that Congress has the power to regulate cannabis.</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U.S. federal government regulates drugs through the CSA,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The Department of Justice (the “</w:t>
      </w:r>
      <w:r>
        <w:rPr>
          <w:rFonts w:ascii="Arial" w:cs="Arial" w:eastAsia="Arial" w:hAnsi="Arial"/>
          <w:sz w:val="17"/>
          <w:szCs w:val="17"/>
          <w:b w:val="1"/>
          <w:bCs w:val="1"/>
          <w:color w:val="auto"/>
        </w:rPr>
        <w:t>DOJ</w:t>
      </w:r>
      <w:r>
        <w:rPr>
          <w:rFonts w:ascii="Arial" w:cs="Arial" w:eastAsia="Arial" w:hAnsi="Arial"/>
          <w:sz w:val="17"/>
          <w:szCs w:val="17"/>
          <w:color w:val="auto"/>
        </w:rPr>
        <w:t>”) defines Schedule I drugs, substances or chemicals as “drugs with no currently accepted medical use and a high potential for abuse.” However, the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has approved Epidiolex, which contains a purified form of the drug CBD, a non-psychoactive ingredient in the cannabis plant, for the treatment of seizures associated with two epilepsy conditions. The FDA has not approved cannabis or cannabis compounds as a safe and effective drug for any other condition. Moreover, under the 2018 Farm Bill or Agriculture Improvement Act of 2018 (the “</w:t>
      </w:r>
      <w:r>
        <w:rPr>
          <w:rFonts w:ascii="Arial" w:cs="Arial" w:eastAsia="Arial" w:hAnsi="Arial"/>
          <w:sz w:val="17"/>
          <w:szCs w:val="17"/>
          <w:b w:val="1"/>
          <w:bCs w:val="1"/>
          <w:color w:val="auto"/>
        </w:rPr>
        <w:t>Farm Bill</w:t>
      </w:r>
      <w:r>
        <w:rPr>
          <w:rFonts w:ascii="Arial" w:cs="Arial" w:eastAsia="Arial" w:hAnsi="Arial"/>
          <w:sz w:val="17"/>
          <w:szCs w:val="17"/>
          <w:color w:val="auto"/>
        </w:rPr>
        <w:t>”), CBD remains a Schedule I controlled substance under the CSA, with a narrow exception for CBD derived from hemp with a tetrahydrocannabinol (“</w:t>
      </w:r>
      <w:r>
        <w:rPr>
          <w:rFonts w:ascii="Arial" w:cs="Arial" w:eastAsia="Arial" w:hAnsi="Arial"/>
          <w:sz w:val="17"/>
          <w:szCs w:val="17"/>
          <w:b w:val="1"/>
          <w:bCs w:val="1"/>
          <w:color w:val="auto"/>
        </w:rPr>
        <w:t>THC</w:t>
      </w:r>
      <w:r>
        <w:rPr>
          <w:rFonts w:ascii="Arial" w:cs="Arial" w:eastAsia="Arial" w:hAnsi="Arial"/>
          <w:sz w:val="17"/>
          <w:szCs w:val="17"/>
          <w:color w:val="auto"/>
        </w:rPr>
        <w:t>”) concentration of less than 0.3%.</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Marijuana is largely regulated at the state level.</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State laws that permit and regulate the production, distribution and use of cannabis for adult use or medical purposes are in direct conflict with the CSA,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any and all circumstances under the CSA. Although the Corporation’s activities are believed to be compliant with applicable state and local laws, strict compliance with state and local laws with respect to cannabis may neither absolve the Corporation of liability under U.S. federal law, nor may it provide a defense to any federal proceeding which may be brought against the Corporation.</w:t>
      </w:r>
    </w:p>
    <w:p>
      <w:pPr>
        <w:spacing w:after="0" w:line="18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As of November 30, 2019, 33 states, plus the District of Columbia (and the territories of Guam, Puerto Rico, the U.S. Virgin Islands and the Northern Mariana Islands), have legalized the cultivation and sale of cannabis for medical purposes. In 11 states, the sale and possession of cannabis is legal for both medical and adult use, and the District of Columbia has legalized adult use but not commercial sale.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risk of federal enforcement and other risks associated with the Corporation’s business are described in Item 1A—“Risk Factors.”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of the Cannabis Market at State and Local Level</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Following the thesis that distributing brands at scale will win, the Corporation enters markets where it believes that it can profitably and sustainably operate and command significant market share, and thus maximize consumer and brand awareness. The regulatory frameworks installed by the states, which are similar to the limited and controlled issuance of gaming or alcohol distributorship licenses, provide macro-level indication of whether certain state markets will be sustainable and profitable.</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Below is a summary overview of the regulatory and competitive frameworks in each of the Corporation’s operating markets, as well as markets in which the Corporation intends to operate in the in the near future. See Appendix A to this Form 10 for a state-by-state list of the licenses and permits held by the Corporation.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California</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 In 2003, Senate Bill 420 was signed into law establishing an optional identification card system for medical marijuana patients.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September 2015, the California legislature passed three bills collectively known as the Medical Cannabis Regulation and Safety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MCRSA</w:t>
      </w:r>
      <w:r>
        <w:rPr>
          <w:rFonts w:ascii="Arial" w:cs="Arial" w:eastAsia="Arial" w:hAnsi="Arial"/>
          <w:sz w:val="16"/>
          <w:szCs w:val="16"/>
          <w:color w:val="auto"/>
        </w:rPr>
        <w:t>”). The MCRSA established a licensing and regulatory framework for medical marijuana businesses in California. In November 2016, voters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California overwhelmingly passed Proposition 64, the Adult Use of Marijuana Act (“</w:t>
      </w:r>
      <w:r>
        <w:rPr>
          <w:rFonts w:ascii="Arial" w:cs="Arial" w:eastAsia="Arial" w:hAnsi="Arial"/>
          <w:sz w:val="16"/>
          <w:szCs w:val="16"/>
          <w:b w:val="1"/>
          <w:bCs w:val="1"/>
          <w:color w:val="auto"/>
        </w:rPr>
        <w:t>AUMA</w:t>
      </w:r>
      <w:r>
        <w:rPr>
          <w:rFonts w:ascii="Arial" w:cs="Arial" w:eastAsia="Arial" w:hAnsi="Arial"/>
          <w:sz w:val="16"/>
          <w:szCs w:val="16"/>
          <w:color w:val="auto"/>
        </w:rPr>
        <w:t>”) creating an adult use marijuana program for adults 21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years of age or older. Some provisions of AUMA conflicted with MCRSA, so the California State Legislature passed Senate Bill No. 94, known 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Medicinal and Adult Use Cannabis Regulation and Safety Act (“</w:t>
      </w:r>
      <w:r>
        <w:rPr>
          <w:rFonts w:ascii="Arial" w:cs="Arial" w:eastAsia="Arial" w:hAnsi="Arial"/>
          <w:sz w:val="16"/>
          <w:szCs w:val="16"/>
          <w:b w:val="1"/>
          <w:bCs w:val="1"/>
          <w:color w:val="auto"/>
        </w:rPr>
        <w:t>MAUCRSA</w:t>
      </w:r>
      <w:r>
        <w:rPr>
          <w:rFonts w:ascii="Arial" w:cs="Arial" w:eastAsia="Arial" w:hAnsi="Arial"/>
          <w:sz w:val="16"/>
          <w:szCs w:val="16"/>
          <w:color w:val="auto"/>
        </w:rPr>
        <w:t>”) in June 2017, amalgamating MCRSA and AUMA to provide a single 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regulations to govern a medical and adult use licensing regime for cannabis businesses in the State of California. MAUCRSA went into effect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January 1, 2018.</w:t>
      </w:r>
    </w:p>
    <w:p>
      <w:pPr>
        <w:spacing w:after="0" w:line="21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three agencies that regulate cannabis at the state level are: (a) the California Department of Food and Agriculture, via CalCannabis, which issues licenses to cannabis cultivators; (b) the California Department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On June 6, 2018, a proposal by the California Department of Consumer Affairs, the California Department of Public Health and the California Department of Food and Agriculture to re-adopt their emergency cannabis regulations went into effect. Among the changes, applicants may now complete one license application, allowing for both medical and adult use cannabis activity. On January 16, 2019, California’s three state cannabis licensing authorities announced that the Office of Administrative Law officially approved state regulations for cannabis businesses. The final cannabis regulations took effect immediately and superseded the previous emergency regulations.</w:t>
      </w:r>
    </w:p>
    <w:p>
      <w:pPr>
        <w:spacing w:after="0" w:line="173" w:lineRule="exact"/>
        <w:rPr>
          <w:sz w:val="20"/>
          <w:szCs w:val="20"/>
          <w:color w:val="auto"/>
        </w:rPr>
      </w:pPr>
    </w:p>
    <w:p>
      <w:pPr>
        <w:jc w:val="both"/>
        <w:ind w:left="200" w:right="480" w:firstLine="441"/>
        <w:spacing w:after="0" w:line="286" w:lineRule="auto"/>
        <w:rPr>
          <w:sz w:val="20"/>
          <w:szCs w:val="20"/>
          <w:color w:val="auto"/>
        </w:rPr>
      </w:pPr>
      <w:r>
        <w:rPr>
          <w:rFonts w:ascii="Arial" w:cs="Arial" w:eastAsia="Arial" w:hAnsi="Arial"/>
          <w:sz w:val="17"/>
          <w:szCs w:val="17"/>
          <w:color w:val="auto"/>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California License and Regulations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There are three principal license categories in California: (1) cultivation, (2) processing and (3) retailer. A license holder that does not submit a completed license renewal application to the state within 30 calendar days after the expiration of a current license forfeits their eligibility to apply for a license renewal and, instead, would be required to submit a new license application.</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Currently, the Corporation does not have any operational licenses in the State of California. GTI has been granted conditional licenses, permitting the Corporation to retail medical and adult use cannabis and cannabis related products. GTI has been awarded approval to proceed with the next steps in the application process for the entities listed on Appendix A to this Form 10.</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spacing w:after="0" w:line="187"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Processing licenses authorize manufacturers to process marijuana biomass into certain value-added products with the use of volatile or non-volatile solvents, depending on the license type.</w:t>
      </w:r>
    </w:p>
    <w:p>
      <w:pPr>
        <w:spacing w:after="0" w:line="170"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 It does not require the individual to possess a physician’s recommendation. Under the terms of such licenses, the holder is permitted to sell adult use cannabis and cannabis products to any person, provided the local jurisdiction permits the sale of adult use cannabis and the person presents a valid government-issued photo identification demonstrating that they are 21 years of age or older.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California.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California Reporting Requirements</w:t>
      </w:r>
    </w:p>
    <w:p>
      <w:pPr>
        <w:spacing w:after="0" w:line="11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color w:val="auto"/>
        </w:rPr>
        <w:t>The California Cannabis Track-and-Trace (“</w:t>
      </w:r>
      <w:r>
        <w:rPr>
          <w:rFonts w:ascii="Arial" w:cs="Arial" w:eastAsia="Arial" w:hAnsi="Arial"/>
          <w:sz w:val="18"/>
          <w:szCs w:val="18"/>
          <w:b w:val="1"/>
          <w:bCs w:val="1"/>
          <w:color w:val="auto"/>
        </w:rPr>
        <w:t>CCTT</w:t>
      </w:r>
      <w:r>
        <w:rPr>
          <w:rFonts w:ascii="Arial" w:cs="Arial" w:eastAsia="Arial" w:hAnsi="Arial"/>
          <w:sz w:val="18"/>
          <w:szCs w:val="18"/>
          <w:color w:val="auto"/>
        </w:rPr>
        <w:t>”) system is the T&amp;T system used statewide to record the inventory and movement of cannabis and cannabis products through the commercial cannabis supply chain from</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seed to sale. The CCTT system must be used by all annual and provisional cannabis licensees, including those with licenses for cannabis cultivation, manufacturing, retail, distribution, testing labs and microbusinesses. The state’s contracted service provider for the CCTT system is METRC. Licensees are required to maintain records for at least seven years from the date a record is created.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Colorado</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On November 7, 2000, Colorado voters approved Amendment 20, which amended the state constitution to allow the use of marijuana in the state by approved patients with written medical consent. Conditions recognized for medical marijuana in Colorado include: cancer, chronic pain, epilepsy, HIV/AIDS, multiple sclerosis and nausea.</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w:t>
      </w:r>
    </w:p>
    <w:p>
      <w:pPr>
        <w:spacing w:after="0" w:line="166"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Colorado License and Regulations</w:t>
      </w:r>
    </w:p>
    <w:p>
      <w:pPr>
        <w:spacing w:after="0" w:line="11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There are three principal license categories in Colorado: (1) cultivation, (2) product manufacturer and (3) medical center/retail store. Each facility is authorized to engage only in the type of activity for which it is licensed. A licensee must apply for renewal before the expiration date of a license.</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Corporation does not have any licenses in the State of Colorado. The Corporation has entered into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GTI. See Item 1—“Intellectual Property—Patents and Trademarks” for details on licenses with respect to operations in Colorado.</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Regulations for the production and sale of marijuana in Colorado are published through the Marijuana Enforcement Division of the Department of Revenue (the “</w:t>
      </w:r>
      <w:r>
        <w:rPr>
          <w:rFonts w:ascii="Arial" w:cs="Arial" w:eastAsia="Arial" w:hAnsi="Arial"/>
          <w:sz w:val="18"/>
          <w:szCs w:val="18"/>
          <w:b w:val="1"/>
          <w:bCs w:val="1"/>
          <w:color w:val="auto"/>
        </w:rPr>
        <w:t>MED</w:t>
      </w:r>
      <w:r>
        <w:rPr>
          <w:rFonts w:ascii="Arial" w:cs="Arial" w:eastAsia="Arial" w:hAnsi="Arial"/>
          <w:sz w:val="18"/>
          <w:szCs w:val="18"/>
          <w:color w:val="auto"/>
        </w:rPr>
        <w: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Colorado Reporting Requirements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Colorado uses METRC as the MED’s marijuana inventory tracking system for all medical and adult use licensees. Marijuana is required to be tracked and reported with specific data points from seed to sale through METRC for compliance purposes under Colorado marijuana laws and regulations.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Connecticut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State of Connecticut has authorized cultivation, possession and distribution of marijuana for medical purposes by certain licensed Connecticut marijuana businesses. The Medical Marijuana Program in Connecticut (the “</w:t>
      </w:r>
      <w:r>
        <w:rPr>
          <w:rFonts w:ascii="Arial" w:cs="Arial" w:eastAsia="Arial" w:hAnsi="Arial"/>
          <w:sz w:val="18"/>
          <w:szCs w:val="18"/>
          <w:b w:val="1"/>
          <w:bCs w:val="1"/>
          <w:color w:val="auto"/>
        </w:rPr>
        <w:t>CT Program</w:t>
      </w:r>
      <w:r>
        <w:rPr>
          <w:rFonts w:ascii="Arial" w:cs="Arial" w:eastAsia="Arial" w:hAnsi="Arial"/>
          <w:sz w:val="18"/>
          <w:szCs w:val="18"/>
          <w:color w:val="auto"/>
        </w:rPr>
        <w:t>”) registers qualifying patients, primary caregivers, Dispensary Facilities (“</w:t>
      </w:r>
      <w:r>
        <w:rPr>
          <w:rFonts w:ascii="Arial" w:cs="Arial" w:eastAsia="Arial" w:hAnsi="Arial"/>
          <w:sz w:val="18"/>
          <w:szCs w:val="18"/>
          <w:b w:val="1"/>
          <w:bCs w:val="1"/>
          <w:color w:val="auto"/>
        </w:rPr>
        <w:t>DFs</w:t>
      </w:r>
      <w:r>
        <w:rPr>
          <w:rFonts w:ascii="Arial" w:cs="Arial" w:eastAsia="Arial" w:hAnsi="Arial"/>
          <w:sz w:val="18"/>
          <w:szCs w:val="18"/>
          <w:color w:val="auto"/>
        </w:rPr>
        <w:t>”) and Dispensary Facility Employees (“</w:t>
      </w:r>
      <w:r>
        <w:rPr>
          <w:rFonts w:ascii="Arial" w:cs="Arial" w:eastAsia="Arial" w:hAnsi="Arial"/>
          <w:sz w:val="18"/>
          <w:szCs w:val="18"/>
          <w:b w:val="1"/>
          <w:bCs w:val="1"/>
          <w:color w:val="auto"/>
        </w:rPr>
        <w:t>DFEs</w:t>
      </w:r>
      <w:r>
        <w:rPr>
          <w:rFonts w:ascii="Arial" w:cs="Arial" w:eastAsia="Arial" w:hAnsi="Arial"/>
          <w:sz w:val="18"/>
          <w:szCs w:val="18"/>
          <w:color w:val="auto"/>
        </w:rPr>
        <w:t>”). The CT Program was established by Connecticut General Statutes §§ 21a-408–21a-429. DFs and production facilities are separately licensed.</w:t>
      </w:r>
    </w:p>
    <w:p>
      <w:pPr>
        <w:spacing w:after="0" w:line="187"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Connecticut’s medical cannabis program was introduced in May 2012 when the General Assembly passed legislation PA 12-55 “An Act Concerning the Palliative Use of Marijuana.”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program launched with six dispensary licensees and four producer licensees. The first dispensaries sold to patients in September 2014.</w:t>
      </w:r>
    </w:p>
    <w:p>
      <w:pPr>
        <w:spacing w:after="0" w:line="221"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color w:val="auto"/>
        </w:rPr>
        <w:t>In January 2016, the Connecticut Department of Consumer Protection (“</w:t>
      </w:r>
      <w:r>
        <w:rPr>
          <w:rFonts w:ascii="Arial" w:cs="Arial" w:eastAsia="Arial" w:hAnsi="Arial"/>
          <w:sz w:val="18"/>
          <w:szCs w:val="18"/>
          <w:b w:val="1"/>
          <w:bCs w:val="1"/>
          <w:color w:val="auto"/>
        </w:rPr>
        <w:t>CTDCP</w:t>
      </w:r>
      <w:r>
        <w:rPr>
          <w:rFonts w:ascii="Arial" w:cs="Arial" w:eastAsia="Arial" w:hAnsi="Arial"/>
          <w:sz w:val="18"/>
          <w:szCs w:val="18"/>
          <w:color w:val="auto"/>
        </w:rPr>
        <w:t>”), the agency that oversees and administers the program, approved three additional dispensary licenses. In December 2018, the CTDCP issue nine additional dispensary licenses, bringing the total to 18 licensed dispensaries in the state. As of November 2019, 15 of these dispensaries were operational.</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Connecticut Licenses and Regulations</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There are two principal license categories in Connecticut: (1) cultivation/processing and (2) dispensary. The Corporation is licensed to operate one medical marijuana cultivation/processing facility and two medical marijuana dispensaries. All licenses are, as of the date hereof, active with the State of Connecticut. The licenses are independently issued for each approved activity for use at the Corporation’s facilities in Connecticut.</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CTDCP has issued regulations regarding the CT Program. Patients with certain debilitating medical conditions qualify to participate in the CT Program. A physician or advanced practice registered nurse must issue a written certification for a CT Program patient, and the qualifying patient or caregiver must choose one designated DF where the patient’s marijuana will be obtained. Under the CT Program, dispensary licenses are renewed annually. Renewal applications must be submitted 45 days prior to license expiration and any renewal submitted more than 30 days after expiration will not be renewed.</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Medical marijuana cultivation/processing licenses permit the Corporation to operate a secure, indoor facility to cultivate and process medical marijuana and wholesale to dispensaries.</w:t>
      </w:r>
    </w:p>
    <w:p>
      <w:pPr>
        <w:spacing w:after="0" w:line="17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Medical marijuana dispensary facility licenses qualify a dispensary to purchase medical cannabis from licensed medical cannabis producers and to dispense cannabis to qualifying patients or primary caregivers that are registered under the CT Program. Dispensaries must have a pharmacist on staff.</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Connecticut.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Connecticut Reporting Requirements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Connecticut does not mandate the use of a particular unified T&amp;T system by which all dispensary license holders submit data directly to the state. However, the CT Program does provide strict guidelines for reporting via the license holder’s T&amp;T program. Every cannabis sale must be documented at the point of sale, including recording the date. At least once per day, all sales must be uploaded via the T&amp;T system to the Connecticut Prescription Monitoring Program which accumulates and tracks medical cannabis purchases across all Connecticut dispensaries.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Florida</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2014, the Florida Legislature passed the Compassionate Use Act, which was the first legal medical cannabis program in the state’s history.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on November 8. This language, known as “Amendment 2,” amended the state constitution and mandated an expansion of the state’s medical cannabis program.</w:t>
      </w:r>
    </w:p>
    <w:p>
      <w:pPr>
        <w:spacing w:after="0" w:line="193"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Amendment 2, and the resulting expansion of qualifying medical conditions, became effective on January 3, 2017. The Florida Department of Health, physicians, dispensing organizations and patients are bound by Article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X Section 29 of the Florida Constitution and Florida Statutes Section 381.986. On June 9, 2017, the Florida House of Representatives and Florida Senate passed respective legislation to implement the expanded program by replacing large portions of the existing Compassionate Use Act, which officially became law on June 23, 2017.</w:t>
      </w:r>
    </w:p>
    <w:p>
      <w:pPr>
        <w:spacing w:after="0" w:line="18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State of Florida Statutes Section 381.986(8)(a) provides a regulatory framework that requires licensed producers, which are statutorily defined as “Medical Marijuana Treatment Centers” (the “</w:t>
      </w:r>
      <w:r>
        <w:rPr>
          <w:rFonts w:ascii="Arial" w:cs="Arial" w:eastAsia="Arial" w:hAnsi="Arial"/>
          <w:sz w:val="16"/>
          <w:szCs w:val="16"/>
          <w:b w:val="1"/>
          <w:bCs w:val="1"/>
          <w:color w:val="auto"/>
        </w:rPr>
        <w:t>MMTC</w:t>
      </w:r>
      <w:r>
        <w:rPr>
          <w:rFonts w:ascii="Arial" w:cs="Arial" w:eastAsia="Arial" w:hAnsi="Arial"/>
          <w:sz w:val="16"/>
          <w:szCs w:val="16"/>
          <w:color w:val="auto"/>
        </w:rPr>
        <w:t>”), to cultivate, process and dispense medical cannabis in a vertically-integrated marketplace.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Florida Licenses and Regulations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There is one principal license category in Florida: vertically-integrated MMTC license. The Corporation is licensed to operate one medical cannabis cultivation/processing facility and up to 35 medical dispensaries. All licenses are, as of the date hereof, active with the State of Florida. The licenses are independently issued for each approved activity for use at the Corporation’s facilities in Florida.</w:t>
      </w:r>
    </w:p>
    <w:p>
      <w:pPr>
        <w:spacing w:after="0" w:line="18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Licenses are issued by the Florida Department of Health and must be renewed biennially, provided the license meets the requirements under Florida law and the license holder pays a renewal fee.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p>
    <w:p>
      <w:pPr>
        <w:spacing w:after="0" w:line="18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MMTC license permits the Corporation to sell medical cannabis to qualified patients to treat certain medical conditions in Florida, which are delineated in Florida Statutes Section 386.981. As the Corporation’s operations in Florida are vertically-integrated, the Corporation is able to cultivate, harvest, process and sell/dispense/deliver its own medical cannabis products. Under the terms of its Florida license, the Corporation is permitted to sell medical cannabis only to qualified medical patients that are registered with the State. Only certified physicians who have successfully completed a medical cannabis educational program can register patients on the Florida Office of Compassionate Use Registry.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Florida.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Florida Reporting Requirements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Florida Department of Health requires that any licensee establish, maintain and control a computer software tracking system that traces cannabis from seed to sale and allows real-time, 24-hour access by the Florida Department of Health to this data. The tracking system must allow for integration of other seed-to-sale systems and, at minimum, include notification of when marijuana seeds are planted, when marijuana plants are harvested and destroyed and when cannabis is transported, sold, stolen, diverted or lost. Additionally, the Florida Department of Health maintains a patient and physician registry, and the Corporation must comply with all requirements and regulations related to providing required data or proof of key events to the tracking system.</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Illinois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Compassionate Use of Medical Cannabis Program Act</w:t>
      </w:r>
      <w:r>
        <w:rPr>
          <w:rFonts w:ascii="Arial" w:cs="Arial" w:eastAsia="Arial" w:hAnsi="Arial"/>
          <w:sz w:val="16"/>
          <w:szCs w:val="16"/>
          <w:color w:val="auto"/>
        </w:rPr>
        <w:t>, which allows individuals diagnosed with a debilitating medical condition access to medical marijuana, became effective January 1, 2014 and is now permanent. There are more than 40 qualifying conditions as part of the medical program, including chronic pain, migraines, epilepsy, traumatic brain injury and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Licenses were awarded based on merit in a highly competitive application process to applicants who demonstrated strong operational expertise and financial backing.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May 31, 2019, Illinois lawmakers passed a bill legalizing adult use marijuana. The bill will permit adult use sales to adults 21 years of age or older beginning on January 1, 2020. Governor J.B. Pritzker signed the bill into law, making Illinois the 11</w:t>
      </w:r>
      <w:r>
        <w:rPr>
          <w:rFonts w:ascii="Arial" w:cs="Arial" w:eastAsia="Arial" w:hAnsi="Arial"/>
          <w:sz w:val="15"/>
          <w:szCs w:val="15"/>
          <w:color w:val="auto"/>
        </w:rPr>
        <w:t>th</w:t>
      </w:r>
      <w:r>
        <w:rPr>
          <w:rFonts w:ascii="Arial" w:cs="Arial" w:eastAsia="Arial" w:hAnsi="Arial"/>
          <w:sz w:val="18"/>
          <w:szCs w:val="18"/>
          <w:color w:val="auto"/>
        </w:rPr>
        <w:t xml:space="preserve"> state to legalize the adult use and commercial sale of cannabis to adults.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Illinois Licenses and Regulations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are two principal license categories in Illinois: (1) cultivation/processing and (2) dispensary. The Corporation is licensed to grow cannabis for medical and adult use sales at the Corporation’s two cultivation/processing facilities. The Corporation has applied for and received state approval for its five existing medical dispensary retail locations in Illinois to also make sales to adult use customers, subject to local zoning approval. The Corporation can also apply for and receive five “secondary” adult use dispensary licenses, subject to local zoning approval, which by law will serve only adult use customers, not medical patients. That will bring the Corporation to a total of ten dispensary licenses in Illinois, which is the statutory cap. All licenses are, as of the date hereof, active with the State of Illinois. The licenses are independently issued for each approved activity for use at the Corporation’s facilities in Illinois.</w:t>
      </w:r>
    </w:p>
    <w:p>
      <w:pPr>
        <w:spacing w:after="0" w:line="18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All cultivation/processing establishments must register with Illinois Department of Agriculture. All dispensaries must register with the Illinois Department of Financial and Professional Regulation. If applications contain all required information, establishments are issued a marijuana establishment registration certificate. Registration certificates are valid for a period of one year and are subject to annual renewals after required fees are paid and the business remains in good standing. Pursuant to Illinois law, registration renewal applications must be received 45 days prior to expiration and may be denied if the license has a history of non-compliance and penalties.</w:t>
      </w:r>
    </w:p>
    <w:p>
      <w:pPr>
        <w:spacing w:after="0" w:line="188" w:lineRule="exact"/>
        <w:rPr>
          <w:sz w:val="20"/>
          <w:szCs w:val="20"/>
          <w:color w:val="auto"/>
        </w:rPr>
      </w:pPr>
    </w:p>
    <w:p>
      <w:pPr>
        <w:jc w:val="both"/>
        <w:ind w:left="200" w:right="440" w:firstLine="441"/>
        <w:spacing w:after="0" w:line="342" w:lineRule="auto"/>
        <w:rPr>
          <w:sz w:val="20"/>
          <w:szCs w:val="20"/>
          <w:color w:val="auto"/>
        </w:rPr>
      </w:pPr>
      <w:r>
        <w:rPr>
          <w:rFonts w:ascii="Arial" w:cs="Arial" w:eastAsia="Arial" w:hAnsi="Arial"/>
          <w:sz w:val="16"/>
          <w:szCs w:val="16"/>
          <w:color w:val="auto"/>
        </w:rPr>
        <w:t>The cultivation/processing licenses permit the Corporation to acquire, possess, cultivate, manufacture/process into edible marijuana products and/or marijuana-infused products, deliver, transfer, have tested, transport, supply or sell marijuana and related supplies to marijuana dispensaries.</w:t>
      </w:r>
    </w:p>
    <w:p>
      <w:pPr>
        <w:spacing w:after="0" w:line="12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retail dispensary licenses permit the Corporation to purchase marijuana and marijuana products from cultivation/processing facilities, as well as allow the sale of marijuana and marijuana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Illinois.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Illinois Reporting Requirements</w:t>
      </w:r>
    </w:p>
    <w:p>
      <w:pPr>
        <w:spacing w:after="0" w:line="113" w:lineRule="exact"/>
        <w:rPr>
          <w:sz w:val="20"/>
          <w:szCs w:val="20"/>
          <w:color w:val="auto"/>
        </w:rPr>
      </w:pPr>
    </w:p>
    <w:p>
      <w:pPr>
        <w:ind w:left="200" w:right="300" w:firstLine="441"/>
        <w:spacing w:after="0" w:line="281" w:lineRule="auto"/>
        <w:rPr>
          <w:sz w:val="20"/>
          <w:szCs w:val="20"/>
          <w:color w:val="auto"/>
        </w:rPr>
      </w:pPr>
      <w:r>
        <w:rPr>
          <w:rFonts w:ascii="Arial" w:cs="Arial" w:eastAsia="Arial" w:hAnsi="Arial"/>
          <w:sz w:val="17"/>
          <w:szCs w:val="17"/>
          <w:color w:val="auto"/>
        </w:rPr>
        <w:t>The state of Illinois uses BioTrack as the state’s computerized track-and-trace (“</w:t>
      </w:r>
      <w:r>
        <w:rPr>
          <w:rFonts w:ascii="Arial" w:cs="Arial" w:eastAsia="Arial" w:hAnsi="Arial"/>
          <w:sz w:val="17"/>
          <w:szCs w:val="17"/>
          <w:b w:val="1"/>
          <w:bCs w:val="1"/>
          <w:color w:val="auto"/>
        </w:rPr>
        <w:t>T&amp;T</w:t>
      </w:r>
      <w:r>
        <w:rPr>
          <w:rFonts w:ascii="Arial" w:cs="Arial" w:eastAsia="Arial" w:hAnsi="Arial"/>
          <w:sz w:val="17"/>
          <w:szCs w:val="17"/>
          <w:color w:val="auto"/>
        </w:rPr>
        <w:t>”) system for seed-to-sale reporting. Individual licensees, whether directly or through third-party integration systems, are required to push data to the state to meet all reporting requirements. The Corporation uses an in-house computerized seed-to-sale software, which integrates with the state’s BioTrack program and captures the necessary data points as required in the Illinois Compassionate Use of Medical Cannabis Program Act.</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Maryland</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2012, a state law was enacted in Maryland to establish a state-regulated medical marijuana program. Legislation was signed in May 2013 and the program became operational on December 1, 2017. The Maryland Medical Cannabis Commission (the “</w:t>
      </w:r>
      <w:r>
        <w:rPr>
          <w:rFonts w:ascii="Arial" w:cs="Arial" w:eastAsia="Arial" w:hAnsi="Arial"/>
          <w:sz w:val="17"/>
          <w:szCs w:val="17"/>
          <w:b w:val="1"/>
          <w:bCs w:val="1"/>
          <w:color w:val="auto"/>
        </w:rPr>
        <w:t>MMCC</w:t>
      </w:r>
      <w:r>
        <w:rPr>
          <w:rFonts w:ascii="Arial" w:cs="Arial" w:eastAsia="Arial" w:hAnsi="Arial"/>
          <w:sz w:val="17"/>
          <w:szCs w:val="17"/>
          <w:color w:val="auto"/>
        </w:rPr>
        <w:t>”) regulates the state program and awarded operational licenses in a highly competitive application process. 102 dispensary licenses were awarded out of a pool of over 800 applicants, while an original 15 cultivation licenses were awarded out of a pool of over 150 applicants. In April 2018, Maryland lawmakers agreed to expand the state’s medical marijuana industry by authorizing an additional 20 licenses, seven for cultivation and 13 for processing. The state program was written to allow access to medical marijuana for patients with any condition that is considered “severe” for which other medical treatments have proven ineffective, including: chronic pain, nausea, seizures, glaucoma and PTSD.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Maryland Licenses and Regulations</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There are three principal license categories in Maryland: (1) cultivation, (2) processing and (3) dispensary. The Corporation has control and/or ownership over one cultivation license, one processing license and three retail dispensaries. All licenses are, as of the date hereof, active with the State of Maryland. The licenses are independently issued for each approved activity for use at the Corporation’s facilities in Maryland.</w:t>
      </w:r>
    </w:p>
    <w:p>
      <w:pPr>
        <w:spacing w:after="0" w:line="16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All cultivation, processing and dispensary establishments must register with the MMCC under the provisions of the Maryland Medical Cannabis Law, Section 13-3301 et seq. If applications contain all required information, establishments are issued a medical marijuana establishment registration certificate. Registration certificates are valid for a period of six years and are subject to annual renewals after required fees are paid and the business remains in good standing. After the first expiration of the approved license, the dispensary, cultivation and processing licensee is required to renew every two years. Licensees are required to submit a renewal application per the guidelines published by the MMCC. 90 days prior to the expiration of a license, the MMCC notifies the licensee of the date on which the license expires and provides the instructions and fee required to renew the license along with the consequences of failure to renew. At least 30 business days before a license expires, the licensee must submit the renewal application as provided by the MMCC.</w:t>
      </w:r>
    </w:p>
    <w:p>
      <w:pPr>
        <w:spacing w:after="0" w:line="19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medical cultivation licenses permit the Corporation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spacing w:after="0" w:line="18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The medical processing license permits the Corporation to acquire, possess, manufacture, deliver, transfer, transport, supply, or sell marijuana products or marijuana-infused products to other medical marijuana production facilities or medical marijuana dispensaries.</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retail dispensary licenses permit the Corporation to purchase marijuana from cultivation facilities, marijuana and marijuana products from product manufacturing facilities and marijuana from other medical marijuana dispensaries, as well as allow the sale of marijuana and marijuana products.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Maryland.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Maryland Reporting Requirements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state of Maryland uses METRC as the state’s computerized T&amp;T system for seed-to-sale reporting. Individual licensees, whether directly or through third-party integration systems, are required to push data to the state to meet all reporting requirements. The Corporation uses an in-house computerized seed-to-sale software, which integrates with the state’s METRC program and captures the required data points for retail as required in the Maryland Medical Cannabis Law. The Corporation uses METRC directly for cultivation and manufacturing.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Massachusetts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Massachusetts legalized medical marijuana when voters passed a ballot initiative in 2012. The Massachusetts Medical Use of Marijuana Program was formed pursuant to the Act for the Humanitarian Medical Use of Marijuana. Adult use marijuana became legal in Massachusetts as of December 15, 2016, following a ballot initiative in November 2016. Dispensaries for the adult use of cannabis in Massachusetts began operating in July 2018.</w:t>
      </w:r>
    </w:p>
    <w:p>
      <w:pPr>
        <w:spacing w:after="0" w:line="143"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8"/>
          <w:szCs w:val="18"/>
          <w:color w:val="auto"/>
        </w:rPr>
        <w:t>In Massachusetts, Registered Marijuana Dispensaries (“</w:t>
      </w:r>
      <w:r>
        <w:rPr>
          <w:rFonts w:ascii="Arial" w:cs="Arial" w:eastAsia="Arial" w:hAnsi="Arial"/>
          <w:sz w:val="18"/>
          <w:szCs w:val="18"/>
          <w:b w:val="1"/>
          <w:bCs w:val="1"/>
          <w:color w:val="auto"/>
        </w:rPr>
        <w:t>RMDs</w:t>
      </w:r>
      <w:r>
        <w:rPr>
          <w:rFonts w:ascii="Arial" w:cs="Arial" w:eastAsia="Arial" w:hAnsi="Arial"/>
          <w:sz w:val="18"/>
          <w:szCs w:val="18"/>
          <w:color w:val="auto"/>
        </w:rPr>
        <w:t>”) are “vertically-integrated,” which means RMDs grow, process and dispense their own marijuana. An RMD must have a retail facility, as well as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cultivation and processing operations. Some RMDs elect to conduct cultivation, processing and retail operations all in one location, which is commonly referred to as a “co-located” operation. An RMD may also choose to have a retail dispensary in one location and grow marijuana at a remote cultivation location. An RMD may process marijuana at either a retail dispensary location or a remote cultivation location. The remote cultivation location need not be in the same municipality, or the same county, as the retail dispensary.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Massachusetts Licenses and Regulations</w:t>
      </w:r>
    </w:p>
    <w:p>
      <w:pPr>
        <w:spacing w:after="0" w:line="117"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There is one principal license category in Massachusetts: vertically-integrated RMD license. The Corporation is licensed to operate one medical and adult use cultivation/processing facility and up to three medical and adult use retail dispensaries. All licenses are, as of the date hereof, active with the State of Massachusetts. The licenses are independently issued for each approved activity for use at the Corporation’s facilities in Massachusetts.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Massachusetts Department of Public Health was the regulatory body that oversaw the original Massachusetts medical program, including all cultivation, processing and dispensary facilities. The Cannabis Control Commission (the “</w:t>
      </w:r>
      <w:r>
        <w:rPr>
          <w:rFonts w:ascii="Arial" w:cs="Arial" w:eastAsia="Arial" w:hAnsi="Arial"/>
          <w:sz w:val="18"/>
          <w:szCs w:val="18"/>
          <w:b w:val="1"/>
          <w:bCs w:val="1"/>
          <w:color w:val="auto"/>
        </w:rPr>
        <w:t>CCC</w:t>
      </w:r>
      <w:r>
        <w:rPr>
          <w:rFonts w:ascii="Arial" w:cs="Arial" w:eastAsia="Arial" w:hAnsi="Arial"/>
          <w:sz w:val="18"/>
          <w:szCs w:val="18"/>
          <w:color w:val="auto"/>
        </w:rPr>
        <w:t>”), a regulatory body created in 2018, now oversees the medical and adult use programs, including licensing of cultivation, processing and dispensary facilities. Licensed medical dispensaries are given priority status in adult use licensing.</w:t>
      </w:r>
    </w:p>
    <w:p>
      <w:pPr>
        <w:spacing w:after="0" w:line="18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Each Massachusetts dispensary, cultivator and processor license is valid for one year and must be renewed no later than 60 calendar days prior to expiration. The CCC can deny or revoke licenses and renewals for multiple reasons, including (a) submission of materially inaccurate, incomplete or fraudulent information, (b) failure to comply with any applicable law or regulation, including laws relating to taxes, child support, workers compensation and insurance coverage, (c) failure to submit or implement a plan of correction, (d) attempting to assign registration to another entity,</w:t>
      </w:r>
    </w:p>
    <w:p>
      <w:pPr>
        <w:spacing w:after="0" w:line="2" w:lineRule="exact"/>
        <w:rPr>
          <w:sz w:val="20"/>
          <w:szCs w:val="20"/>
          <w:color w:val="auto"/>
        </w:rPr>
      </w:pPr>
    </w:p>
    <w:p>
      <w:pPr>
        <w:jc w:val="both"/>
        <w:ind w:left="200" w:right="120" w:firstLine="4"/>
        <w:spacing w:after="0" w:line="302" w:lineRule="auto"/>
        <w:tabs>
          <w:tab w:leader="none" w:pos="44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insufficient financial resources, (f) committing, permitting, aiding or abetting of any illegal practices in the operation of the RMD, (g) failure to cooperate or give information to relevant law enforcement related to any matter arising out of conduct at an RMD and (h) lack of responsible RMD operations, as evidenced by negligence, disorderly or unsanitary facilities or permitting a person to use a registration card belonging to another person.</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RMD license permits the Corporation to cultivate, process and dispense medical and adult use cannabis.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Massachusetts.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Massachusetts Reporting Requirements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Commonwealth of Massachusetts uses the MMJ Online system through the Virtual Gateway portal as the state’s computerized T&amp;T system for seed-to-sale reporting. Individual licensees, whether directly or through third-party integration systems, are required to push data to the state to meet all reporting requirements. The Corporation uses an in-house computerized seed-to-sale software, which integrates with the state’s program and captures the required data points for cultivation, manufacturing and retail as required in the Massachusetts marijuana laws and regulations.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Nevada</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In 2018, the Nevada Department of Taxation (the “</w:t>
      </w:r>
      <w:r>
        <w:rPr>
          <w:rFonts w:ascii="Arial" w:cs="Arial" w:eastAsia="Arial" w:hAnsi="Arial"/>
          <w:sz w:val="18"/>
          <w:szCs w:val="18"/>
          <w:b w:val="1"/>
          <w:bCs w:val="1"/>
          <w:color w:val="auto"/>
        </w:rPr>
        <w:t>DOT</w:t>
      </w:r>
      <w:r>
        <w:rPr>
          <w:rFonts w:ascii="Arial" w:cs="Arial" w:eastAsia="Arial" w:hAnsi="Arial"/>
          <w:sz w:val="18"/>
          <w:szCs w:val="18"/>
          <w:color w:val="auto"/>
        </w:rPr>
        <w:t>”) opened up applications for additional adult use marijuana dispensary licenses. Only those companies that held medical marijuana licenses in the state could apply. In December 2018, 61 additional marijuana dispensary licenses were issued by the DOT.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Nevada Licenses and Regulations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There are three principal license categories in Nevada: (1) cultivation, (2) processing and (3) dispensary. The Corporation is licensed to operate two medical and adult use cultivation facilities, three medical and adult use processing facilities, five medical dispensary licenses and up to 13 adult use retail locations. All licenses are, as of the date hereof, active with the State of Nevada. The licenses are independently issued for each approved activity for use at the Corporation’s facilities in Nevada.</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applicable laws, the licenses permit the Corporation to cultivate, manufacture, process, package, sell and purchase marijuana pursuant to the terms of the licenses, which are issued by the DOT under the provisions of Nevada Revised Statutes section 453A. If applications contain all required information, establishments are issued a marijuana establishment registration certificate. In a local governmental jurisdiction that issues business licenses, the issuance by DOT of a marijuana establishment registration certificate is considered provisional until the local government has issued a business license for operation and an establishment is in compliance with all applicable local governmental ordinances. Final registration certificates are valid for a period of one year and the Nevada DOT shall issue a renewal license within ten days after the receipt of a renewal application and applicable fee if the license is not then under suspension or has not been revoked.</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cultivation licenses permit the Corporation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processing license permits the Corporation to acquire, possess, manufacture, deliver, transfer, transport, supply or sell edible marijuana products or marijuana-infused products to other marijuana production facilities or marijuana dispensaries.</w:t>
      </w:r>
    </w:p>
    <w:p>
      <w:pPr>
        <w:spacing w:after="0" w:line="170"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The retail dispensary licenses permit the Corporation to purchase marijuana from cultivation facilities, marijuana and marijuana products from product manufacturing facilities and marijuana from other retail stores, as well as allow the sale of marijuana and marijuana products.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Nevada.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Nevada Reporting Requirements</w:t>
      </w:r>
    </w:p>
    <w:p>
      <w:pPr>
        <w:spacing w:after="0" w:line="113" w:lineRule="exact"/>
        <w:rPr>
          <w:sz w:val="20"/>
          <w:szCs w:val="20"/>
          <w:color w:val="auto"/>
        </w:rPr>
      </w:pPr>
    </w:p>
    <w:p>
      <w:pPr>
        <w:ind w:left="200" w:right="40" w:firstLine="441"/>
        <w:spacing w:after="0" w:line="303" w:lineRule="auto"/>
        <w:rPr>
          <w:sz w:val="20"/>
          <w:szCs w:val="20"/>
          <w:color w:val="auto"/>
        </w:rPr>
      </w:pPr>
      <w:r>
        <w:rPr>
          <w:rFonts w:ascii="Arial" w:cs="Arial" w:eastAsia="Arial" w:hAnsi="Arial"/>
          <w:sz w:val="16"/>
          <w:szCs w:val="16"/>
          <w:color w:val="auto"/>
        </w:rPr>
        <w:t>The state of Nevada uses Marijuana Enforcement Tracking Regulation and Compliance (“</w:t>
      </w:r>
      <w:r>
        <w:rPr>
          <w:rFonts w:ascii="Arial" w:cs="Arial" w:eastAsia="Arial" w:hAnsi="Arial"/>
          <w:sz w:val="16"/>
          <w:szCs w:val="16"/>
          <w:b w:val="1"/>
          <w:bCs w:val="1"/>
          <w:color w:val="auto"/>
        </w:rPr>
        <w:t>METRC</w:t>
      </w:r>
      <w:r>
        <w:rPr>
          <w:rFonts w:ascii="Arial" w:cs="Arial" w:eastAsia="Arial" w:hAnsi="Arial"/>
          <w:sz w:val="16"/>
          <w:szCs w:val="16"/>
          <w:color w:val="auto"/>
        </w:rPr>
        <w:t>”) as the state’s computerized T&amp;T system for seed-to-sale reporting. Individual licensees, whether directly or through third-party integration systems, are required to push data to the state to meet all reporting requirements. The Corporation has designated an in-house computerized seed-to-sale software that integrates with METRC via API, which captures the required data points for cultivation, manufacturing and retail as required in Nevada Revised Statutes section 453A.</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New Jersey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January 18, 2010, the governor of New Jersey signed into law S.119, the Compassionate Use Medical Marijuana Act (the “</w:t>
      </w:r>
      <w:r>
        <w:rPr>
          <w:rFonts w:ascii="Arial" w:cs="Arial" w:eastAsia="Arial" w:hAnsi="Arial"/>
          <w:sz w:val="17"/>
          <w:szCs w:val="17"/>
          <w:b w:val="1"/>
          <w:bCs w:val="1"/>
          <w:color w:val="auto"/>
        </w:rPr>
        <w:t>NJ Act</w:t>
      </w:r>
      <w:r>
        <w:rPr>
          <w:rFonts w:ascii="Arial" w:cs="Arial" w:eastAsia="Arial" w:hAnsi="Arial"/>
          <w:sz w:val="17"/>
          <w:szCs w:val="17"/>
          <w:color w:val="auto"/>
        </w:rPr>
        <w:t>”),</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permitting the use of medical cannabis for persons with certain debilitating conditions. The law permits the New Jersey Department of Health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NJDOH</w:t>
      </w:r>
      <w:r>
        <w:rPr>
          <w:rFonts w:ascii="Arial" w:cs="Arial" w:eastAsia="Arial" w:hAnsi="Arial"/>
          <w:sz w:val="16"/>
          <w:szCs w:val="16"/>
          <w:color w:val="auto"/>
        </w:rPr>
        <w:t>”) to create rules to add other illnesses to the permitted conditions. The NJ Act mandates that cannabis must be acquired through Alternative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Treatment Centers (each an “</w:t>
      </w:r>
      <w:r>
        <w:rPr>
          <w:rFonts w:ascii="Arial" w:cs="Arial" w:eastAsia="Arial" w:hAnsi="Arial"/>
          <w:sz w:val="18"/>
          <w:szCs w:val="18"/>
          <w:b w:val="1"/>
          <w:bCs w:val="1"/>
          <w:color w:val="auto"/>
        </w:rPr>
        <w:t>ATC</w:t>
      </w:r>
      <w:r>
        <w:rPr>
          <w:rFonts w:ascii="Arial" w:cs="Arial" w:eastAsia="Arial" w:hAnsi="Arial"/>
          <w:sz w:val="18"/>
          <w:szCs w:val="18"/>
          <w:color w:val="auto"/>
        </w:rPr>
        <w:t>”) licensed by the State.</w:t>
      </w:r>
    </w:p>
    <w:p>
      <w:pPr>
        <w:spacing w:after="0" w:line="211"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 xml:space="preserve">A single ATC license allows for the cultivation, processing and dispensing of medical marijuana products. Originally, each ATC was permitted to open one dispensary. With the </w:t>
      </w:r>
      <w:r>
        <w:rPr>
          <w:rFonts w:ascii="Arial" w:cs="Arial" w:eastAsia="Arial" w:hAnsi="Arial"/>
          <w:sz w:val="17"/>
          <w:szCs w:val="17"/>
          <w:i w:val="1"/>
          <w:iCs w:val="1"/>
          <w:color w:val="auto"/>
        </w:rPr>
        <w:t>Executive Order 6 Report</w:t>
      </w:r>
      <w:r>
        <w:rPr>
          <w:rFonts w:ascii="Arial" w:cs="Arial" w:eastAsia="Arial" w:hAnsi="Arial"/>
          <w:sz w:val="17"/>
          <w:szCs w:val="17"/>
          <w:color w:val="auto"/>
        </w:rPr>
        <w:t>, each ATC can now open two additional satellite dispensaries within their NJDOH-designated region for a total of three dispensaries each, as well as satellite production facilities, subject to regulatory approval.</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March 27, 2018 through executive order No. 6 (2018), Governor Phil Murphy expanded the medical marijuana program, announcing the 20-plus recommendations presented by the NJDOH on March 23, 2018. The NJDOH’s recommendations and next steps included certain measures that took effect immediately (e.g. the addition of debilitating conditions and the reduction of registration fees) and other recommendations (e.g. the home delivery model) that require further regulatory or statutory enactment.</w:t>
      </w:r>
    </w:p>
    <w:p>
      <w:pPr>
        <w:spacing w:after="0" w:line="183" w:lineRule="exact"/>
        <w:rPr>
          <w:sz w:val="20"/>
          <w:szCs w:val="20"/>
          <w:color w:val="auto"/>
        </w:rPr>
      </w:pPr>
    </w:p>
    <w:p>
      <w:pPr>
        <w:ind w:left="200" w:right="60" w:firstLine="441"/>
        <w:spacing w:after="0" w:line="258" w:lineRule="auto"/>
        <w:rPr>
          <w:sz w:val="20"/>
          <w:szCs w:val="20"/>
          <w:color w:val="auto"/>
        </w:rPr>
      </w:pPr>
      <w:r>
        <w:rPr>
          <w:rFonts w:ascii="Arial" w:cs="Arial" w:eastAsia="Arial" w:hAnsi="Arial"/>
          <w:sz w:val="18"/>
          <w:szCs w:val="18"/>
          <w:color w:val="auto"/>
        </w:rPr>
        <w:t>On July 2, 2019, Governor Phil Murphy signed the Jake Honig Compassionate Use Medical Cannabis Act into law (“</w:t>
      </w:r>
      <w:r>
        <w:rPr>
          <w:rFonts w:ascii="Arial" w:cs="Arial" w:eastAsia="Arial" w:hAnsi="Arial"/>
          <w:sz w:val="18"/>
          <w:szCs w:val="18"/>
          <w:b w:val="1"/>
          <w:bCs w:val="1"/>
          <w:color w:val="auto"/>
        </w:rPr>
        <w:t>CUMCA</w:t>
      </w:r>
      <w:r>
        <w:rPr>
          <w:rFonts w:ascii="Arial" w:cs="Arial" w:eastAsia="Arial" w:hAnsi="Arial"/>
          <w:sz w:val="18"/>
          <w:szCs w:val="18"/>
          <w:color w:val="auto"/>
        </w:rPr>
        <w:t>”), which amended the NJ Act. Previously, New Jersey law only permitted applicants to apply for vertically-integrated licenses. Under CUMCA, the permit process includes three different permit types. The new permit types are medical cannabis cultivator, dispensary and manufacturer permits, which are to be applied for individually. The vertically-integrated ATC will continue to be able to cultivate, manufacture and dispense medical cannabis. These new permit types are still in the application stage and have not yet been awarded.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Jersey Licenses and Regulations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There is currently one principal license category in New Jersey: vertically-integrated ATC license. The Corporation is licensed to operate one medical cultivation and processing facility and up to three retail medical cannabis dispensaries in the state of New Jersey. All licenses are, as of the date hereof, active with the State of New Jersey. The licenses are independently issued for each approved activity for use at the Corporation facilities in New Jersey.</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NJDOH is responsible for issuing permits and administering the NJ Act to ensure qualifying patients’ access to safe cannabis for medical use in New Jersey.</w:t>
      </w:r>
    </w:p>
    <w:p>
      <w:pPr>
        <w:spacing w:after="0" w:line="17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ATC permits expire annually on December 31. A permit renewal application must be submitted at least 60 days prior to the expiration date. An ATC that seeks to renew its permit shall submit to the permitting authority an application for renewal with all required documentation and the required fees. Prior to the issuance of any permit, the Corporation must certify that it submits to the jurisdiction of the courts of the State of New Jersey and agrees to comply with all the requirements of the laws of New Jersey pertaining to New Jersey’s Medicinal Marijuana Program.</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New Jersey.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Jersey Reporting Requirements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New Jersey does not have a unified T&amp;T system. All information is forwarded to the medical marijuana program through email. The ATC collects and submits to the NJDOH for each calendar year statistical data on (a) the number of registered qualified patients and registered primary caregivers,</w:t>
      </w:r>
    </w:p>
    <w:p>
      <w:pPr>
        <w:ind w:left="200" w:right="280" w:firstLine="4"/>
        <w:spacing w:after="0" w:line="254" w:lineRule="auto"/>
        <w:tabs>
          <w:tab w:leader="none" w:pos="4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debilitating medical conditions of the qualified patients, (c) patient demographic data, (d) summary of the patient surveys and evaluation of services and (e) other information as the NJDOH may require. The ATC must retain records for at least two years. The Corporation also uses an in-house computerized seed-to-sale software, which captures the required data points for cultivation, manufacturing and retail as required in the New Jersey marijuana laws and regulations.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New York</w:t>
      </w:r>
    </w:p>
    <w:p>
      <w:pPr>
        <w:spacing w:after="0" w:line="113" w:lineRule="exact"/>
        <w:rPr>
          <w:sz w:val="20"/>
          <w:szCs w:val="20"/>
          <w:color w:val="auto"/>
        </w:rPr>
      </w:pPr>
    </w:p>
    <w:p>
      <w:pPr>
        <w:ind w:left="200" w:right="280" w:firstLine="441"/>
        <w:spacing w:after="0" w:line="303" w:lineRule="auto"/>
        <w:rPr>
          <w:sz w:val="20"/>
          <w:szCs w:val="20"/>
          <w:color w:val="auto"/>
        </w:rPr>
      </w:pPr>
      <w:r>
        <w:rPr>
          <w:rFonts w:ascii="Arial" w:cs="Arial" w:eastAsia="Arial" w:hAnsi="Arial"/>
          <w:sz w:val="16"/>
          <w:szCs w:val="16"/>
          <w:color w:val="auto"/>
        </w:rPr>
        <w:t>In July 2014, the New York Legislature and Governor enacted the Compassionate Care Act (the “</w:t>
      </w:r>
      <w:r>
        <w:rPr>
          <w:rFonts w:ascii="Arial" w:cs="Arial" w:eastAsia="Arial" w:hAnsi="Arial"/>
          <w:sz w:val="16"/>
          <w:szCs w:val="16"/>
          <w:b w:val="1"/>
          <w:bCs w:val="1"/>
          <w:color w:val="auto"/>
        </w:rPr>
        <w:t>CCA</w:t>
      </w:r>
      <w:r>
        <w:rPr>
          <w:rFonts w:ascii="Arial" w:cs="Arial" w:eastAsia="Arial" w:hAnsi="Arial"/>
          <w:sz w:val="16"/>
          <w:szCs w:val="16"/>
          <w:color w:val="auto"/>
        </w:rPr>
        <w:t>”) to provide a comprehensive, safe and effective medical marijuana program. The CCA provides access to the program for those who suffer from qualifying serious conditions including: cancer, HIV/AIDS, ALS and PTSD. The program allows ten “</w:t>
      </w:r>
      <w:r>
        <w:rPr>
          <w:rFonts w:ascii="Arial" w:cs="Arial" w:eastAsia="Arial" w:hAnsi="Arial"/>
          <w:sz w:val="16"/>
          <w:szCs w:val="16"/>
          <w:b w:val="1"/>
          <w:bCs w:val="1"/>
          <w:color w:val="auto"/>
        </w:rPr>
        <w:t>Registered Organizations</w:t>
      </w:r>
      <w:r>
        <w:rPr>
          <w:rFonts w:ascii="Arial" w:cs="Arial" w:eastAsia="Arial" w:hAnsi="Arial"/>
          <w:sz w:val="16"/>
          <w:szCs w:val="16"/>
          <w:color w:val="auto"/>
        </w:rPr>
        <w:t>” to hold vertically-integrated licenses and service qualified patients and caregivers. Each Registered Organization has one cultivation/processing license and four dispensary licenses.</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Under the terms of licenses in the state of New York, licensees are permitted to sell medical marijuana manufactured products that are approved by the New York State Department of Health (“</w:t>
      </w:r>
      <w:r>
        <w:rPr>
          <w:rFonts w:ascii="Arial" w:cs="Arial" w:eastAsia="Arial" w:hAnsi="Arial"/>
          <w:sz w:val="18"/>
          <w:szCs w:val="18"/>
          <w:b w:val="1"/>
          <w:bCs w:val="1"/>
          <w:color w:val="auto"/>
        </w:rPr>
        <w:t>NYSDOH</w:t>
      </w:r>
      <w:r>
        <w:rPr>
          <w:rFonts w:ascii="Arial" w:cs="Arial" w:eastAsia="Arial" w:hAnsi="Arial"/>
          <w:sz w:val="18"/>
          <w:szCs w:val="18"/>
          <w:color w:val="auto"/>
        </w:rPr>
        <w:t>”) to any qualified patient who possesses a physician’s recommendation, provided that the patient presents a valid government-issued photo identification and NYSDOH-issued Registry Identification Card proving that the patient or designated caregiver meets the statutory conditions to be a qualified patient or designated caregiver. The card contains the recommendation from the physician and the limitation on form or dosage of medical marijuana.</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order for a patient or registered caregiver to receive dispensed marijuana, they must be logged into the Prescription Monitoring Program (“</w:t>
      </w:r>
      <w:r>
        <w:rPr>
          <w:rFonts w:ascii="Arial" w:cs="Arial" w:eastAsia="Arial" w:hAnsi="Arial"/>
          <w:sz w:val="18"/>
          <w:szCs w:val="18"/>
          <w:b w:val="1"/>
          <w:bCs w:val="1"/>
          <w:color w:val="auto"/>
        </w:rPr>
        <w:t>PMP</w:t>
      </w:r>
      <w:r>
        <w:rPr>
          <w:rFonts w:ascii="Arial" w:cs="Arial" w:eastAsia="Arial" w:hAnsi="Arial"/>
          <w:sz w:val="18"/>
          <w:szCs w:val="18"/>
          <w:color w:val="auto"/>
        </w:rPr>
        <w:t>”) registry. The PMP registry is monitored by the NYSDOH and contains controlled substance prescription dispensing history and medical marijuana dispensing history to ensure that patients only receive a maximum of 30 days’ worth of dispensed product from one Registered Organization. Only registered pharmacists can dispense medical marijuana to approved patients and caregivers.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York Licenses and Regulations</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There is one principal license category in New York: vertically-integrated license. The Corporation is licensed to operate one medical marijuana cultivation/manufacturing facility and up to four medical marijuana dispensaries. All licenses are, as of the date hereof, active with the State of New York. The licenses are independently issued for each approved activity for use at the Corporation’s facilities in New York.</w:t>
      </w:r>
    </w:p>
    <w:p>
      <w:pPr>
        <w:spacing w:after="0" w:line="166"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The NYSDOH is the regulatory agency that oversees the medical marijuana program in New York. New York is a vertically-integrated system; however, the state does allow Registered Organizations to wholesale manufactured products to one another. As such, the Corporation has the ability to be vertically-integrated and cultivate, harvest, process, transport, sell and dispense cannabis products. Delivery is allowed from dispensaries to patients, however the delivery plan must be pre-approved by the NYSDOH.</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New York.</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York Reporting Requirements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State of New York has selected BioTrackTHC’s system as the state’s T&amp;T system used to track commercial cannabis activity and seed-to-sale. The BioTrackTHC system must serve as all Registered Organizations’ patient verification system but is optional as Registered Organizations’ tracking system. The Corporation currently uses BioTrackTHC as its seed-to-sale tracking system, but GTI also integrates its in-house seed-to-sale tracking system with BioTrackTHC.</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Every month the NYSDOH requests a dispensing report in Excel format, via email, showing all products dispensed for the month. This is the only report that the Corporation is required to submit to the NYSDOH. All other data is pulled by the NYSDOH directly from the Corporation’s seed-to-sale tracking system.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Ohio</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In November 2018, the state issued 12 ‘Level I’ cultivation licenses, which permit up to 25,000 square feet of canopy, and 12 ‘Level II’ cultivation licenses, which permit up to 3,000 square feet of canopy. In June 2018, the state issued 56 dispensary licenses. In August 2018, the state issued seven processing licenses and, over the next few months, issued seven additional processing licenses. In January 2019, the state issued an additional 26 processing licenses for a total of 40 across Ohio. On December 3, 2019, the State of Ohio Board of Pharmacy awarded one additional medical marijuana provisional dispensary license. The licenses were awarded after an extensive review of 376 submitted dispensary applications.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By rule, the State of Ohio Board of Pharmacy is currently limited to issuing up to 60 dispensary licenses across the state. Under the program rules, the Board will consider, on at least a biennial basis, whether enough medical marijuana dispensaries exist, considering the state population, the number of patients seeking to use medical marijuana and the geographic distribution of dispensary sites.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Ohio License and Regulations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There are three principal license categories in Ohio: (1) cultivation, (2) processing and (3) dispensary. The Corporation is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the Corporation’s facilities in Ohio.</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spacing w:after="0" w:line="17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Certificates of operation for dispensaries carry two year terms, while certificates of operation for cultivators and processors must be renewed annually. A certificate of operation will expire on the date identified on the certificate. A dispensary licensee will receive written or electronic notice 90 days before the expiration of its certificate of operation. The dispensary licensee must submit the renewal information at least 45 days prior to the date the existing certificate expires. A processor or cultivator licensee must submit the renewal application at least 30 days prior to the expiration date of the certificate of operation. If a licensee’s renewal application is not filed prior to the expiration date of the certificate of operation, the certificate of operation will be suspended for a maximum of 30 days. After 30 days, if the licensee has not successfully renewed the certificate of operation, including the payment of all applicable fees, the certificate of operations will be deemed expired.</w:t>
      </w:r>
    </w:p>
    <w:p>
      <w:pPr>
        <w:spacing w:after="0" w:line="178" w:lineRule="exact"/>
        <w:rPr>
          <w:sz w:val="20"/>
          <w:szCs w:val="20"/>
          <w:color w:val="auto"/>
        </w:rPr>
      </w:pPr>
    </w:p>
    <w:p>
      <w:pPr>
        <w:ind w:left="200" w:right="460" w:firstLine="441"/>
        <w:spacing w:after="0" w:line="308" w:lineRule="auto"/>
        <w:rPr>
          <w:sz w:val="20"/>
          <w:szCs w:val="20"/>
          <w:color w:val="auto"/>
        </w:rPr>
      </w:pPr>
      <w:r>
        <w:rPr>
          <w:rFonts w:ascii="Arial" w:cs="Arial" w:eastAsia="Arial" w:hAnsi="Arial"/>
          <w:sz w:val="17"/>
          <w:szCs w:val="17"/>
          <w:color w:val="auto"/>
        </w:rPr>
        <w:t>The medical cultivation licenses permit the Corporation to acquire, possess, cultivate, manufacture/process into medical marijuana products, deliver, transfer, have tested, transport, supply or sell marijuana and related supplies to medical marijuana dispensaries.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medical processor license permits the Corporation to manufacture and produce medical marijuana products.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dispensary licenses will permit the Corporation to purchase marijuana and marijuana products from cultivation and/or processing facilities, as well as allow the sale of marijuana and marijuana products to registered patients.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Ohio.</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Ohio Reporting Requirements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Ohio uses METRC as its seed-to-sale tracking system. Licensees are required to use METRC in Ohio to push data to the state to meet all of the reporting requirements. The Corporation integrates its in-house seed-to-sale tracking system with METRC to capture the required data points as required in the Ohio medical marijuana laws and regulations.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Pennsylvania</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Pennsylvania medical marijuana program was signed into law on April 17, 2016 under Act 16 and provided access to state residents with one or more of 17 qualifying conditions, including: epilepsy, chronic pain and PTSD. The state originally awarded only 12 licenses to cultivate/process and 27 licenses to operate retail dispensaries (which entitled holders to up to three medical dispensary locations per retail license).</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March 22, 2018, it was announced that the final phase of the Pennsylvania medical marijuana program would initiate its rollout, which included 13 additional cultivation/processing licenses and 23 additional dispensary licenses. Additionally, the list of qualifying conditions was expanded from 17 to 21.</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Pennsylvania Licenses and Regulations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There are two principal license categories in Pennsylvania: (1) cultivation/processing and (2) dispensary. The Corporation’s subsidiary GTI Pennsylvania, LLC is licensed to operate one medical cultivation/processing facility and up to 15 medical retail locations, and its subsidiary KW Ventures Holdings, LLC is licensed to operate up to three medical retail locations. All licenses are, as of the date hereof, active with the Commonwealth of Pennsylvania. The licenses are independently issued for each approved activity for use at the Corporation’s facilities in Pennsylvania.</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All cultivation/processing establishments and dispensaries must register with Pennsylvania Department of Health. Registration certificates are valid for a period of one year and are subject to annual renewals after required fees are paid and the business remains in good standing. The Pennsylvania Department of Health must renew a permit unless it determines the applicant is unlikely to maintain effective control against diversion of medical cannabis and the applicant is unlikely to comply with all laws as prescribed under the Pennsylvania medical marijuana program. 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p>
    <w:p>
      <w:pPr>
        <w:spacing w:after="0" w:line="189"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medical cultivation/processing licenses permit the Corporation to acquire, possess, cultivate, manufacture/process into medical marijuana products and/or medical marijuana-infused products, deliver, transfer, have tested, transport, supply or sell marijuana and related supplies to medical marijuana dispensaries.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retail dispensary licenses permit the Corporation to purchase marijuana and marijuana products from cultivation/processing facilities, as well as allow the sale of marijuana and marijuana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Pennsylvania.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Pennsylvania Reporting Requirements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Pennsylvania uses MJ Freeway as the state’s computerized T&amp;T system for seed-to-sale reporting. Individual licensees are required to use MJ Freeway to push data to the state to meet all reporting requirements. The Corporation uses MJ Freeway as its seed-to-sale software, which integrates with the state’s MJ Freeway program and captures the required data points for cultivation, manufacturing and retail as required in the Pennsylvania medical marijuana laws and regulations.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Applicable Federal Law</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Corporation is in compliance with applicable cannabis licensing requirements and the regulatory framework enacted by each state in which it operates. The Corporation is not subject to any material citations or notices of violation of applicable licensing requirements or the regulatory framework enacted by each applicable state which may have an adverse impact on its licenses, business activities or operations.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Corporation has in place a detailed compliance program and an internal legal and compliance department and is building out its operational compliance team across all states in which it operates. The Corporation also has external state and local regulatory/compliance counsel engaged in every jurisdiction in which it operates.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Corporation provides training for all employees, including on the following topics:</w:t>
      </w:r>
    </w:p>
    <w:p>
      <w:pPr>
        <w:spacing w:after="0" w:line="131"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state and local laws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 cannabis use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Dispensing procedures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and safety policies and procedures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T&amp;T training session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procedures</w:t>
      </w:r>
    </w:p>
    <w:p>
      <w:pPr>
        <w:spacing w:after="0" w:line="22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Corporation emphasizes security and inventory control to ensure strict monitoring of cannabis and inventory, from delivery by a licensed distributor to sale or disposal. Only authorized, properly trained employees are allowed to access the Corporation’s computerized seed-to-sale system.</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Corporation monitors all compliance notifications from the regulators and inspectors in each market and timely resolves any issues identified. The Corporation keeps records of all compliance notifications received from the state regulators or inspectors, as well as how and when an issue was resolved. Moreover, the Corporation monitors news sources for information regarding developments at the state and federal level relating to the regulation and criminalization of cannabis.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Further, the Corporation has created comprehensive standard operating procedures that include detailed descriptions and instructions for receiving shipments of inventory, inventory tracking, recordkeeping and record retention practices related to inventory. The Corporation also has comprehensive standard operating procedures in place for performing inventory reconciliation, and ensuring the accuracy of inventory tracking and recordkeeping. The Corporation maintains accurate records of its inventory at all licensed facilities. Adherence to the Corporation’s standard operating procedures is mandatory and ensures that the Corporation’s operations are compliant with the rules set forth by the applicable state and local laws, regulations, ordinances, licenses and other requirements. The Corporation ensures adherence to standard operating procedures by regularly conducting internal inspections and ensures that any issues identified are resolved quickly and thoroughly.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Law</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inconsistencies between federal and state regulation of cannabis were addressed in a memorandum which then-Deputy Attorney General James Cole sent to all U.S. District Attorneys in August 2013 (the “</w:t>
      </w:r>
      <w:r>
        <w:rPr>
          <w:rFonts w:ascii="Arial" w:cs="Arial" w:eastAsia="Arial" w:hAnsi="Arial"/>
          <w:sz w:val="17"/>
          <w:szCs w:val="17"/>
          <w:b w:val="1"/>
          <w:bCs w:val="1"/>
          <w:color w:val="auto"/>
        </w:rPr>
        <w:t>Cole Memorandum</w:t>
      </w:r>
      <w:r>
        <w:rPr>
          <w:rFonts w:ascii="Arial" w:cs="Arial" w:eastAsia="Arial" w:hAnsi="Arial"/>
          <w:sz w:val="17"/>
          <w:szCs w:val="17"/>
          <w:color w:val="auto"/>
        </w:rPr>
        <w:t>”) outlining certain priorities for the DOJ relating to the prosecution of cannabis offenses. The Cole Memorandum acknowledged that, notwithstanding the designation of cannabis as a Schedule I controlled substance at the federal level, several states had enacted laws authorizing the use of cannabis for medical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DOJ did not provide (and has not provided since) specific guidelines for what regulatory and enforcement systems would be deemed sufficient under the Cole Memorandum. In light of limited investigative and prosecutorial resources, the Cole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Memorandum concluded that the DOJ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7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On January 4, 2018, former U.S. Attorney General Jeff Sessions issued a new memorandum (the “</w:t>
      </w:r>
      <w:r>
        <w:rPr>
          <w:rFonts w:ascii="Arial" w:cs="Arial" w:eastAsia="Arial" w:hAnsi="Arial"/>
          <w:sz w:val="16"/>
          <w:szCs w:val="16"/>
          <w:b w:val="1"/>
          <w:bCs w:val="1"/>
          <w:color w:val="auto"/>
        </w:rPr>
        <w:t>Sessions Memorandum</w:t>
      </w:r>
      <w:r>
        <w:rPr>
          <w:rFonts w:ascii="Arial" w:cs="Arial" w:eastAsia="Arial" w:hAnsi="Arial"/>
          <w:sz w:val="16"/>
          <w:szCs w:val="16"/>
          <w:color w:val="auto"/>
        </w:rPr>
        <w:t>”), which rescinded the Cole Memorandum.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The Corporation is not aware of any prosecutions of investment companies doing routine business with licensed marijuana related businesses in light of the new DOJ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64"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While federal prosecutors appear to continue to use the Cole Memorandum’s priorities as an enforcement guide, the Corporation believes it is too soon to determine what prosecutorial effects will be created by the rescission of the Cole Memorandum and the implementation of the Sessions Memorandum. The sheer size of the cannabis industry, in addition to participation by state and local governments and investors, suggests that a large-scale federal enforcement operation would more than likely create unwanted political backlash for the DOJ and the current administration. It is also possible that the revocation of the Cole Memorandum could motivate Congress to reconcile federal and state laws. Indeed, the U.S. House Judiciary Committee approved a bill on November 20, 2019 that removes cannabis from Schedule I of the CSA. This legislation will next be voted upon by the U.S. House of Representatives. If the bill passes the House of Representatives, it will then advance to the U.S. Senate. While Congress is considering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 use cannabis, even if state law authorizes such sale and disbursement. It is unclear whether the risk of enforcement has been altered.</w:t>
      </w:r>
    </w:p>
    <w:p>
      <w:pPr>
        <w:spacing w:after="0" w:line="179"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color w:val="auto"/>
        </w:rPr>
        <w:t>On June 7, 2018, the Strengthening the Tenth Amendment Through Entrusting States Act (the “</w:t>
      </w:r>
      <w:r>
        <w:rPr>
          <w:rFonts w:ascii="Arial" w:cs="Arial" w:eastAsia="Arial" w:hAnsi="Arial"/>
          <w:sz w:val="17"/>
          <w:szCs w:val="17"/>
          <w:b w:val="1"/>
          <w:bCs w:val="1"/>
          <w:color w:val="auto"/>
        </w:rPr>
        <w:t>STATES Act</w:t>
      </w:r>
      <w:r>
        <w:rPr>
          <w:rFonts w:ascii="Arial" w:cs="Arial" w:eastAsia="Arial" w:hAnsi="Arial"/>
          <w:sz w:val="17"/>
          <w:szCs w:val="17"/>
          <w:color w:val="auto"/>
        </w:rPr>
        <w: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CSA, as applied to marijuana, “</w:t>
      </w:r>
      <w:r>
        <w:rPr>
          <w:rFonts w:ascii="Arial" w:cs="Arial" w:eastAsia="Arial" w:hAnsi="Arial"/>
          <w:sz w:val="17"/>
          <w:szCs w:val="17"/>
          <w:i w:val="1"/>
          <w:iCs w:val="1"/>
          <w:color w:val="auto"/>
        </w:rPr>
        <w:t>shall not apply to any person acting in compliance with state law relating to the manufacture, production, possession, distribution, dispensation,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administration, or delivery of marihuana</w:t>
      </w:r>
      <w:r>
        <w:rPr>
          <w:rFonts w:ascii="Arial" w:cs="Arial" w:eastAsia="Arial" w:hAnsi="Arial"/>
          <w:sz w:val="17"/>
          <w:szCs w:val="17"/>
          <w:color w:val="auto"/>
        </w:rPr>
        <w:t>.” Even though marijuana will remain within Schedule I of the CSA under the STATES Act, the bill makes the</w:t>
      </w:r>
      <w:r>
        <w:rPr>
          <w:rFonts w:ascii="Arial" w:cs="Arial" w:eastAsia="Arial" w:hAnsi="Arial"/>
          <w:sz w:val="17"/>
          <w:szCs w:val="17"/>
          <w:i w:val="1"/>
          <w:iCs w:val="1"/>
          <w:color w:val="auto"/>
        </w:rPr>
        <w:t xml:space="preserve"> </w:t>
      </w:r>
      <w:r>
        <w:rPr>
          <w:rFonts w:ascii="Arial" w:cs="Arial" w:eastAsia="Arial" w:hAnsi="Arial"/>
          <w:sz w:val="17"/>
          <w:szCs w:val="17"/>
          <w:color w:val="auto"/>
        </w:rPr>
        <w:t>CSA unenforceable to the extent it conflicts with state law. In essence, the bill extends the limitations afforded by the protection within the federal budget—which prevents the DOJ and the DEA from using funds to enforce federal law against state-legal medical cannabis commercial activity—to both medical and adult use cannabis activity in all states where it has been legalized. By allowing continued prohibition to be a choice by the individual states, the STATES Act does not fully legalize cannabis on a national level. In that respect, the bill emphasizes states’ rights under the Tenth Amendment, which provides that “</w:t>
      </w:r>
      <w:r>
        <w:rPr>
          <w:rFonts w:ascii="Arial" w:cs="Arial" w:eastAsia="Arial" w:hAnsi="Arial"/>
          <w:sz w:val="17"/>
          <w:szCs w:val="17"/>
          <w:i w:val="1"/>
          <w:iCs w:val="1"/>
          <w:color w:val="auto"/>
        </w:rPr>
        <w:t>the powers not delegated to the United States by the Constitution, nor prohibited by it to the States, are reserved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States respectively, or to the people.” </w:t>
      </w:r>
      <w:r>
        <w:rPr>
          <w:rFonts w:ascii="Arial" w:cs="Arial" w:eastAsia="Arial" w:hAnsi="Arial"/>
          <w:sz w:val="17"/>
          <w:szCs w:val="17"/>
          <w:color w:val="auto"/>
        </w:rPr>
        <w:t>Under the STATES Act companies operating legal cannabis businesses would no longer be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“trafficking” under the CSA, and this would likely assist financial institutions in transacting with individuals and businesses in the cannabis industry without the threat of money laundering prosecution, civil forfeiture and other criminal violations that could lead to a charter revocation. The STATES Act was reintroduced on April 4, 2019 in both the House and the Senate. Since the STATES Act is currently draft legislation, there is no guarantee that the STATES Act will become law in its current form.</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w:t>
      </w:r>
      <w:r>
        <w:rPr>
          <w:rFonts w:ascii="Arial" w:cs="Arial" w:eastAsia="Arial" w:hAnsi="Arial"/>
          <w:sz w:val="16"/>
          <w:szCs w:val="16"/>
          <w:b w:val="1"/>
          <w:bCs w:val="1"/>
          <w:color w:val="auto"/>
        </w:rPr>
        <w:t>Rohrabacher-Blumenauer Amendment</w:t>
      </w:r>
      <w:r>
        <w:rPr>
          <w:rFonts w:ascii="Arial" w:cs="Arial" w:eastAsia="Arial" w:hAnsi="Arial"/>
          <w:sz w:val="16"/>
          <w:szCs w:val="16"/>
          <w:color w:val="auto"/>
        </w:rPr>
        <w: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The Rohrabacher-Blumenauer Amendment may or may not be renewed as part of a subsequent stopgap spending bill or omnibus appropriations package.</w:t>
      </w:r>
    </w:p>
    <w:p>
      <w:pPr>
        <w:spacing w:after="0" w:line="17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Despite the rescission of the Cole Memorandum, the DOJ appears to continue to adhere to the enforcement priorities set forth in the Core Memorandum. Accordingly, as an industry best practice, the Corporation continues to employ the following policies to ensure compliance with the guidance provided by the Cole Memorandum:</w:t>
      </w:r>
    </w:p>
    <w:p>
      <w:pPr>
        <w:spacing w:after="0" w:line="87" w:lineRule="exact"/>
        <w:rPr>
          <w:sz w:val="20"/>
          <w:szCs w:val="20"/>
          <w:color w:val="auto"/>
        </w:rPr>
      </w:pPr>
    </w:p>
    <w:p>
      <w:pPr>
        <w:ind w:left="1180" w:right="40" w:hanging="436"/>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operations of the Corporation and its subsidiaries are compliant with all licensing requirements as established by the applicable state, county, municipality, town, township, borough and other political/administrative divisions; to this end, the Corporation retains appropriately experienced legal counsel to conduct the necessary due diligence to ensure compliance of such operations with all applicable state and local laws;</w:t>
      </w:r>
    </w:p>
    <w:p>
      <w:pPr>
        <w:spacing w:after="0" w:line="92" w:lineRule="exact"/>
        <w:rPr>
          <w:rFonts w:ascii="Arial" w:cs="Arial" w:eastAsia="Arial" w:hAnsi="Arial"/>
          <w:sz w:val="18"/>
          <w:szCs w:val="18"/>
          <w:color w:val="auto"/>
        </w:rPr>
      </w:pPr>
    </w:p>
    <w:p>
      <w:pPr>
        <w:ind w:left="1180" w:right="180" w:hanging="436"/>
        <w:spacing w:after="0" w:line="312"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cannabis-related activities adhere to the scope of the licensing obtained—for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w:t>
      </w:r>
    </w:p>
    <w:p>
      <w:pPr>
        <w:spacing w:after="0" w:line="52" w:lineRule="exact"/>
        <w:rPr>
          <w:rFonts w:ascii="Arial" w:cs="Arial" w:eastAsia="Arial" w:hAnsi="Arial"/>
          <w:sz w:val="16"/>
          <w:szCs w:val="16"/>
          <w:color w:val="auto"/>
        </w:rPr>
      </w:pPr>
    </w:p>
    <w:p>
      <w:pPr>
        <w:ind w:left="1180" w:right="440" w:hanging="436"/>
        <w:spacing w:after="0" w:line="342"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Corporation only works through licensed operators, which must pass a range of requirements, adhere to strict business practice standards and be subject to strict regulatory oversight to ensure that no revenue is distributed to criminal enterprises, gangs or cartels;</w:t>
      </w:r>
    </w:p>
    <w:p>
      <w:pPr>
        <w:spacing w:after="0" w:line="29" w:lineRule="exact"/>
        <w:rPr>
          <w:rFonts w:ascii="Arial" w:cs="Arial" w:eastAsia="Arial" w:hAnsi="Arial"/>
          <w:sz w:val="16"/>
          <w:szCs w:val="16"/>
          <w:color w:val="auto"/>
        </w:rPr>
      </w:pPr>
    </w:p>
    <w:p>
      <w:pPr>
        <w:ind w:left="1180" w:right="10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has implemented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86" w:lineRule="exact"/>
        <w:rPr>
          <w:rFonts w:ascii="Arial" w:cs="Arial" w:eastAsia="Arial" w:hAnsi="Arial"/>
          <w:sz w:val="18"/>
          <w:szCs w:val="18"/>
          <w:color w:val="auto"/>
        </w:rPr>
      </w:pPr>
    </w:p>
    <w:p>
      <w:pPr>
        <w:jc w:val="both"/>
        <w:ind w:left="1180" w:right="4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Corporation’s state-authorized cannabis business activity is not used as a cover or pretense for trafficking of other illegal drugs, and the Corporation is not engaged in any other illegal activity or any activities that are contrary to any applicable anti-money laundering statutes; and</w:t>
      </w:r>
    </w:p>
    <w:p>
      <w:pPr>
        <w:spacing w:after="0" w:line="86" w:lineRule="exact"/>
        <w:rPr>
          <w:rFonts w:ascii="Arial" w:cs="Arial" w:eastAsia="Arial" w:hAnsi="Arial"/>
          <w:sz w:val="18"/>
          <w:szCs w:val="18"/>
          <w:color w:val="auto"/>
        </w:rPr>
      </w:pPr>
    </w:p>
    <w:p>
      <w:pPr>
        <w:ind w:left="1180" w:right="24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conducts reviews of products and product packaging to ensure that the products comply with applicable regulations and contain necessary disclaimers about the contents of the products to prevent adverse public health consequences from cannabis use and prevent impaired driving.</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Cole Memorandum and the Rohrabacher-Blumenauer Amendment gave licensed cannabis operators (particularly medical cannabis operators) and investors in states with legal regimes greater certainty regarding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DOJ’s enforcement priorities and the risk of operating cannabis businesses. While the Sessions Memorandum has introduced some uncertainty regarding federal enforcement, the cannabis industry continues to experience growth in legal medical and adult use markets across the United States. U.S. Attorney General Jeff Sessions resigned on November 7, 2018. On February 14, 2019, William Barr was confirmed as U.S. Attorney General. It is unclear what impact, if any, this development will have on U.S. federal government enforcement policy. However, in a written response to questions from U.S. Senator Cory Booker made as a nominee, U.S. Attorney General Barr stated: “I do not intend to go after parties who have complied with state law in reliance on the Cole Memo.” With respect to the STATES Act, Mr. Barr stated: “Personally, I would still favor one uniform federal rule against marijuana but, if there is not sufficient consensus to obtain that, then I think the way to go is to permit a more federal approach so states can make their own decisions within the framework of the federal law and so we’re not just ignoring the enforcement of federal law.” Mr. Barr has also stated the need for more legal growers of marijuana for research and acknowledged that the Farm Bill has broad implications for the sale of cannabis products. Nonetheless,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CSA with respect to cannabis (and as to the timing or scope of any such potential amendments there can be no assurance), there is a risk that federal authorities may enforce current U.S. federal law criminalizing cannabis.</w:t>
      </w:r>
    </w:p>
    <w:p>
      <w:pPr>
        <w:spacing w:after="0" w:line="18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Corporation will continue to monitor compliance on an ongoing basis in accordance with its compliance program and standard operating procedures. While the Corporation’s operations are in full compliance with all applicable state laws, regulations and licensing requirements, such activities remain illegal under federal law. For the reasons described above and the risks further described in Item 1A—“Risk Factors,” there are significant risks associated with the business of the Corporation. Readers of this registration statement on Form 10 are strongly encouraged to carefully read all of the risk factors contained in Item 1A—“Risk Factors.”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Ability to Access Public and Private Capital</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Due to the present state of the laws and regulations governing financial institutions in the U.S., banks often refuse to provide banking services to businesses involved in the marijuana industry. Consequently, it may be difficult for the Corporation to obtain financing from large U.S. financial institutions.</w:t>
      </w:r>
    </w:p>
    <w:p>
      <w:pPr>
        <w:spacing w:after="0" w:line="18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Corporation has historically, and continues to have, access to equity and debt financing from non-public (i.e., private placement) markets. The Corporation’s executive team and board of directors have extensive relationships with sources of capital (such as funds and high net worth individuals).</w:t>
      </w:r>
    </w:p>
    <w:p>
      <w:pPr>
        <w:spacing w:after="0" w:line="12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addition to the Corporation’s working capital, the Corporation continues to generate adequate cash to fund its operations from capital raising transactions, including:</w:t>
      </w:r>
    </w:p>
    <w:p>
      <w:pPr>
        <w:spacing w:after="0" w:line="76"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Convertible Promissory Note;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SR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C$80.3 million bought deal financing in August 2018;</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C$101.7 million bought deal financing in October 2018;</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Bridge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$39.6 million sale and leaseback transaction with IIP for the Danville, Pennsylvania facility in November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$7.2 million sale and leaseback transaction with IIP for the Toledo, Ohio facility in January 2020.</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Corporation’s business plan continues to include aggressive growth, both in the form of additional acquisitions and through facility expansion and improvements. Accordingly, the Corporation expects to raise additional capital, both in the form of debt and new equity offerings during the next few years.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However, there can be no assurance that additional financing will be available to the Corporation when needed or on terms which are acceptable.</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Access to Banking and Other Financial Services</w:t>
      </w:r>
    </w:p>
    <w:p>
      <w:pPr>
        <w:spacing w:after="0" w:line="11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U.S. Department of the Treasury’s Financial Crimes Enforcement Network (“</w:t>
      </w:r>
      <w:r>
        <w:rPr>
          <w:rFonts w:ascii="Arial" w:cs="Arial" w:eastAsia="Arial" w:hAnsi="Arial"/>
          <w:sz w:val="17"/>
          <w:szCs w:val="17"/>
          <w:b w:val="1"/>
          <w:bCs w:val="1"/>
          <w:color w:val="auto"/>
        </w:rPr>
        <w:t>FinCEN</w:t>
      </w:r>
      <w:r>
        <w:rPr>
          <w:rFonts w:ascii="Arial" w:cs="Arial" w:eastAsia="Arial" w:hAnsi="Arial"/>
          <w:sz w:val="17"/>
          <w:szCs w:val="17"/>
          <w:color w:val="auto"/>
        </w:rPr>
        <w:t>”) issued a memorandum on February 14, 2014 (the “</w:t>
      </w:r>
      <w:r>
        <w:rPr>
          <w:rFonts w:ascii="Arial" w:cs="Arial" w:eastAsia="Arial" w:hAnsi="Arial"/>
          <w:sz w:val="17"/>
          <w:szCs w:val="17"/>
          <w:b w:val="1"/>
          <w:bCs w:val="1"/>
          <w:color w:val="auto"/>
        </w:rPr>
        <w:t>FinCEN Memorandum</w:t>
      </w:r>
      <w:r>
        <w:rPr>
          <w:rFonts w:ascii="Arial" w:cs="Arial" w:eastAsia="Arial" w:hAnsi="Arial"/>
          <w:sz w:val="17"/>
          <w:szCs w:val="17"/>
          <w:color w:val="auto"/>
        </w:rPr>
        <w:t>”) with respect to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w:t>
      </w:r>
      <w:r>
        <w:rPr>
          <w:rFonts w:ascii="Arial" w:cs="Arial" w:eastAsia="Arial" w:hAnsi="Arial"/>
          <w:sz w:val="17"/>
          <w:szCs w:val="17"/>
          <w:b w:val="1"/>
          <w:bCs w:val="1"/>
          <w:color w:val="auto"/>
        </w:rPr>
        <w:t>SAR</w:t>
      </w:r>
      <w:r>
        <w:rPr>
          <w:rFonts w:ascii="Arial" w:cs="Arial" w:eastAsia="Arial" w:hAnsi="Arial"/>
          <w:sz w:val="17"/>
          <w:szCs w:val="17"/>
          <w:color w:val="auto"/>
        </w:rPr>
        <w:t>”) in connection with all cannabis-related banking activities by any client of such financial institution, in accordance with federal money laundering laws. These cannabis-related SARs are divided into three categories—cannabis limited, cannabis priority, and cannabis terminated—based on the financial institution’s belief that the business in question follows state law, is operating outside of compliance with state law, or where the banking relationship has been terminated, respectively.</w:t>
      </w:r>
    </w:p>
    <w:p>
      <w:pPr>
        <w:spacing w:after="0" w:line="182"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Former U.S. Attorney General Sessions’ revocation of the Cole Memorandum has not affected the status of the FinCEN Memorandum, nor has the Department of the Treasury given any indication that it intends to rescind the FinCEN Memorandum itself. Shortly after the Sessions Memorandum was issued, FinCEN did state that it would review the FinCEN Memorandum, but FinCEN has not yet issued further guidance.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w:t>
      </w:r>
    </w:p>
    <w:p>
      <w:pPr>
        <w:spacing w:after="0" w:line="15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However, 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the Corporation may have limited or no access to banking or other financial services in the United States. In addition, federal money laundering statutes and regulations under the U.S. Currency and Foreign Transactions Reporting Act of 1970 (commonly known as the “</w:t>
      </w:r>
      <w:r>
        <w:rPr>
          <w:rFonts w:ascii="Arial" w:cs="Arial" w:eastAsia="Arial" w:hAnsi="Arial"/>
          <w:sz w:val="16"/>
          <w:szCs w:val="16"/>
          <w:b w:val="1"/>
          <w:bCs w:val="1"/>
          <w:color w:val="auto"/>
        </w:rPr>
        <w:t>Bank Secrecy Act</w:t>
      </w:r>
      <w:r>
        <w:rPr>
          <w:rFonts w:ascii="Arial" w:cs="Arial" w:eastAsia="Arial" w:hAnsi="Arial"/>
          <w:sz w:val="16"/>
          <w:szCs w:val="16"/>
          <w:color w:val="auto"/>
        </w:rPr>
        <w:t>”), as amended by Title III of the Uniting and Strengthening America by Providing Appropriate Tools Required to Intercept and Obstruct Terrorism Act of 2001 (the “</w:t>
      </w:r>
      <w:r>
        <w:rPr>
          <w:rFonts w:ascii="Arial" w:cs="Arial" w:eastAsia="Arial" w:hAnsi="Arial"/>
          <w:sz w:val="16"/>
          <w:szCs w:val="16"/>
          <w:b w:val="1"/>
          <w:bCs w:val="1"/>
          <w:color w:val="auto"/>
        </w:rPr>
        <w:t>USA Patriot Act</w:t>
      </w:r>
      <w:r>
        <w:rPr>
          <w:rFonts w:ascii="Arial" w:cs="Arial" w:eastAsia="Arial" w:hAnsi="Arial"/>
          <w:sz w:val="16"/>
          <w:szCs w:val="16"/>
          <w:color w:val="auto"/>
        </w:rPr>
        <w:t>”), discourage financial institutions from working with any organization that sells a controlled substance, regardless of whether the state it operates in permits cannabis sales. The inability or limitation of the Corporation’s ability to open or maintain bank accounts, obtain other banking services and/or accept credit card and debit card payments may make it difficult for the Corporation to operate and conduct its business as planned or to operate efficiently.</w:t>
      </w:r>
    </w:p>
    <w:p>
      <w:pPr>
        <w:spacing w:after="0" w:line="173"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house bill H.R. 1595, known as the Secure and Fair Enforcement (SAFE) Banking Act of 2019 (the “</w:t>
      </w:r>
      <w:r>
        <w:rPr>
          <w:rFonts w:ascii="Arial" w:cs="Arial" w:eastAsia="Arial" w:hAnsi="Arial"/>
          <w:sz w:val="17"/>
          <w:szCs w:val="17"/>
          <w:b w:val="1"/>
          <w:bCs w:val="1"/>
          <w:color w:val="auto"/>
        </w:rPr>
        <w:t>SAFE Banking Act</w:t>
      </w:r>
      <w:r>
        <w:rPr>
          <w:rFonts w:ascii="Arial" w:cs="Arial" w:eastAsia="Arial" w:hAnsi="Arial"/>
          <w:sz w:val="17"/>
          <w:szCs w:val="17"/>
          <w:color w:val="auto"/>
        </w:rPr>
        <w: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Newly Established Legal Regime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Corporation’s business activities rely on newly established and/or developing laws and regulations in the states in which it operates. These laws and regulations are rapidly evolving and subject to change with minimal notice. Regulatory changes may adversely affect the Corporation’s profitability or cause it to cease operations entirely. The cannabis industry may come under further scrutiny by the FDA, the SEC, the DOJ,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the business and operations of the Corporation, including without limitation, the costs to remain compliant with applicable laws and the impairment of its business or the ability to raise additional capital.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www.gtigrows.com</w:t>
      </w:r>
      <w:r>
        <w:rPr>
          <w:rFonts w:ascii="Arial" w:cs="Arial" w:eastAsia="Arial" w:hAnsi="Arial"/>
          <w:sz w:val="18"/>
          <w:szCs w:val="18"/>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registration statement.</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You also may read and copy any materials we file with the SEC at the SEC’s Public Reference Room at 100 F Street, NE, Washington, D.C. 20549. You may obtain information on the operation of the Public Reference Room by calling the SEC at 1-800-SEC-0330.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Marijuana remains illegal under federal law, and enforcement of cannabis laws could change.</w:t>
      </w:r>
    </w:p>
    <w:p>
      <w:pPr>
        <w:spacing w:after="0" w:line="11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color w:val="auto"/>
        </w:rPr>
        <w:t>Cannabis is illegal under U.S. federal law</w:t>
      </w:r>
      <w:r>
        <w:rPr>
          <w:rFonts w:ascii="Arial" w:cs="Arial" w:eastAsia="Arial" w:hAnsi="Arial"/>
          <w:sz w:val="18"/>
          <w:szCs w:val="18"/>
          <w:color w:val="auto"/>
        </w:rPr>
        <w:t>. In those states in which the use of cannabis has been legalized, its use remains a violation of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law pursuant to the CSA. The CSA classifies cannabis as a Schedule I controlled substance, and as such, medical and adult use cannabis use is illegal under U.S. federal law. Unless and until Congress amends the CSA with respect to cannabis (and the President approves such amendment), there is a risk that federal authorities may enforce current federal law. If that occurs, the Corporation may be deemed to be producing, cultivating or dispensing cannabis and drug paraphernalia in violation of federal law. Since federal law criminalizing the use of cannabis pre-empts state laws that legalize its use, </w:t>
      </w:r>
      <w:r>
        <w:rPr>
          <w:rFonts w:ascii="Arial" w:cs="Arial" w:eastAsia="Arial" w:hAnsi="Arial"/>
          <w:sz w:val="18"/>
          <w:szCs w:val="18"/>
          <w:b w:val="1"/>
          <w:bCs w:val="1"/>
          <w:color w:val="auto"/>
        </w:rPr>
        <w:t xml:space="preserve">enforcement of federal law regarding cannabis is a significant risk </w:t>
      </w:r>
      <w:r>
        <w:rPr>
          <w:rFonts w:ascii="Arial" w:cs="Arial" w:eastAsia="Arial" w:hAnsi="Arial"/>
          <w:sz w:val="18"/>
          <w:szCs w:val="18"/>
          <w:color w:val="auto"/>
        </w:rPr>
        <w:t>and would greatly harm the Corporation’s business, prospects, revenue,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financial condition.</w:t>
      </w:r>
    </w:p>
    <w:p>
      <w:pPr>
        <w:spacing w:after="0" w:line="193"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The activities of the Corporation are, and will continue to be, subject to evolving regulation by governmental authorities. The Corporation is directly or indirectly engaged in the medical and adult use cannabis industry in the United States where local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of November 30, 2019, there are 33 states, plus the District of Columbia (and the territories of Guam, Puerto Rico, the U.S. Virgin Islands and the Northern Mariana Islands), that have laws and/or regulations that recognize, in one form or another, legitimate medical uses for cannabis and consumer use of cannabis in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connection with medical treatment. In addition, Alaska, California, Colorado, Illinois, Maine, Massachusetts, Michigan, Nevada, Oregon, Vermont, Washington and the District of Columbia have legalized cannabis for adult use.</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Corporation’s activities in the medical and adult use cannabis industry may be illegal under the applicable federal laws of the United States. There can be no assurances that the federal government of the United States will not seek to enforce the applicable laws against the Corporation. The consequences of such enforcement would be materially adverse to the Corporation and the Corporation’s business, including its reputation, profitability and the market price of its publicly traded shares, and could result in the forfeiture or seizure of all or substantially all of the Corporation’s assets.</w:t>
      </w:r>
    </w:p>
    <w:p>
      <w:pPr>
        <w:spacing w:after="0" w:line="154"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Due to the conflicting views between state legislatures and the federal government regarding cannabis, cannabis businesses are subject to inconsistent laws and regulations. The prior U.S. administration attempted to address the inconsistent treatment of cannabis under state and federal law in the Cole Memorandum that Deputy Attorney General James Cole sent to all U.S. Attorneys in August 2013, which outlined certain priorities for the DOJ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January 4, 2018, former U.S. Attorney General Jeff Sessions formally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There can be no assurance that the federal government will not enforce federal laws relating to cannabis and seek to prosecute cases involving cannabis businesses that are otherwise compliant with state laws in the future. Jeff Sessions resigned as U.S. Attorney General on November 7, 2018. On February 14, 2019, William Barr was confirmed as U.S. Attorney General. It is unclear what impact this development will have on U.S. federal government enforcement policy.</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Additionally, the Rohrabacher-Blumenauer Amendment may or may not be renewed as part of a subsequent stopgap spending bill or omnibus appropriations package in order to prevent the federal government from using congressionally appropriated funds to enforce federal cannabis laws against regulated medical cannabis actors operating in compliance with state and local law. If the Rohrabacher-Blumenauer Amendment is not renewed, potential proceedings could involve significant restrictions being imposed upon the Corporation or third parties and divert the attention of key executives. Such proceedings could also have a material adverse effect on the Corporation’s business, prospects, revenue, results of operation and financial condition, as well as the Corporation’s reputation, even if such proceedings were concluded successfully in favor of the Corporation. Further, there is no guarantee that draft legislation such as the STATES Act will become law in its current form.</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uncertainty of U.S. federal enforcement practices going forward and the inconsistency between U.S. federal and state laws and regulations present major risks for the Corporation.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action by the U.S. federal government.</w:t>
      </w:r>
    </w:p>
    <w:p>
      <w:pPr>
        <w:spacing w:after="0" w:line="117"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Since the cultivation, processing, production, distribution and sale of cannabis for any purpose, medical, adult use or otherwise, remain illegal under U.S. federal law, it is possible that the Corporation may be forced to cease activities. The U.S. federal government, through, among others, the DOJ, its sub-agency the Drug Enforcement Administration (“</w:t>
      </w:r>
      <w:r>
        <w:rPr>
          <w:rFonts w:ascii="Arial" w:cs="Arial" w:eastAsia="Arial" w:hAnsi="Arial"/>
          <w:sz w:val="16"/>
          <w:szCs w:val="16"/>
          <w:b w:val="1"/>
          <w:bCs w:val="1"/>
          <w:color w:val="auto"/>
        </w:rPr>
        <w:t>DEA</w:t>
      </w:r>
      <w:r>
        <w:rPr>
          <w:rFonts w:ascii="Arial" w:cs="Arial" w:eastAsia="Arial" w:hAnsi="Arial"/>
          <w:sz w:val="16"/>
          <w:szCs w:val="16"/>
          <w:color w:val="auto"/>
        </w:rPr>
        <w:t>”) and the U.S.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has the right to actively investigate, audit and shut down cannabis growing facilities, processors and retailers. The U.S. federal government may also attempt to seize the property of the Corporation. Any action taken by the DOJ, the DEA and/or the IRS to interfere with, seize or shut down the operations of the Corporation will have an adverse effect on the Corporation’s business, prospects, revenue, results of operation and financial condition.</w:t>
      </w:r>
    </w:p>
    <w:p>
      <w:pPr>
        <w:spacing w:after="0" w:line="165"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marijuana related businesses that are operating in compliance with state law, the stated position of the current administration is hostile to legal cannabis. As the recession of the Cole Memorandum and the implementation of the Sessions Memorandum demonstrate, the DOJ may at any time issue additional guidance that directs federal prosecutors to devote more resources to prosecuting marijuana related businesses. In the event that the DOJ under U.S. Attorney General Barr aggressively pursues financiers or equity owners of cannabis-related businesses, and U.S. Attorneys follow the DOJ policies through pursuing prosecutions, then the Corporation could face:</w:t>
      </w:r>
    </w:p>
    <w:p>
      <w:pPr>
        <w:spacing w:after="0" w:line="73" w:lineRule="exact"/>
        <w:rPr>
          <w:sz w:val="20"/>
          <w:szCs w:val="20"/>
          <w:color w:val="auto"/>
        </w:rPr>
      </w:pPr>
    </w:p>
    <w:p>
      <w:pPr>
        <w:ind w:left="1180" w:hanging="54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seizure of its cash and other assets used to support or derived from its cannabis subsidiaries;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arrest of its employees, directors, officers, managers and investors; and</w:t>
      </w:r>
    </w:p>
    <w:p>
      <w:pPr>
        <w:spacing w:after="0" w:line="130" w:lineRule="exact"/>
        <w:rPr>
          <w:rFonts w:ascii="Arial" w:cs="Arial" w:eastAsia="Arial" w:hAnsi="Arial"/>
          <w:sz w:val="18"/>
          <w:szCs w:val="18"/>
          <w:color w:val="auto"/>
        </w:rPr>
      </w:pPr>
    </w:p>
    <w:p>
      <w:pPr>
        <w:ind w:left="1180" w:right="440" w:hanging="544"/>
        <w:spacing w:after="0" w:line="264"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ancillary criminal violations of the CSA for aiding and abetting, and conspiracy to violate the CSA by providing financial support to cannabis companies that service or provide goods to state-licensed or permitted cultivators, processors, distributors and/or retailers of cannabis.</w:t>
      </w:r>
    </w:p>
    <w:p>
      <w:pPr>
        <w:spacing w:after="0" w:line="18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Because the Cole Memorandum was rescinded, the DOJ under the current administration or an aggressive federal prosecutor could allege that the Corporation and its board of directors and, potentially, its shareholders, “aided and abetted” violations of federal law by providing finances and services to its portfolio cannabis companies. Under these circumstances, federal prosecutors could seek to seize the assets of the Corporation, and to recover the “illicit profits” previously distributed to shareholders resulting from any of the Corporation’s financing or services. In these circumstances, the Corporation’s operations would cease, shareholders may lose their entire investments and directors, officers and/or shareholders may be left to defend any criminal charges against them at their own expense and, if convicted, be sent to federal prison.</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Additionally, there can be no assurance as to the position any new administration may take on marijuana, and a new administration could decide to enforce the federal laws strongly. Any enforcement of current federal marijuana laws could cause significant financial damage to the Corporation and its shareholders. Further, future presidential administrations may choose to treat marijuana differently and potentially enforce the federal laws more aggressively.</w:t>
      </w:r>
    </w:p>
    <w:p>
      <w:pPr>
        <w:spacing w:after="0" w:line="18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the Corporation, including its reputation and ability to conduct business, its holding (directly or indirectly) of cannabis licenses in the United States, the listing of its securities on various stock exchanges, its financial position, operating results, profitability or liquidity or the market price of its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State regulation of cannabis is uncertain.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Corporation’s business or operations in those states or under those laws would be materially and adversely affected. Federal actions against any individual or entity engaged in the cannabis industry or a substantial repeal of cannabis related legislation could adversely affect the Corporation, its business and its assets or investments.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Corporation are compliance-based and are derived from the state regulatory structure governing ancillary cannabis businesses and their relationships to state-licensed or permitted cannabis operators, if any. Notwithstanding the Corporation’s efforts and diligence, regulatory compliance and the process of obtaining regulatory approvals can be costly and time-consuming. No assurance can be given that the Corporation will receive the requisite licenses, permits or cards to continue operating its businesses.</w:t>
      </w:r>
    </w:p>
    <w:p>
      <w:pPr>
        <w:spacing w:after="0" w:line="19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local laws and ordinances could restrict the Corporation’s business activity. Although the Corporation’s operations are legal under the laws of the states in which the Corporation’s business operate, local governments have the ability to limit, restrict and ban cannabis businesses from operating within their jurisdiction. Land use, zoning, local ordinances and similar laws could be adopted or changed and have a material adverse effect on the Corporation’s business.</w:t>
      </w:r>
    </w:p>
    <w:p>
      <w:pPr>
        <w:spacing w:after="0" w:line="18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the Corporation’s business, prospects, revenue, results of operation and financial condition.</w:t>
      </w:r>
    </w:p>
    <w:p>
      <w:pPr>
        <w:spacing w:after="0" w:line="14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Corporation currently operates in California, Colorado, Connecticut, Florida, Illinois, Maryland, Massachusetts, Nevada, New Jersey, New York, Ohio and Pennsylvania and intends to operate in other states as deemed appropriate by management.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State regulatory agencies may require the Corporation to post bonds or significant fees.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There is a risk that a greater number of state regulatory agencies will begin requiring entities engaged in certain aspects of the business or industry of legal marijuana to post a bond or significant fees when applying, for example, for a dispensary license or renewal as a guarantee of payment of sales and franchise taxes. The Corporation is not able to quantify at this time the potential scope of such bonds or fees in the states in which it currently operates or may in the future operate. Any bonds or fees of material amounts could have a negative impact on the ultimate success of the Corporation’s business.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heightened scrutiny by Canadian regulatory authorities.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Currently, the Corporation is traded on the CSE and on over-the-counter markets in the United States. The business, operations and investments of the Corporation in the United States, and any future business, operations or investments, may become the subject of heightened scrutiny by regulators, stock exchanges and other authorities in Canada and the United States. As a result, the Corporation may be subject to significant direct and indirect interaction with public officials. There can be no assurance that this heightened scrutiny will not in turn lead to the imposition of certain restrictions on the Corporation’s ability to operate or invest in the United States or any other jurisdiction, in addition to those described herein.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In 2017, there were concerns that the Canadian Depository for Securities Limited, through its subsidiary CDS Clearing and Depository Services Inc. (“</w:t>
      </w:r>
      <w:r>
        <w:rPr>
          <w:rFonts w:ascii="Arial" w:cs="Arial" w:eastAsia="Arial" w:hAnsi="Arial"/>
          <w:sz w:val="16"/>
          <w:szCs w:val="16"/>
          <w:b w:val="1"/>
          <w:bCs w:val="1"/>
          <w:color w:val="auto"/>
        </w:rPr>
        <w:t>CDS</w:t>
      </w:r>
      <w:r>
        <w:rPr>
          <w:rFonts w:ascii="Arial" w:cs="Arial" w:eastAsia="Arial" w:hAnsi="Arial"/>
          <w:sz w:val="16"/>
          <w:szCs w:val="16"/>
          <w:color w:val="auto"/>
        </w:rPr>
        <w:t>”),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4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which is the owner and operator of CDS, announced the signing of a Memorandum of Understanding (“</w:t>
      </w:r>
      <w:r>
        <w:rPr>
          <w:rFonts w:ascii="Arial" w:cs="Arial" w:eastAsia="Arial" w:hAnsi="Arial"/>
          <w:sz w:val="16"/>
          <w:szCs w:val="16"/>
          <w:b w:val="1"/>
          <w:bCs w:val="1"/>
          <w:color w:val="auto"/>
        </w:rPr>
        <w:t>MOU</w:t>
      </w:r>
      <w:r>
        <w:rPr>
          <w:rFonts w:ascii="Arial" w:cs="Arial" w:eastAsia="Arial" w:hAnsi="Arial"/>
          <w:sz w:val="16"/>
          <w:szCs w:val="16"/>
          <w:color w:val="auto"/>
        </w:rPr>
        <w:t>”) with Aequitas NEO Exchange Inc., the CSE, the Toronto Stock Exchange and the TSX Venture Exchange (“</w:t>
      </w:r>
      <w:r>
        <w:rPr>
          <w:rFonts w:ascii="Arial" w:cs="Arial" w:eastAsia="Arial" w:hAnsi="Arial"/>
          <w:sz w:val="16"/>
          <w:szCs w:val="16"/>
          <w:b w:val="1"/>
          <w:bCs w:val="1"/>
          <w:color w:val="auto"/>
        </w:rPr>
        <w:t>TSXV</w:t>
      </w:r>
      <w:r>
        <w:rPr>
          <w:rFonts w:ascii="Arial" w:cs="Arial" w:eastAsia="Arial" w:hAnsi="Arial"/>
          <w:sz w:val="16"/>
          <w:szCs w:val="16"/>
          <w:color w:val="auto"/>
        </w:rPr>
        <w:t>”).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limitations on ownership of cannabis licenses.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Corporation’s ability to grow in such states. The Corporation employs joint ventures from time to time to ensure continued compliance with the applicable regulatory guidelines. Currently, the Corporation has joint ventures with third parties in Connecticut, Illinois, Massachusetts and Ohio. The Corporation structures its joint ventures on a case-by-case basis but generally maintains operational control over the joint venture business and a variable economic interest through the applicable governing documents.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become subject to FDA or ATF regulation.</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and processing of medical cannabis. Clinical trials may be needed to verify the efficacy and safety of cannabis. It is also possible that the FDA would require facilities where medical use cannabis is grown to register with the FDA and comply with certain federally prescribed regulations. In the event that some or all of these regulations are imposed, the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impact they would have on the cannabis industry is unknown, including the costs, requirements and possible prohibitions that may be enforced. If the Corporation is unable to comply with the potential regulations or registration requirements prescribed by the FDA, it may have an adverse effect on the Corporation’s business, prospects, revenue, results of operation and financial condition.</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It is also possible that the federal government could seek to regulate cannabis under the U.S. Bureau of Alcohol, Tobacco, Firearms and Explosives (“</w:t>
      </w:r>
      <w:r>
        <w:rPr>
          <w:rFonts w:ascii="Arial" w:cs="Arial" w:eastAsia="Arial" w:hAnsi="Arial"/>
          <w:sz w:val="18"/>
          <w:szCs w:val="18"/>
          <w:b w:val="1"/>
          <w:bCs w:val="1"/>
          <w:color w:val="auto"/>
        </w:rPr>
        <w:t>ATF</w:t>
      </w:r>
      <w:r>
        <w:rPr>
          <w:rFonts w:ascii="Arial" w:cs="Arial" w:eastAsia="Arial" w:hAnsi="Arial"/>
          <w:sz w:val="18"/>
          <w:szCs w:val="18"/>
          <w:color w:val="auto"/>
        </w:rPr>
        <w:t>”). The ATF may issue rules and regulations related to the use, transporting, sale and advertising of cannabis or cannabis products, including smokeless cannabis products.</w:t>
      </w:r>
    </w:p>
    <w:p>
      <w:pPr>
        <w:spacing w:after="0" w:line="28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Corporation is subject to a variety of laws and regulations in the United States that involve money laundering, financial record-keeping and proceeds of crime, including the Bank Secrecy Act, as amended by Title III of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FinCEN issued the FinCEN Memorandum on February 14, 2014,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the Corporation’s operations, or proceeds thereof, dividend distributions or profits or revenues derived from the Corporation’s operations were found to be in violation of money laundering legislation or otherwise, such transactions may be viewed as proceeds from a crime (the sale of a Schedule I drug) under the Bank Secrecy Act’s money laundering provisions. This may restrict the ability of the Corporation to declare or pay dividends or effect other distributions.</w:t>
      </w:r>
    </w:p>
    <w:p>
      <w:pPr>
        <w:spacing w:after="0" w:line="187"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the Corporation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permits cannabis sales. The inability or limitation of the Corporation’s ability to open or maintain bank accounts, obtain other banking services and/or accept credit card and debit card payments may make it difficult for the Corporation to operate and conduct its business as planned or to operate efficiently.</w:t>
      </w:r>
    </w:p>
    <w:p>
      <w:pPr>
        <w:spacing w:after="0" w:line="18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house bill H.R. 1595, known as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difficulties acquiring additional financing.</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Corporation may require equity and/or debt financing to support on-going operations, to undertake capital expenditures or to undertake acquisitions and/or other business combination transactions. There can be no assurance that additional financing will be available to the Corporation when needed or on terms which are acceptable. The Corporation’s inability to raise financing through traditional banking to fund on-going operations, capital expenditures or acquisitions could limit its growth and may have a material adverse effect upon the Corporation’s business, prospects, revenue, results of operation and financial condition.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lacks access to U.S. bankruptcy protections.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Many courts have denied cannabis businesses bankruptcy protections because the use of cannabis is illegal under federal law. In the event of a bankruptcy, it would be very difficult for lenders to recoup their investments in the cannabis industry. If the Corporation were to experience a bankruptcy, there is no guarantee that U.S. federal bankruptcy protections would be available to the Corporation, which would have a material adverse effect on the Corporation.</w:t>
      </w:r>
    </w:p>
    <w:p>
      <w:pPr>
        <w:spacing w:after="0" w:line="29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While we endeavor to comply with all relevant laws, regulations and guidelines and, to our knowledge, we are in compliance or are in the process of being assessed for compliance with all such laws, regulations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difficulties in enforcing its contracts.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Because the Corporation’s contracts involve cannabis and other activities that are not legal under federal law and in some state jurisdictions, the Corporation may face difficulties in enforcing its contracts in federal courts and certain state courts. The Corporation cannot be assured that it will have a remedy for breach of contract, which could have a material adverse effect on the Corporation.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has limited trademark protection.</w:t>
      </w:r>
    </w:p>
    <w:p>
      <w:pPr>
        <w:spacing w:after="0" w:line="117"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The Corporation will not be able to register any federal trademarks for its cannabis products. Because producing, manufacturing, processing, possessing, distributing, selling and using cannabis is a crime under the CSA, the Patent and Trademark Office will not permit the registration of any trademark that identifies cannabis products. As a result, the Corporation likely will be unable to protect its cannabis product trademarks beyond the geographic areas in which it conducts business. The use of the Corporation’s trademarks outside the states in which it operates by one or more other persons could have a material adverse effect on the value of such trademarks.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constraints on marketing its products.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There may be restrictions on sales and marketing activities imposed by government regulatory bodies that can hinder the development of the Corporation’s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the Corporation’s ability to compete for market share in a manner similar to other industries. If the Corporation is unable to effectively market its products and compete for market share, or if the costs of compliance with government legislation and regulation cannot be absorbed through increased selling prices for its products, the Corporation’s sales and operating results could be adversely affected.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risks related to the results of future clinical research.</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Research regarding the medical benefits, viability, safety, efficacy, dosing and social acceptance of cannabis or isolated cannabinoids (such as CBD and THC) remains in early stages. There have been relatively few clinical trials on the benefits of cannabis or isolated cannabinoids (such as CBD and THC). Although the Corporation believes that various articles, reports and studies support its beliefs regarding the medical benefits, viability, safety, efficacy, dosing and social acceptance of cannabis, future research and clinical trials may prove such statements to be incorrect, or could raise concerns regarding, and perceptions relating to, cannabis. Given these risks, uncertainties and assumptions, prospective purchasers of Subordinate Voting Shares should not place undue reliance on such articles and reports. Future research studies and clinical trials may draw opposing conclusions to those stated in this registration statement on Form 10 or reach negative conclusions regarding the medical benefits, viability, safety, efficacy, dosing, social acceptance or other facts and perceptions related to</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cannabis, which could have a material adverse effect on the demand for the Corporation’s products, with the potential to have a material adverse effect on the Corporation’s business, prospects, revenue, results of operation and financial condition.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taxation in Canada and the United States.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Corporation is and will continue to be a Canadian corporation as of the date of this registration statement on Form 10. The Corporation is treated as a Canadian resident company (as defined in the Income Tax Act (Canada) (the “</w:t>
      </w:r>
      <w:r>
        <w:rPr>
          <w:rFonts w:ascii="Arial" w:cs="Arial" w:eastAsia="Arial" w:hAnsi="Arial"/>
          <w:sz w:val="17"/>
          <w:szCs w:val="17"/>
          <w:b w:val="1"/>
          <w:bCs w:val="1"/>
          <w:color w:val="auto"/>
        </w:rPr>
        <w:t>ITA</w:t>
      </w:r>
      <w:r>
        <w:rPr>
          <w:rFonts w:ascii="Arial" w:cs="Arial" w:eastAsia="Arial" w:hAnsi="Arial"/>
          <w:sz w:val="17"/>
          <w:szCs w:val="17"/>
          <w:color w:val="auto"/>
        </w:rPr>
        <w:t>”)) subject to Canadian income taxes. The Corporation is also treated as a U.S. corporation subject to U.S. federal income tax pursuant to Section 7874 of the Internal Revenue Code (“</w:t>
      </w:r>
      <w:r>
        <w:rPr>
          <w:rFonts w:ascii="Arial" w:cs="Arial" w:eastAsia="Arial" w:hAnsi="Arial"/>
          <w:sz w:val="17"/>
          <w:szCs w:val="17"/>
          <w:b w:val="1"/>
          <w:bCs w:val="1"/>
          <w:color w:val="auto"/>
        </w:rPr>
        <w:t>IRC</w:t>
      </w:r>
      <w:r>
        <w:rPr>
          <w:rFonts w:ascii="Arial" w:cs="Arial" w:eastAsia="Arial" w:hAnsi="Arial"/>
          <w:sz w:val="17"/>
          <w:szCs w:val="17"/>
          <w:color w:val="auto"/>
        </w:rPr>
        <w:t>”) and is subject to U.S. federal income tax on its worldwide income. As a result, the Corporation is subject to taxation both in Canada and the United States, which could have a material adverse effect on its financial condition and results of operations.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It is unlikely that the Corporation will pay any dividends on the Subordinate Voting Shares in the foreseeable future. However, dividends received by shareholders who are residents of Canada for purposes of the ITA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Dividends received by U.S. shareholders will not be subject to U.S. withholding tax but will be subject to Canadian withholding tax. Dividends paid by the Corporation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a shareholder of the Corporation, subject to examination of the relevant treaty.</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Because the Subordinate Voting Shares are treated as shares of a U.S. domestic corporation, the U.S. gift, estate and generation-skipping transfer tax rules generally apply to a non-U.S. shareholder of Subordinate Voting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shareholder should seek tax advice, based on such shareholder’s particular circumstances, from an independent tax advisor.</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Cannabis businesses are subject to unfavorable tax treatment.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Section 280E of the IRC,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Any property owned by participants in the cannabis industry used in the course of conducting such business, or that is the proceeds of such business, could be subject to seizure by law enforcement and subsequent civil asset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color w:val="auto"/>
        </w:rPr>
        <w:t>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proceeds of crime statutes.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In the event that any of the Corporation’s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the Corporation and, among other things, could restrict or otherwise jeopardize the ability of the Corporation to declare or pay dividends, effect other distributions or subsequently repatriate such funds back to Canada.</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security risks.</w:t>
      </w:r>
    </w:p>
    <w:p>
      <w:pPr>
        <w:spacing w:after="0" w:line="11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business premises of the Corporation’s operating locations are targets for theft. While the Corporation has implemented security measures at each location and continues to monitor and improve such security measures, its cultivation, processing and dispensary facilities could be subject to break-ins, robberies and other breaches in security. If there was a breach in security and the Corporation fell victim to a robbery or theft, the loss of cannabis plants, cannabis oils, cannabis flowers and cultivation and processing equipment could have a material adverse impact on the business, prospects, revenue, results of operation and financial condition of the Corporation.</w:t>
      </w:r>
    </w:p>
    <w:p>
      <w:pPr>
        <w:spacing w:after="0" w:line="17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As the Corporation’s business involves the movement and transfer of cash which is collected from dispensaries or patients/customers and deposited into its bank, there is a risk of theft or robbery during the transport of cash. The Corporation has engaged a security firm to provide security in the transport and movement of large amounts of cash. Employees sometimes transport cash and/or products and, if requested, may be escorted by armed guards. While the Corporation has taken robust steps to prevent theft or robbery of cash during transport, there can be no assurance that there will not be a security breach during the transport and the movement of cash involving the theft of product or cash.</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exposure to fraudulent or illegal activity.</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Corporation faces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the Corporation to identify and deter misconduct by its employees and other third parties, and the precautions taken by the Corporation to detect and prevent these activities may not always be effective. As a result, the Corporation could face potential penalties and litigation.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a holding company.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Corporation is a holding company and essentially all of its assets are the capital stock of its subsidiaries in 11 of its 12 markets, including California, Connecticut, Florida, Illinois, Maryland, Massachusetts, Nevada, New Jersey, New York, Ohio and Pennsylvania. As a result, investors in the Corporation are subject to the risks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attributable to its subsidiaries. As a holding company, the Corporation conducts substantially all of its business through its subsidiaries, which generate substantially all of its revenues. Consequently, the Corporation’s cash flows and ability to complete current or desirable future enhancement opportunities are dependent on the earnings of its subsidiaries and the distribution of those earnings to the Corporation.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the Corporation’s material subsidiaries, holders of indebtedness and trade creditors may be entitled to payment of their claims from the assets of those subsidiaries before the Corporation.</w:t>
      </w:r>
    </w:p>
    <w:p>
      <w:pPr>
        <w:spacing w:after="0" w:line="286"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the Corporation.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Material acquisitions, dispositions and other strategic transactions involve a number of risks for the Corporation, including:</w:t>
      </w:r>
    </w:p>
    <w:p>
      <w:pPr>
        <w:spacing w:after="0" w:line="131" w:lineRule="exact"/>
        <w:rPr>
          <w:sz w:val="20"/>
          <w:szCs w:val="20"/>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its ongoing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distraction of management;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financial leverage;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anticipated benefits and cost savings of those transactions may not be realized or may take longer to realize than anticipated;</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scope and complexity of the Corporation’s operations;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or reduction of control over certain of the Corporation’s assets.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Additionally, the Corporation may issue additional Subordinate Voting Shares in connection with such transactions, which would dilute a shareholder’s holdings in the Corporation.</w:t>
      </w:r>
    </w:p>
    <w:p>
      <w:pPr>
        <w:spacing w:after="0" w:line="170"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presence of one or more material liabilities of an acquired company that are known, but believed to be immaterial, or unknown to the Corporation at the time of acquisition could have a material adverse effect on the business, prospects, revenue, results of operation and financial condition of the Corporation. A strategic transaction may result in a significant change in the nature of the Corporation’s business, operations and strategy. In addition, the Corporation may encounter unforeseen obstacles or costs in implementing a strategic transaction or integrating any acquired business into the Corporation’s operations.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24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Corporation may invest in pre-revenue companies which may not be able to meet anticipated revenue targets in the future.</w:t>
      </w:r>
    </w:p>
    <w:p>
      <w:pPr>
        <w:spacing w:after="0" w:line="129"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Corporation may make investments in companies with no significant sources of operating cash flow and no revenue from operations. The Corporation’s investments in such companies will be subject to risks and uncertainties that new companies with no operating history may face. In particular, there is a risk that the Corporation’s investment in these pre-revenue companies will not be able to meet anticipated revenue targets or will generate no revenue at all. The risk is that underperforming pre-revenue companies may lead to these businesses failing, which could have a material adverse effect on the business, prospects, revenue, results of operation and financial condition of the Corporation.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use of joint ventures may expose us to risks associated with jointly owned investments.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288"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7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spacing w:after="0" w:line="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compete for the acquisition of properties suitable for the cultivation, production and sale of medical and adult use cannabis with entities engaged in agriculture and real estate investment activities, including corporate agriculture companies, cultivators, producers and sellers of cannabis. These competitors may prevent us from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reputation and ability to do business may be negatively impacted by the improper conduct by our business partners, employees or agents.</w:t>
      </w:r>
    </w:p>
    <w:p>
      <w:pPr>
        <w:spacing w:after="0" w:line="152"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4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risks related to its products.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As a relatively new industry, there are not many established players in the adult use cannabis industry whose business model the Corporation can follow or build on the success of. Similarly, there is no information about comparable companies available for potential investors to review in making a decision about whether to invest in the Corporation.</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Shareholders and investors should consider, among other factors, the Corporation’s prospects for success in light of the risks and uncertainties encountered by companies, like the Corporation, that are in their early stages. For example, unanticipated expenses and problems or technical difficulties may occur, which may result in material delays in the operation of the Corporation’s business. The Corporation may fail to successfully address these risks and uncertainties or successfully implement its operating strategies. If the Corporation fails to do so, it could materially harm the Corporation’s business to the point of having to cease operations and could impair the value of the Subordinate Voting Shares to the point where investors may lose their entire investments.</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Corporation has committed and expects to continue committing significant resources and capital to develop and market existing products and new products and services. These products are relatively untested in the marketplace, and the Corporation cannot assure shareholders and investors that it will achieve market acceptance for these products, or other new products and services that the Corporation may offer in the future. Moreover, these and other new products and services may be subject to significant competition with offerings by new and existing competitors in the business. In addition, new products and services may pose a variety of challenges and require the Corporation to attract additional qualified employees. The failure to successfully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develop and market these new products and services could seriously harm the Corporation’s business, prospects, revenue, results of operation and financial condition.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dependent on the popularity of consumer acceptance of the Corporation’s brand portfolio.</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Corporation’s ability to generate revenue and be successful in the implementation of the Corporation’s business plan is dependent on consumer acceptance of and demand for the Corporation’s products. Acceptance of the Corporation’s products depends on several factors, including availability, cost, ease of use, familiarity of use, convenience, effectiveness, safety and reliability. If these customers do not accept the Corporation’s products, or if such products fail to adequately meet customers’ needs and expectations, the Corporation’s ability to continue generating revenues could be reduced.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business is subject to the risks inherent in agricultural operations.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Corporation’s business involves the growing of cannabis, an agricultural product. The Corporation’s business is subject to the risks inherent in the agricultural business, such as insects, plant diseases and similar agricultural risks. Although the Corporation’s cultivation is substantially completed indoors under climate control, some cultivation is completed outdoors, and there can be no assurance that natural elements will not have a material adverse effect on any future production.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adversely impacted by rising or volatile energy costs.</w:t>
      </w:r>
    </w:p>
    <w:p>
      <w:pPr>
        <w:spacing w:after="0" w:line="117"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The Corporation’s cannabis growing operations consume considerable energy, which makes it vulnerable to rising energy costs. Accordingly, rising or volatile energy costs may adversely affect the business of the Corporation and its ability to operate profitably.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encounter unknown environmental risks.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There can be no assurance that the Corporation will not encounter hazardous conditions, such as asbestos or lead, at the sites of the real estate used to operate its businesses, which may delay the development of its businesses. Upon encountering a hazardous condition, work at the facilities of the Corporation may be suspended. If the Corporation receives notice of a hazardous condition, it may be required to correct the condition prior to continuing construction. If additional hazardous conditions were present, it would likely delay construction and may require significant expenditure of the Corporation’s resources to correct the conditions. Such conditions could have a material impact on the investment returns of the Corporation.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Corporation faces risks related to its information technology systems, and potential cyber-attacks and security breaches.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Corporation’s operations depend, in part, on how well the Corporation and its suppliers protect networks, equipment, information technology (“</w:t>
      </w:r>
      <w:r>
        <w:rPr>
          <w:rFonts w:ascii="Arial" w:cs="Arial" w:eastAsia="Arial" w:hAnsi="Arial"/>
          <w:sz w:val="16"/>
          <w:szCs w:val="16"/>
          <w:b w:val="1"/>
          <w:bCs w:val="1"/>
          <w:color w:val="auto"/>
        </w:rPr>
        <w:t>IT</w:t>
      </w:r>
      <w:r>
        <w:rPr>
          <w:rFonts w:ascii="Arial" w:cs="Arial" w:eastAsia="Arial" w:hAnsi="Arial"/>
          <w:sz w:val="16"/>
          <w:szCs w:val="16"/>
          <w:color w:val="auto"/>
        </w:rPr>
        <w:t>”) systems and software against damage and threats, including, but not limited to, cable cuts, damage to physical plants, natural disasters, intentional damage and destruction, fire, power loss, hacking, computer viruses, vandalism and theft. The Corporation’s operations also depend on the timely maintenance and replacement of network equipment, IT systems and software, as well as pre-emptive expenses to mitigate associated risks. Given the nature of the Corporation’s products and the lack of legal availability outside of channels approved by the federal government, as well as the concentration of inventory in its facilities, there remains a risk of shrinkages, as well as theft. If there was a breach in security and the Corporation fell victim to theft or robbery, the loss of cannabis plants, cannabis oils, cannabis flowers and cultivations and processing equipment, or if there was a failure in information systems, it could adversely affect the Corporation’s reputation and business continuity.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Additionally, the Corporation may store and collect personal information about customers and is responsible for protecting that information from privacy breaches that may occur through procedural or process failure, IT malfunction or deliberate unauthorized intrusions. Any such theft or privacy breach would have a material adverse effect on the Corporation’s business, prospects, revenue, results of operation and financial condition.</w:t>
      </w:r>
    </w:p>
    <w:p>
      <w:pPr>
        <w:spacing w:after="0" w:line="14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are subject to laws, rules and regulations in the United States (such as the California Consumer Privacy Act (“</w:t>
      </w:r>
      <w:r>
        <w:rPr>
          <w:rFonts w:ascii="Arial" w:cs="Arial" w:eastAsia="Arial" w:hAnsi="Arial"/>
          <w:sz w:val="17"/>
          <w:szCs w:val="17"/>
          <w:b w:val="1"/>
          <w:bCs w:val="1"/>
          <w:color w:val="auto"/>
        </w:rPr>
        <w:t>CCPA</w:t>
      </w:r>
      <w:r>
        <w:rPr>
          <w:rFonts w:ascii="Arial" w:cs="Arial" w:eastAsia="Arial" w:hAnsi="Arial"/>
          <w:sz w:val="17"/>
          <w:szCs w:val="17"/>
          <w:color w:val="auto"/>
        </w:rPr>
        <w:t>”))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CCPA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risks related to its insurance coverage and uninsurable risks.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Corporation’s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Although the Corporation intends to continue to maintain insurance to protect against certain risks in such amounts as it considers to be reasonable, its insurance will not cover all the potential risks associated with its operations. The Corporation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the operations of the Corporation is not generally available on acceptable terms. The Corporation might also become subject to liability for pollution or other hazards which it may not be insured against or which the Corporation may elect not to insure against because of premium costs or other reasons. Losses from these events may cause the Corporation to incur significant costs that could have a material adverse effect upon its financial performance and results of operations.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dependent on key inputs, suppliers and skilled labor.</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could materially impact the business, financial condition, results of operations or prospects of the Corporation. Some of these inputs may only be available from a single supplier or a limited group of suppliers. If a sole source supplier was to go out of business, the Corporation might be unable to find a replacement for such source in a timely manner, or at all. If a sole source supplier were to be acquired by a competitor, that competitor may elect not to sell to the Corporation in the future. Any inability to secure required supplies and services, or to do so on appropriate terms, could have a materially adverse impact on the business, prospects, revenue, results of operation and financial condition of the Corporation. The Corporation provides its vendor base with annual projections so that its vendors can aim to ensure a steady supply of raw materials and packaging. It checks in with its vendors at least once quarterly to update them to relevant real time changes in its annual plan. For most important raw materials and packaging, the Corporation has both a primary vendor supplier and a secondary vendor supplier to ensure redundancy.</w:t>
      </w:r>
    </w:p>
    <w:p>
      <w:pPr>
        <w:spacing w:after="0" w:line="16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ability of the Corporation to compete and grow will be dependent on it having access, at a reasonable cost and in a timely manner, to skilled labor, equipment, parts and components. No assurances can be given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Corporation will be successful in maintaining its required supply of skilled labor, equipment, parts and components. This could have an adverse effect on the financial results of the Corporation.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must attract and maintain key personnel or our business will fail.</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Success of the Corporation is dependent upon the ability, expertise, judgment, discretion and good faith of its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effected.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sales are difficult to forecast.</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As a result of recent and ongoing regulatory and policy changes in the medical and adult use cannabis industries, the market data available is limited and unreliable. The Corporation must rely largely on its own market research to forecast sales, as detailed forecasts are not generally obtainable from other sources in the states in which the Corporation’s business operates. Additionally, any market research and projections by the Corporation of estimated total retail sales, demographics, demand and similar consumer research, are based on assumptions from limited and unreliable market data. A failure in the demand for its products to materialize as a result of competition, technological change or other factors could have a material adverse effect on the business, results of operations and financial condition of the Corporation.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growth-related risks.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 may be subject to growth-related risks, including capacity constraints and pressure on its internal systems and controls. The ability of the Corporation to manage growth effectively will require it to continue to implement and improve its operational and financial systems and to expand, train and manage its employee base. The inability of the Corporation to deal with this growth may have a material adverse effect on the Corporation’s business, prospects, revenue, results of operation and financial condition.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litigation.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Corporation may become party to litigation from time to time in the ordinary course of business, which could adversely affect its business. Should any litigation in which the Corporation becomes involved be determined against the Corporation, such a decision could adversely affect the Corporation’s ability to continue operating and the market price for the Subordinate Voting Shares and could potentially use significant resources of the Corporation. Even if the Corporation is involved in litigation and wins, litigation can redirect significant resources of the Corporation and/or its subsidiaries.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an inherent risk of product liability claims.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As a distributor of products designed to be ingested by humans, the Corporation faces an inherent risk of exposure to product liability claims, regulatory action and litigation if its products are alleged to have caused significant loss or injury. In addition, the sale of the Corporation’s products involves the risk of injury to consumers due to tampering by unauthorized third parties or product contamination. Previously unknown adverse reactions resulting from human consumption of the Corporation’s products alone or in combination with other medications or substances could occur. The Corporation may be subject to various product liability claims, including, among others, that the Corporation’s products caused injury, illness or death, include inadequate instructions for use or include inadequate warnings concerning possible side effects or interactions with other substances. A product liability claim or regulatory action against the Corporation could result in increased costs, could adversely affect the Corporation’s reputation with its clients and consumers generally and could have a material adverse effect on the business, results of operations and financial condition of the Corporation. There can be no assurances that the Corporation will be able to obtain or maintain product liability insurance on</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the Corporation’s potential products.</w:t>
      </w:r>
    </w:p>
    <w:p>
      <w:pPr>
        <w:spacing w:after="0" w:line="289"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b w:val="1"/>
          <w:bCs w:val="1"/>
          <w:i w:val="1"/>
          <w:iCs w:val="1"/>
          <w:color w:val="auto"/>
        </w:rPr>
        <w:t>The Corporation may be exposed to infringement or misappropriation claims by third parties, which, if determined adversely to the Corporation, could subject the Corporation to significant liabilities and other costs.</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Corporation’s success may depend on its ability to use and develop new extraction technologies, recipes, know-how and new strains of marijuana without infringing the intellectual property rights of third parties. The Corporation cannot assure that third parties will not assert intellectual property claims against it. The Corporation is subject to additional risks if entities licensing intellectual property to the Corporation do not have adequate rights to the licensed materials. If third parties assert copyright or patent infringement or violation of other intellectual property rights against the Corporation, the Corporation will be required to defend itself in litigation or administrative proceedings, which can be both costly and time consuming and may significantly divert the efforts and resources of management personnel. An adverse determination in any such litigation or proceedings to which the Corporation may become a party could subject the Corporation to significant liability to third parties, require the Corporation to seek licenses from third parties, require the Corporation to pay ongoing royalties or subject the Corporation to injunctions that may prohibit the development and operation of its applications.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products may be subject to product recalls.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Manufacturers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the Corporation’s products are recalled due to an alleged product defect or for any other reason, the Corporation could be required to incur the unexpected expense of the recall and any legal proceedings that might arise in connection with the recall. The Corporation may lose a significant amount of sales and may not be able to replace those sales at an acceptable margin, if at all. In addition, a product recall may require significant management attention. Although the Corporation has detailed procedures in place for testing its products, there can be no assurance that any quality, potency or contamination problems will be detected in time to avoid unforeseen product recalls, regulatory action or lawsuits. Additionally, if one of the Corporation’s significant brands were subject to recall, the image of that brand and the Corporation could be harmed. A recall for any of the foregoing reasons could lead to decreased demand for the Corporation’s products and could have a material adverse effect on the results of operations and financial condition of the Corporation. Additionally, product recalls may lead to increased scrutiny of the Corporation’s operations by the FDA, or other regulatory agencies, requiring further management attention and potential legal fees and other expenses.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unfavorable publicity or consumer perception.</w:t>
      </w:r>
    </w:p>
    <w:p>
      <w:pPr>
        <w:spacing w:after="0" w:line="117"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Management believes the adult use cannabis industry is highly dependent upon consumer perception regarding the safety, efficacy and quality of the adult use cannabis produced. Consumer perception of the Corporation’s products may be significantly influenced by scientific research or findings, regulatory investigations, litigation, media attention and other publicity regarding the consumption of adult use cannabis products. There can be no assurance that future scientific research, findings, regulatory proceedings, litigation, media attention or other research findings or publicity will be favorable to the adult use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the Corporation’s products and the business, results of operations, financial condition and cash flows of the Corporation. The Corporation’s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dependence upon consumer perceptions means that adverse scientific research reports, findings, regulatory proceedings, litigation, media attention or other publicity, whether or not accurate or with merit, could have a material adverse effect on the Corporation, the demand for the Corporation’s products and the business, results of operations, financial condition and cash flows of the Corporation. Further, adverse publicity reports or other media attention regarding the safety, efficacy and quality of adult use cannabis in general, or the Corporation’s products specifically, or associating the consumption of adult use cannabis with illness or other negative effects or events, could have such a material adverse effect. Adverse publicity reports or other media attention could arise even if the adverse effects associated with such products resulted from consumers’ failure to consume such products appropriately or as directed.</w:t>
      </w:r>
    </w:p>
    <w:p>
      <w:pPr>
        <w:spacing w:after="0" w:line="18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before their intended use or what types or concentrations of potentially harmful chemicals or by-products are found in these products.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intense competition.</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Corporation faces intense competition from other companies, some of which have longer operating histories and more financial resources and manufacturing and marketing experience than the Corporation. Increased competition by larger and better financed competitors could materially and adversely affect the business, financial condition and results of operations of the Corporation.</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Because of the early stage of the industry in which the Corporation operates, the Corporation faces additional competition from new entrants. If the number of consumers of cannabis in the states in which the Corporation operates its business increases, the demand for products will increase and the Corporation expects that competition will become more intense, as current and future competitors begin to offer an increasing number of diversified products. To remain competitive, the Corporation will require a continued high level of investment in research and development, marketing, sales and client support. The Corporation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6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 decline in the price of the Subordinate Voting Shares could affect the Corporation’s ability to raise further working capital and adversely impact its ability to continue operations.</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A prolonged decline in the price of the Subordinate Voting Shares could result in a reduction in the liquidity of the Subordinate Voting Shares and a reduction in its ability to raise capital. Because a significant portion of the Corporation’s operations have been and will be financed through the sale of equity securities, a decline in the price of its common stock could be especially detrimental to the Corporation’s liquidity and its operations. Such reductions may force the Corporation to reallocate funds from other planned uses and may have a significant negative effect on the Corporation’s business plan and operations, including its ability to develop new products and continue its current operations. If the Corporation’s stock price declines, there can be no assurance that the Corporation will be able to raise additional capital or generate funds from operations sufficient to meet its obligations. If the Corporation is unable to raise sufficient capital in the future, the Corporation may not be able to have the resources to continue its normal operations.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have increased labor costs based on union activity.</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Labor unions are working to organize workforces in the cannabis industry in general. Currently, there is no labor organization that has been recognized as a representative of GTI employees. However, it is possible that certain retail and/or manufacturing locations will be organized in the future, which could lead to work stoppages or increased labor costs and adversely affect our business. We cannot predict how stable our relationships with</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general economic risks.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Corporation’s operations could be affected by the economic context should the unemployment level, interest rates or inflation reach levels that influence consumer trends and spending and, consequently, impact the Corporation’s sales and profitability.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negatively impacted by challenging global economic conditions.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Corporation’s business, financial condition, results of operations and cash flow may be negatively impacted by challenging global economic conditions.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the Corporation’s business, which depends on the general economic environment and levels of consumer spending. As a result, the Corporation may not be able to maintain its existing customers or attract new customers, or it may be forced to reduce the price of its products. The Corporation is unable to predict the likelihood of the occurrence, duration or severity of such disruptions in the credit and financial markets or adverse global economic conditions. Any general or market-specific economic downturn could have a material adverse effect on the business, financial condition, results of operations and cash flow of the Corporation.</w:t>
      </w:r>
    </w:p>
    <w:p>
      <w:pPr>
        <w:spacing w:after="0" w:line="17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return on the Corporation’s securities is not guaranteed.</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There is no guarantee that the Corporation’s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affected by currency fluctuations.</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Corporation faces exposure to significant currency fluctuations because of its present operations in the U.S. Recent events in the global financial markets have been coupled with increased volatility in the currency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markets. All or substantially all of the Corporation’s revenue is earned in U.S. dollars, but a portion of its operating expenses are incurred in Canadian dollars. The Corporation does not have currency hedging arrangements in place and there is no expectation that the Corporation will put any currency hedging arrangements in place in the future. Fluctuations in the exchange rate between the U.S. dollar and the Canadian dollar may have a material adverse effect on the Corporation’s business, financial position or results of operations.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voting control is concentrated.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Corporation’s senior executives exercise a significant majority of the voting power with respect to the Corporation’s outstanding shares because of the Super Voting Shares that they hold. These officials include Benjamin Kovler, the Corporation’s Founder, Chairman and Chief Executive Officer, Andrew Grossman, the Corporation’s Head of Capital Markets, and Anthony Georgiadis, the Corporation’s Chief Financial Officer. Subordinate Voting Shares are entitled to one vote per share, Multiple Voting Shares are entitled to 100 votes per share, and Super Voting Shares are entitled to up to 1,000 votes per share. As a result, Mr. Kovler, Mr. Grossman and Mr. Georgiadis potentially have the ability to control the outcome of matters submitted to the Corporation’s shareholders for approval, including the election and removal of directors and any arrangement or sale of all or substantially all of the assets of the Corporation.</w:t>
      </w:r>
    </w:p>
    <w:p>
      <w:pPr>
        <w:spacing w:after="0" w:line="18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This concentrated control could delay, defer or prevent a change of control of the Corporation, arrangement or merger involving the Corporation or sale of all or substantially all of the assets of the Corporation that its other shareholders may support. Conversely, this concentrated control could allow the holders of the Super Voting Shares to consummate such a transaction that the Corporation’s other shareholders do not support. In addition, the holders of the Super Voting Shares may make long-term strategic investment decisions and take risks that may not be successful and/or may seriously harm the Corporation’s business.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capital structure and voting control may cause unpredictability.</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Although other Canadian-based companies have dual class or multiple voting share structures, given the unique capital structure in respect of the Corporation and the concentration of voting control that is held by the holders of the Super Voting Shares, this structure and control could result in a lower trading price for or greater fluctuations in the trading price of the Corporation’s Subordinate Voting Shares, adverse publicity to the Corporation or other adverse consequences.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issuances of Super Voting Shares, Multiple Voting Shares or Subordinate Voting Shares may result in dilution.</w:t>
      </w:r>
    </w:p>
    <w:p>
      <w:pPr>
        <w:spacing w:after="0" w:line="9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Corporation may issue additional equity or convertible debt securities in the future, which may dilute an existing shareholder’s holdings in the Corporation. The Corporation’s articles permit the issuance of an unlimited number of Super Voting Shares, Multiple Voting Shares and Subordinate Voting Shares, and existing shareholders will have no pre-emptive rights in connection with such further issuances. The Corporation’s board of directors has discretion to determine the price and the terms of further issuances, and such terms could include rights, preferences and privileges superior to those existing holders of Subordinate Voting Shares. Moreover, additional Subordinate Voting Shares will be issued by the Corporation on the conversion of the Multiple Voting Shares and Super Voting Shares in accordance with their terms. To the extent holders of the Corporation’s options or other convertible securities convert or exercise their securities and sell Subordinate Voting Shares they receive, the trading price of the Subordinate Voting Shares may decrease due to the additional amount of Subordinate Voting Shares available in the market. The Corporation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the Corporation.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Sales of substantial amounts of Subordinate Voting Shares may have an adverse effect on the market price of the Subordinate Voting Shares.</w:t>
      </w:r>
    </w:p>
    <w:p>
      <w:pPr>
        <w:spacing w:after="0" w:line="15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the Corporation’s ability to raise additional capital through the sale of securities should it desire to do so.</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market price for the Subordinate Voting Shares may be volatile.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market price for securities of cannabis companies generally are likely to be volatile. In addition, the market price for the Subordinate Voting Shares has been and may be subject to wide fluctuations in response to numerous factors beyond the Corporation’s control, including, but not limited to:</w:t>
      </w:r>
    </w:p>
    <w:p>
      <w:pPr>
        <w:spacing w:after="0" w:line="29"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the Corporation’s quarterly results of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the Corporation operates;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 or departure of the Corporation’s executive officers and other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Subordinate Voting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perceived sales of additional Subordinate Voting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changes affecting the Corporation’s industry generally and its business and operations both domestically and abroad;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the Corporation or its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global financial markets, global economies and general market conditions, such as interest rates and pharmaceutical product price volatility;</w:t>
      </w:r>
    </w:p>
    <w:p>
      <w:pPr>
        <w:spacing w:after="0" w:line="75" w:lineRule="exact"/>
        <w:rPr>
          <w:rFonts w:ascii="Arial" w:cs="Arial" w:eastAsia="Arial" w:hAnsi="Arial"/>
          <w:sz w:val="18"/>
          <w:szCs w:val="18"/>
          <w:color w:val="auto"/>
        </w:rPr>
      </w:pPr>
    </w:p>
    <w:p>
      <w:pPr>
        <w:ind w:left="1180" w:right="6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the Corporation or its competitors;</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the Corporation or from a lack of market comparable companies; and</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the Corporation’s industry or target markets.</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the Corporation’s operating results, underlying asset values or prospects have not changed. Additionally, these factors, as well as other related factors, may cause decreases in asset values that may result in impairment losses to the Corporation. There can be no assurance that further fluctuations in price and volume of equity securities will not occur. If increased levels of volatility and market turmoil continue, the Corporation’s operations could be adversely impacted, and the trading price of the Subordinate Voting Shares may be materially adversely affected.</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3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liquidity risks.</w:t>
      </w:r>
    </w:p>
    <w:p>
      <w:pPr>
        <w:spacing w:after="0" w:line="117" w:lineRule="exact"/>
        <w:rPr>
          <w:sz w:val="20"/>
          <w:szCs w:val="20"/>
          <w:color w:val="auto"/>
        </w:rPr>
      </w:pPr>
    </w:p>
    <w:p>
      <w:pPr>
        <w:jc w:val="both"/>
        <w:ind w:left="200" w:right="340" w:firstLine="441"/>
        <w:spacing w:after="0" w:line="342" w:lineRule="auto"/>
        <w:rPr>
          <w:sz w:val="20"/>
          <w:szCs w:val="20"/>
          <w:color w:val="auto"/>
        </w:rPr>
      </w:pPr>
      <w:r>
        <w:rPr>
          <w:rFonts w:ascii="Arial" w:cs="Arial" w:eastAsia="Arial" w:hAnsi="Arial"/>
          <w:sz w:val="16"/>
          <w:szCs w:val="16"/>
          <w:color w:val="auto"/>
        </w:rPr>
        <w:t>The Corporation’s Subordinate Voting Shares currently trade on the CSE and on over-the-counter markets in the U.S. The Corporation cannot predict at what prices the Subordinate Voting Shares will continue to trade, and there is no assurance that an active trading market will be sustained.</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Corporation’s Subordinate Voting Shares do not currently trade on any U.S. securities exchange. In the event the Corporation’s Subordinate Voting Shares do trade on any U.S. securities exchange, the Corporation cannot predict at what prices the Subordinate Voting Shares will trade and there is no assurance that an active trading market will develop or be sustained. There is a significant liquidity risk associated with an investment in the Corporation.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increased costs as a result of being a public company in Canada and the United States.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As a public company in Canada and the United States, the Corporation is subject to the reporting requirements, rules and regulations under the applicable Canadian and American securities laws and rules of stock exchanges on which the Corporation’s securities may be listed. The requirements of existing and potential future rules and regulations will increase the Corporation’s legal, accounting and financial compliance costs, make some activities more difficult, time-consuming or costly and may place undue strain on its personnel, systems and resources, which could adversely affect its business, financial condition and results of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costs of maintaining a public listing.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The Corporation may also elect to devote greater resources than it otherwise would have on communication and other activities typically considered important by publicly traded companies.</w:t>
      </w:r>
    </w:p>
    <w:p>
      <w:pPr>
        <w:spacing w:after="0" w:line="29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common shares will depend upon any future appreciation in their value. There is no guarantee that our common shares will appreciate in value or even maintain the price at which you purchased them.</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The Corporation is eligible to be treated as an “emerging growth company” as defined in the JOBS Act, and the Corporation cannot be certain if the reduced disclosure requirements applicable to emerging growth companies will make the Subordinate Voting Shares less attractive to investors.</w:t>
      </w:r>
    </w:p>
    <w:p>
      <w:pPr>
        <w:spacing w:after="0" w:line="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Corporation is an “emerging growth company,” as defined in the JOBS Act. For as long as the Corporation continues to be an emerging growth company, it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registration statement on Form 10 and periodic reports and proxy statements, and (3) exemptions from the requirements of holding a nonbinding advisory vote on executive compensation and stockholder approval of any golden parachute payments not previously approved. The Corporation could be an emerging growth company for up to five years, although circumstances could cause the Corporation to lose that status earlier, including if the market value of the Subordinate Voting Shares held by non-affiliates exceeds $700 million as of June 30, 2020, or if the Corporation has total annual gross revenue of $1.07 billion or more during any fiscal year before that time, in which case the Corporation would no longer be an emerging growth company as of the following December 31. Additionally, if the Corporation issues more than $1.0 billion in non-convertible debt during any three-year period before June 30, 2020, it would cease to be an emerging growth company immediately. The Corporation cannot predict if investors will find the Subordinate Voting Shares less attractive because the Corporation may rely on these exemptions. If some investors find the Subordinate Voting Shares less attractive as a result, there may be a less active trading market for the Subordinate Voting Shares, and the stock price may be more volatile.</w:t>
      </w:r>
    </w:p>
    <w:p>
      <w:pPr>
        <w:spacing w:after="0" w:line="17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following table sets forth the Corporation’s selected consolidated and combined financial data for the periods, and as of the dates, indicated. The (i) consolidated and combined statements of operations data for the years ended December 31, 2018, 2017 and 2016 and (ii) consolidated and combined balance sheet data as of December 31, 2018, 2017 and 2016 have been derived from the audited consolidated and combined financial statements of the Corporation and its subsidiaries, which are included elsewhere in this registration statement on Form 10. The selected consolidated financial data for the nine months ended September 30, 2019 and 2018 and as of September 30, 2019 has been derived from the unaudited interim condensed consolidated financial statements of the Corporation and its subsidiaries, which are included elsewhere in this registration statement on Form 10.</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The data set forth below should be read in conjunction with “Management’s Discussion and Analysis of Financial Condition and Results of Operations” and the Consolidated and Combined Financial Statements, the Unaudited Pro Forma Condensed Combined Financial Statements and the accompanying notes presented in Item 13 of this registration statement. The Corporation’s Consolidated and Combined Financial Statements and Unaudited Pro Forma Condensed Combined Financial Statements have been prepared in accordance with U.S.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and on a going-concern basis that contemplates continuity of operations and realization of assets and liquidation of liabilities in the ordinary course of business.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Years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5"/>
          </w:tcPr>
          <w:p>
            <w:pPr>
              <w:jc w:val="right"/>
              <w:ind w:right="392"/>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74,197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9,808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Expenses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88,014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29,316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54,657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GTI</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(45,046)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(4,250)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1,111,467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296,139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418,349</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86,213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The following discussion should be read in conjunction with, and is qualified in its entirety by, the Consolidated and Combined Financial Statements, the Unaudited Pro Forma Condensed Combined Financial Statements and the accompanying notes presented in Item 13 of this registration statement.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this registration statement.</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MD&amp;A of Green Thumb Industries Inc.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management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of the financial condition and results of operations of Green Thumb Industries Inc. (the</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or “</w:t>
      </w:r>
      <w:r>
        <w:rPr>
          <w:rFonts w:ascii="Arial" w:cs="Arial" w:eastAsia="Arial" w:hAnsi="Arial"/>
          <w:sz w:val="16"/>
          <w:szCs w:val="16"/>
          <w:b w:val="1"/>
          <w:bCs w:val="1"/>
          <w:color w:val="auto"/>
        </w:rPr>
        <w:t>GTI</w:t>
      </w:r>
      <w:r>
        <w:rPr>
          <w:rFonts w:ascii="Arial" w:cs="Arial" w:eastAsia="Arial" w:hAnsi="Arial"/>
          <w:sz w:val="16"/>
          <w:szCs w:val="16"/>
          <w:color w:val="auto"/>
        </w:rPr>
        <w:t>”) is for the nine months ended September 30, 2019 and 2018 and for the years ended December 31, 2018, 2017 and 2016. It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supplemental to, and should be read in conjunction with, the Corporation’s consolidated financial statements for the nine months ended September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and 2018 and the year ended December 31, 2018 and the combined financial statements for the years ended December 31, 2017 and 2016 and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accompanying notes for each respective periods. The Corporation’s financial statements are prepared in accordance with accounting principles generally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Financial information presented in this MD&amp;A is presented in United States dollars (“</w:t>
      </w:r>
      <w:r>
        <w:rPr>
          <w:rFonts w:ascii="Arial" w:cs="Arial" w:eastAsia="Arial" w:hAnsi="Arial"/>
          <w:sz w:val="17"/>
          <w:szCs w:val="17"/>
          <w:b w:val="1"/>
          <w:bCs w:val="1"/>
          <w:color w:val="auto"/>
        </w:rPr>
        <w:t>$</w:t>
      </w:r>
      <w:r>
        <w:rPr>
          <w:rFonts w:ascii="Arial" w:cs="Arial" w:eastAsia="Arial" w:hAnsi="Arial"/>
          <w:sz w:val="17"/>
          <w:szCs w:val="17"/>
          <w:color w:val="auto"/>
        </w:rPr>
        <w:t>”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unless otherwise indicated.</w:t>
      </w:r>
    </w:p>
    <w:p>
      <w:pPr>
        <w:spacing w:after="0" w:line="21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the Corporation’s actual results may differ materially from those anticipated in these forward-looking statements and information.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THE CORPORATION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Established in 2014 and headquartered in Chicago, Illinois, GTI is promoting well-being through the power of cannabis, while being committed to community and sustainable profitable growth. As of January 1, 2020, GTI</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has operations across 12 U.S. markets, employs approximately 1,500 people and serves hundreds of thousands of patients and customers annually.</w:t>
      </w:r>
    </w:p>
    <w:p>
      <w:pPr>
        <w:spacing w:after="0" w:line="24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GTI’s core business is manufacturing, distributing and marketing a portfolio of owned cannabis consumer packaged goods brands (which we refer to as our consumer products or wholesale business), including Beboe, Dogwalkers, Dr. Solomon’s, incredibles, Rythm and The Feel Collection. We distribute and market these products primarily to third-party licensed retail cannabis stores across the United States as well as to GTI-owned retail stores (which we refer to as our retail business).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Corporation’s consumer products portfolio is primarily generated from plant material that GTI grows and processes itself, which we use to produce our consumer packaged goods in 13 manufacturing facilities. This portfolio consists of stock keeping units (“</w:t>
      </w:r>
      <w:r>
        <w:rPr>
          <w:rFonts w:ascii="Arial" w:cs="Arial" w:eastAsia="Arial" w:hAnsi="Arial"/>
          <w:sz w:val="18"/>
          <w:szCs w:val="18"/>
          <w:b w:val="1"/>
          <w:bCs w:val="1"/>
          <w:color w:val="auto"/>
        </w:rPr>
        <w:t>SKUs</w:t>
      </w:r>
      <w:r>
        <w:rPr>
          <w:rFonts w:ascii="Arial" w:cs="Arial" w:eastAsia="Arial" w:hAnsi="Arial"/>
          <w:sz w:val="18"/>
          <w:szCs w:val="18"/>
          <w:color w:val="auto"/>
        </w:rPr>
        <w:t>”) across a range of cannabis product categories, including flower, pre-rolls, concentrates, vape, capsules, tinctures, edibles, topicals and other cannabis-related products (none of which product categories are individually material to the Corporation).</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GTI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which includes the sale of GTI produced products as well as those produced by third parties, with an immaterial (under 10%) portion of this income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and are located in Nevada. The Essence stores differ from the Rise stores mainly in geographic location. As of January 1, 2020, the Corporation had 40 open and operating retail locations, with state licensed permission to open a total of 96 stores. We currently anticipate that we will open 15 to 20 additional stores in 2020, bringing our total number of open and operating retail locations to approximately 55 to 60, depending on market conditions, obtaining local licensing, construction and other permissions and subject to our capital allocation plans.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Streams</w:t>
      </w:r>
    </w:p>
    <w:p>
      <w:pPr>
        <w:spacing w:after="0" w:line="12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Corporation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4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of the nine months ended September 30, 2019, GTI has operating revenue in 11 of its 12 markets (California, Colorado, Connecticut, Florida, Illinois, Maryland, Massachusetts, Nevada, New York, Ohio and Pennsylvania) and ramp up expenses related to the build out of New Jersey as a new market in preparation for revenue generation over the next three months.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FINANCIAL INFORMATION</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following is selected financial data derived from the consolidated financial statements of the Corporation for the nine months ended September 30, 2019 and 2018 and for the years ended December 31, 2018, 2017 and 2016.</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selected consolidated financial information set out below may not be indicative of the Corporation’s future performance: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Years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5"/>
          </w:tcPr>
          <w:p>
            <w:pPr>
              <w:jc w:val="right"/>
              <w:ind w:right="392"/>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74,197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9,808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Expenses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88,014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29,316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54,657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GTI</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(45,046)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(4,250)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1,111,467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296,139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418,349</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86,213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Nine Months Ended September 30,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right="240" w:firstLine="441"/>
        <w:spacing w:after="0" w:line="254" w:lineRule="auto"/>
        <w:rPr>
          <w:sz w:val="20"/>
          <w:szCs w:val="20"/>
          <w:color w:val="auto"/>
        </w:rPr>
      </w:pPr>
      <w:r>
        <w:rPr>
          <w:rFonts w:ascii="Arial" w:cs="Arial" w:eastAsia="Arial" w:hAnsi="Arial"/>
          <w:sz w:val="18"/>
          <w:szCs w:val="18"/>
          <w:color w:val="auto"/>
        </w:rPr>
        <w:t>Revenue for the nine months ended September 30, 2019 was $140,631 thousand, up 237% from $41,722 thousand for the nine months ended September 30, 2018 driven by contribution from both consumer packaged goods and retail sales across 11 of 12 markets (California, Colorado, Connecticut, Florida, Illinois, Maryland, Massachusetts, Nevada, New York, Ohio and Pennsylvania). Key performance drivers are: distribution expansion of GTI’s branded product portfolio primarily in Illinois, Massachusetts and Pennsylvania; new store openings and increased store traffic to GTI’s 32 open and operating retail stores, particularly in Florida, Illinois, Massachusetts and Pennsylvania; and the addition of revenue from the acquisition of Connecticut-based AGL and Nevada-based Integral Associates. The increase in revenues attributable to acquisitions, new locations opened (non-acquisition) and organic growth represented an increase of 84.8%, 68.4% and 83.7% respectively, as compared to the nine months ended September 30, 2018.</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Cost of goods sold for nine months ended September 30, 2019 was $74,197 thousand, up 238% from $21,953 thousand for the nine months ended September 30, 2018, driven by growth from both consumer packaged goods and retail sales across 11 of 12 markets (California, Colorado, Connecticut, Florida, Illinois, Maryland, Massachusetts, Nevada, New York, Ohio and Pennsylvania).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Gross profit for the nine months ended September 30, 2019 was $66,434 thousand, representing a gross margin on the sale of finished cannabis consumer packaged goods of 47%. This is compared to gross profit for the nine months ended September 30, 2018 of $19,769 thousand or a 47% gross margin driven by increased harvested cannabis and wholesale shipments, along with incremental contribution from increased volume from Retail sales.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Total expenses for the nine months ended September 30, 2019 were $88,014 thousand or 63% of Total Revenues, net of discounts, an increase of $58,698 thousand. Total expenses for the nine months ended September 30, 2018 were $29,316 thousand or 70% of Total Revenues, net of discounts.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$13,324 thousand, an increase of $9,644 thousand compared to the nine months ended September 30, 2018. Salaries and benefits also contributed to the increase as a result of new headcount from the Corporation’s Retail facilities in Florida, Illinois, Nevada, Maryland, Massachusetts and Pennsylvania, along with corporate staff development.</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Additionally, the Corporation had professional fees of $12,763 thousand which represented an increase of $6,250 thousand over the 2018 amount of $6,513 thousand, primarily driven by acquisition related support, and other regulatory and growth-related activities.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Total other expense for the nine months ended September 30, 2019 was ($18,431) thousand, compared to income of $43,091 thousand for the nine months ended September 30, 2018, mainly due to a favorable adjustment to the fair values of the Corporation’s investments recorded in 2018, as further described in the Liquidity, Financing Activities During the Period, and Capital Resources section of this MD&amp;A.</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the nine months ended September 30, 2019, Federal and State income tax expense totaled $4,706 thousand compared to $4,164 thousand for the nine months ended September 30, 2018. The net expense of $4,706 thousand for the nine months ended September 30, 2019 includes current tax expense of $10,418 thousand and deferred tax benefit of $5,712 thousand in the current period. The deferred tax benefit is driven by net operating losses and changes in the fair value of investments.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Net loss attributable to GTI for the nine months ended September 30, 2019 was $45,046 thousand, compared to $1,940 thousand for the nine months ended September 30, 2018. The increase in net operating loss attributable to GTI was driven by a reduction in the fair value of the iAnthus Warrants and an increase in equity incentive compensation.</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presented in the Non-GAAP section, after adjusting for non-cash equity incentive compensation of $13,324 thousand as described above, as well as other non-operating items, adjusted operating EBITDA was $14,314 thousand and $112 thousand for the nine months ended September 30, 2019 and 2018,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Revenue for the year ended December 31, 2018 was $62,494 thousand, up 278% from $16,529 thousand for the year ended December 31, 2017 due to revenue contribution from Consumer Products and Retail sales across Illinois, Maryland, Massachusetts, Nevada and Pennsylvania. Year over year consumer products growth is driven by expanded distribution to third-party retail customers of GTI’s branded product portfolio, including Rythm, The Feel Collection and Dogwalkers, primarily across Illinois, Maryland and Pennsylvania. Retail sales growth is driven by increased foot traffic in Illinois retail stores, incremental revenue from two Illinois stores which were acquired in October 2017, new store openings of Rise (three in Maryland and four in Pennsylvania) and the commencement of adult use sales for both Nevada Rise stores as of January 1, 2018, all incremental compared to the year ending December 31, 2017.</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Year ended December 31, 2018 cost of goods sold of $34,177 thousand was up $24,369 thousand or 249% compared to year ended December 31, 2017, driven by expanded production of consumer products in new markets Maryland and Pennsylvania, as well as material increases from retail sales driven by new store openings and increases in daily transactions across Illinois, Maryland, Massachusetts, Nevada and Pennsylvania.</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Gross profit for the year ended December 31, 2018 was $28,316 thousand, representing a gross margin on the sale of branded cannabis flower and processed and packaged products including concentrates, edibles, topicals and other cannabis products, of 45%. This is compared to gross profit for the year ended December 31, 2017 of $6,721 thousand or a 41% gross margin. The increase in gross margin percentage in 2018 was primarily driven by an increase in retail sales and additional retail store openings during 2018 where margins, on average, are higher than margins achieved from our wholesale business. Thus, increasing the mix of retail revenues to wholesale revenues will have the effect of increasing the Corporation’s gross margin percentage.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Total expenses for year ended December 31, 2018 were $54,657 thousand, an increase of $43,166 thousand, compared to year ended December 31, 2017.</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$12,148 thousand, which is all incremental compared to the prior year. Salaries and benefits also contributed to the increase as a result of new headcount from the Corporation’s Retail facilities in Illinois, Nevada, Maryland and Pennsylvania along with corporate staff development.</w:t>
      </w:r>
    </w:p>
    <w:p>
      <w:pPr>
        <w:spacing w:after="0" w:line="18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Additionally, the Corporation had professional fees of $10,689 thousand which represented an increase of $7,171 thousand over the 2017 amount of $3,518 thousand due to the reverse takeover transaction, acquisition related support, and other regulatory and growth related activities.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Other Income</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Total other income for year ended December 31, 2018 was $56,091 thousand, an increase of $55,979 thousand compared to 2017, due to the iAnthus Warrants and other investments recorded at fair value, as further described in the Liquidity, Financing Activities During the Period, and Capital Resources section of this MD&amp;A.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2018, Federal and State income tax expense totaled $7,184 thousand compared to $214 thousand provision for income taxes for the year ended December 31, 2017. Deferred tax expense of $4,061 thousand is included in the $7,184 thousand for the current period. This expense is driven by the fair value of Warrants and investments, partially offset by deferred tax benefit related to net operating losses and share-based compensation.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loss attributable to GTI for the year ended December 31, 2018 was $5,244 thousand, compared to $4,250 for the year ended December 31,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2017. The increase in net loss attributable to GTI was driven by start-up costs for upcoming new markets along with growth related professional fees.</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As presented in the Non-GAAP section, after adjusting for non-cash equity incentive compensation of $12,148 thousand as described above, as well as other non-operating items, adjusted operating EBITDA was ($9,007) thousand and ($4,080) thousand for the years ended December 31, 2018 and 2017,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Revenue for the year ended December 31, 2017 was $16,529 thousand, up 129% from $7,214 thousand for the year ended December 31, 2016 due to revenue contribution from Consumer Products in Illinois and Retail sales across Illinois and Nevada. Year over year consumer products growth is driven by expanded distribution to third-party retail customers of GTI’s branded product portfolio including Rythm, The Feel Collection and Dogwalkers. Retail sales growth is driven by increased foot traffic in Illinois and Nevada retail stores and incremental revenue from two Illinois stores which were acquired in October 2017.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Year ended December 31, 2017 cost of goods sold of $9,808 thousand was up $4,259 thousand or 77% compared to year ended December 31, 2016, driven by expanded production of consumer products in Illinois, as well as increases from retail sales driven by increases in daily transactions in Illinois and Nevada.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Gross profit for the year ended December 31, 2017 was $6,721 thousand, representing a gross margin on the sale of branded cannabis flower and processed and packaged products including concentrates, edibles, topicals and other cannabis products, of 41%. This is compared to gross profit for the year ended December 31, 2016 of $1,664 thousand or a 23% gross margin.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expenses for year ended December 31, 2017 were $11,491 thousand, an increase of $6,827 thousand, compared to year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Increase in total expenses was attributable to an increase in general and administrative expenses driven by salaries and benefits as a result of new headcount from the Corporation’s Retail facilities in Illinois and Nevada, along with corporate staff development and professional fees related to growth related activities.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2017, Federal and State income tax expense totaled $214 thousand compared to zero provision for income taxes for the year ended December 31, 2016.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loss attributable to GTI for the year ended December 31, 2017 was $4,250 thousand, compared to $3,533 for the year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The increase in net loss attributable to GTI was driven by start-up costs for upcoming new markets along with growth related professional fees.</w:t>
      </w:r>
    </w:p>
    <w:p>
      <w:pPr>
        <w:spacing w:after="0" w:line="23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presented in the Non-GAAP section, after adjusting for non-operating items, adjusted operating EBITDA was ($4,080) thousand and ($2,506) thousand for the years ended December 31, 2017 and 2016,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Revenue for the year ended December 31, 2016 was $7,214 thousand due to revenue contribution from Consumer Products in Illinois and Retail sales across Illinois and Nevada. Consumer products growth is driven by expanded distribution to third-party retail customers of GTI’s branded product portfolio including Rythm, The Feel Collection and Dogwalkers. Retail sales growth is driven by increased foot traffic in Illinois and the opening of a Nevada retail store.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Year ended December 31, 2016 cost of goods sold of $5,549 thousand was driven by expanded production of consumer products in Illinois, as well as increases from retail sales driven by increases in daily transactions in Illinois and the opening of a Nevada retail store.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Gross profit for the year ended December 31, 2016 was $1,664 thousand, representing a gross margin on the sale of branded cannabis flower and processed and packaged products including concentrates, edibles, topicals and other cannabis products, of 23%.</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Total expenses for year ended December 31, 2016 were $4,664 thousand. General and administrative expenses were driven by salaries and benefits as a result of new headcount from the Corporation’s Retail facilities in Illinois and Nevada, along with professional fees related to growth related activities.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Net loss attributable to GTI for the year ended December 31, 2016 was $3,533 for the year ended December 31, 2016 driven by start-up costs for upcoming new markets along with expansion of existing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Corporation derives its revenue from two revenue streams: a consumer packaged goods business in which it manufactures, sells and distributes its portfolio of finished consumer packaged goods, including brands Rythm, Dogwalkers, The Feel Collection and Beboe, among others, primarily to third-party retail customers; and a retail business in which it sells finished goods sourced primarily from third-party cannabis manufacturers direct to the end consumer in its brick and mortar retail stores, as well as direct-to-consumer delivery where applicable by state law.</w:t>
      </w:r>
    </w:p>
    <w:p>
      <w:pPr>
        <w:spacing w:after="0" w:line="15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the nine months ended September 30, 2019, revenue was contributed from consumer packaged goods and retail sales across California, Colorado, Connecticut, Florida, Illinois, Maryland, Massachusetts, Nevada, New York, Ohio and Pennsylvania.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Gross profit is revenue less cost of goods sold. Cost of goods sold includes the costs directly attributable to product sales and includes amounts paid for finished goods, such as flower, edibles, and concentrates, as well as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4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Over the nine months ended September 30, 2019, the Corporation continued to be focused on executing sustainable, profitable growth of the Corporation’s base business while pursuing national expansion. GTI expects to continue its growth strategy for the foreseeable future as the Corporation expands its consumer products and retail footprint within its current markets with acquisitions and partnerships, and scales resources into new markets.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ongoing business.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Selling costs generally correlate to revenue. As a percentage of sales, the Corporation expects selling costs to remain relatively flat in the more established operational markets (Connecticut, Illinois, Nevada, Maryland, Massachusetts and Pennsylvania) and increase in the up and coming markets as business continues to grow (Florida, New Jersey, New York and Ohio). The increase is expected to be driven primarily by the growth of our Retail channels and the ramp up from pre-revenue to sustainable market share.</w:t>
      </w:r>
    </w:p>
    <w:p>
      <w:pPr>
        <w:spacing w:after="0" w:line="187"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General and administrative expenses also include costs incurred at the corporate offices, primarily related to personnel costs, including salaries, incentive compensation, benefits, share-based compensation and other professional service costs. The Corporation expects to continue to invest considerably in this area to support aggressive expansion plans and to support the business by attracting and retaining top-tier talent. Furthermore, the Corporation expects to continue to incur acquisition and transaction costs related to these expansion plans and anticipates an increase in stock compensation expenses related to recruiting and hiring talent, along with legal and professional fees associated with being a publicly traded company.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Corporation is subject to income taxes in the jurisdictions in which it operates and, consequently, income tax expense is a function of the allocation of taxable income by jurisdiction and the various activities that impact the timing of taxable events. As the Corporation operates in the 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Corporation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 in thousands)</w:t>
      </w:r>
    </w:p>
    <w:tbl>
      <w:tblPr>
        <w:tblLayout w:type="fixed"/>
        <w:tblInd w:w="2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6"/>
          </w:tcPr>
          <w:p>
            <w:pPr>
              <w:jc w:val="right"/>
              <w:ind w:right="400"/>
              <w:spacing w:after="0" w:line="135" w:lineRule="exact"/>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 (GAAP)</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(44,717)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7"/>
              </w:rPr>
              <w:t>(3,533)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4,706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4,164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7,184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Arial" w:cs="Arial" w:eastAsia="Arial" w:hAnsi="Arial"/>
                <w:sz w:val="18"/>
                <w:szCs w:val="18"/>
                <w:b w:val="1"/>
                <w:bCs w:val="1"/>
                <w:color w:val="auto"/>
              </w:rPr>
              <w:t>(non-GAAP measure)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(12,020)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34,987</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35,262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(2,815)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(42,820)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(56,417)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Stock-based compensation, non-cash</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13,324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3,680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12,148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(4,080)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(2,506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September 30, 2019, December 31, 2018, December 31, 2017 and December 31, 2016, the Corporation had total current liabilities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$105,571 thousand, $47,571 thousand, $14,281 thousand and $3,619 thousand, respectively, and cash and cash equivalents of $66,121 thousand,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$145,986 thousand, $29,565 thousand and $12,956 thousand, respectively to meet its current obligations. As of September 30, 2019, the Corporation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had working capital of $9,280 thousand, down $112,211 thousand as compared to December 31, 2018, driven primarily by liabilities arising from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completion of business acquisitions during the nine months ended September 30, 2019.</w:t>
      </w:r>
    </w:p>
    <w:p>
      <w:pPr>
        <w:spacing w:after="0" w:line="21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Corporation is an early-stage growth company. It is generating cash from sales and is deploying its capital reserves to acquire and develop assets capable of producing additional revenues and earnings over both the immediate and near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operating activities for the nine months ended September 30, 2019 and September 30, 2018, and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2017 and 2016,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256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$(1,248)</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$(13,223)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$(17,683)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$(4,289)</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00" w:type="dxa"/>
            <w:vAlign w:val="bottom"/>
          </w:tcPr>
          <w:p>
            <w:pPr>
              <w:jc w:val="right"/>
              <w:ind w:right="910"/>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investing activities for the nine months ended September 30, 2019 and September 30, 2018, and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2017 and 2016,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21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(171,943)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(37,188)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(111,421)</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(26,025)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(4,451)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financing activities for the nine months ended September 30, 2019 and September 30, 2018, and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2017 and 2016,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gridSpan w:val="3"/>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258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gridSpan w:val="3"/>
          </w:tcPr>
          <w:p>
            <w:pPr>
              <w:ind w:left="3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72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$ 93,327</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$ 170,620</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$ 245,525</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$ 46,924</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$ 13,396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of the date of this registration statement, the Corporation does not have any off-balance-sheet arrangements that have, or are reasonably likely to have, a current or future effect on the results of operations or financial condition of the Corporation, including, and without limitation, such considerations as liquidity and capital resources.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Pending and Subsequent Transactions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On November 12, 2019, the Corporation closed on a sale and leaseback transaction to sell its Danville, Pennsylvania cultivation and processing facility to an unrelated third party. GTI will lease back the facility via a long-term agreement and continue to operate and manage it. 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18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As part of this transaction, GTI entered into the First Amendment to the Note Purchase Agreement whereby, among other things, the amended agreement reduced the additional amount of funds available for borrowing from $44,533,571 to $24,533,571 and extended the time frame in which GTI may borrow these funds an additional 180 days to May 2020. As of September 30, 2019, GTI has not drawn any additional funds from the lenders.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31, 2020, the Corporation closed on a sale and leaseback transaction to sell its Toledo, Ohio processing facility to an unrelated third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party. GTI will lease back the facility via a long-term agreement and continue to operate and manage it. The purchase price for the property was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$2,900,000, excluding transaction costs. GTI is also expected to make certain improvements to the property that will significantly enhance production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capacity, for which GTI will be reimbursed up to $4,300,000. Assuming full reimbursement for such improvements, the total investment in the property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 $7,200,000.</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GAAP standards have been recently issued by the accounting standards board. The Corporation is assessing the impact of these new standards on future consolidated financial statements.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Pronouncements that are not applicable or where it has been determined do not have a significant impact to the Corporation have been excluded herein.</w:t>
      </w:r>
    </w:p>
    <w:p>
      <w:pPr>
        <w:spacing w:after="0" w:line="24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January 2017, the FASB issued Accounting Standards Update No. 2017-04 “Intangibles—Goodwill and Other (Topic 350): Simplifying the Test for Goodwill Impairment” (“</w:t>
      </w:r>
      <w:r>
        <w:rPr>
          <w:rFonts w:ascii="Arial" w:cs="Arial" w:eastAsia="Arial" w:hAnsi="Arial"/>
          <w:sz w:val="16"/>
          <w:szCs w:val="16"/>
          <w:b w:val="1"/>
          <w:bCs w:val="1"/>
          <w:color w:val="auto"/>
        </w:rPr>
        <w:t>ASU 2017-04</w:t>
      </w:r>
      <w:r>
        <w:rPr>
          <w:rFonts w:ascii="Arial" w:cs="Arial" w:eastAsia="Arial" w:hAnsi="Arial"/>
          <w:sz w:val="16"/>
          <w:szCs w:val="16"/>
          <w:color w:val="auto"/>
        </w:rPr>
        <w:t>”),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154"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color w:val="auto"/>
        </w:rPr>
        <w:t>In February 2016, the FASB issued Accounting Standards Update No. 2016-02 “Leases (Topic 842)” (“</w:t>
      </w:r>
      <w:r>
        <w:rPr>
          <w:rFonts w:ascii="Arial" w:cs="Arial" w:eastAsia="Arial" w:hAnsi="Arial"/>
          <w:sz w:val="18"/>
          <w:szCs w:val="18"/>
          <w:b w:val="1"/>
          <w:bCs w:val="1"/>
          <w:color w:val="auto"/>
        </w:rPr>
        <w:t>ASU 2016-02</w:t>
      </w:r>
      <w:r>
        <w:rPr>
          <w:rFonts w:ascii="Arial" w:cs="Arial" w:eastAsia="Arial" w:hAnsi="Arial"/>
          <w:sz w:val="18"/>
          <w:szCs w:val="18"/>
          <w:color w:val="auto"/>
        </w:rPr>
        <w:t>”),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Upon adoption of ASU 2016-02, the Corporation recorded right-of-use assets of $10,932,883 and corresponding lease liabilities of $11,984,980 with the difference of $1,052,097 recorded in opening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preparation of the Corporation’s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Estimated Useful Lives and Amortization of Intangible Assets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value, using appropriate valuation techniques, which are generally based on a forecast of the total expected future net cash flows.</w:t>
      </w:r>
    </w:p>
    <w:p>
      <w:pPr>
        <w:spacing w:after="0" w:line="225"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the Corporation the ability to operate in each market. However, some cannabis licenses are subject to renewal and therefore there is some risk of non-renewal for several reasons, including operational, regulatory, legal or economic. To appropriately consider the risk of non-renewal, the Corporation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12% to 18% primarily dependent upon the markets in which each of the acquisitions operates. The terminal growth rate represents the rate at which these businesses will continue to grow into perpetuity. Management selected terminal growth rates between 2% and 3%. Other significant assumptions include revenue, gross profit, operating expenses and anticipated capital expenditures which are based upon the Corporation’s historical operations along with management projections.</w:t>
      </w:r>
    </w:p>
    <w:p>
      <w:pPr>
        <w:spacing w:after="0" w:line="16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evaluations are linked closely to the assumptions made by management regarding the future performance of these assets and any changes in the discount rate applied.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Corporation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Investments in Private Holdings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Investments include private company investments which are carried at fair value based on the value of the Corporation’s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Corporation relies on a number of factors, including historical results, business plans, forecasts and market data. Changes in the conditions for these judgments and estimates can significantly affect the assessed value of goodwill.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Determination of Reporting Units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Corporation’s assets are aggregated into two reportable segments (retail and wholesale). For the purposes of testing goodwill, GTI has identified 12 reporting units. The Corporation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GTI’s operates as of December 31, 2018: Florida, Illinois, Maryland, Massachusetts, Nevada, New Jersey, Ohio and Pennsylvania.</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Judgment is applied in assessing whether the Corporation exercises control and has significant influence over entities in which the Corporation directly or indirectly owns an interest. The Corporation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Corporation is determined to have control, these entities are consolidated. Additionally, judgment is applied in determining the effective date on which control was obtained. See Note 14—Variable Interest Entities for further details.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Allowance for Uncollectible Accounts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Payments</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Valuation of stock-based compensation and warrants requires management to make estimates regarding the inputs for option pricing models, such as the expected life of the option, the volatility of the Corporation’s stock price, the vesting period of the option and the risk-free interest rate are used. Actual results could differ from those estimates. The estimates are considered for each new grant of stock options or warrants.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The Corporation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Corporation’s f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2—Inputs other than quoted prices that are observable for the asset or liability, either directly or indirectly; and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3—Inputs for the asset or liability that are not based on observable market data.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Corporation is exposed in varying degrees to a variety of financial instrument related risks. The board of directors mitigates these risks by assessing, monitoring and approving the Corporation’s risk management processes.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Credit Risk</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Credit risk is the risk of a potential loss to the Corporation if a customer or third party to a financial instrument fails to meet its contractual obligations. The maximum credit exposure at December 31, 2018 is the carrying amount of cash and cash equivalents. The Corporation does not have significant credit risk with respect to its customers. All cash and cash equivalents are placed with major U.S. financial institutions.</w:t>
      </w:r>
    </w:p>
    <w:p>
      <w:pPr>
        <w:spacing w:after="0" w:line="166"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The Corporation provides credit to its customers in the normal course of business. The Corporation has established credit evaluation and monitoring processes to mitigate credit risk but has limited risk as the majority of its sales are transacted with cash.</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Liquidity Risk</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Liquidity risk is the risk that the Corporation will not be able to meet its financial obligations associated with financial liabilities. The Corporation manages liquidity risk through the effective management of its capital structure. The Corporation’s approach to managing liquidity is to ensure that it will have sufficient liquidity at all times to settle obligations and liabilities when due.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Market Risk</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operating results and financial position of the Corporation are reported in U.S. dollars. Some of the Corporation’s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are denominated in currencies other than the U.S. dollar. The results of the Corporation’s operations are subject to currency transaction risks. The Corporation has no hedging agreements in place with respect to foreign exchange rates. The Corporation has not entered into any agreements or purchased any instruments to hedge possible currency risks at this time.</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The Corporation’s financial debts have fixed rates of interest and therefore expose the Corporation to a limited interest rate fair value risk.</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Commodities Price Risk</w:t>
      </w:r>
      <w:r>
        <w:rPr>
          <w:rFonts w:ascii="Arial" w:cs="Arial" w:eastAsia="Arial" w:hAnsi="Arial"/>
          <w:sz w:val="16"/>
          <w:szCs w:val="16"/>
          <w:color w:val="auto"/>
        </w:rPr>
        <w:t>. Price risk is the risk of variability in fair value due to movements in equity or market prices. The primary raw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the Corporation aside from those cultivated internally are labels and packaging. Management believes a hypothetical 10% change in the price of these materials would not have a significant effect on the Corporation’s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PROPERTIES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set forth the Corporation’s principal physical properties.</w:t>
      </w: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Corporate Properties</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42"/>
        </w:trPr>
        <w:tc>
          <w:tcPr>
            <w:tcW w:w="17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Borders>
              <w:top w:val="single" w:sz="8" w:color="auto"/>
            </w:tcBorders>
          </w:tcPr>
          <w:p>
            <w:pPr>
              <w:spacing w:after="0"/>
              <w:rPr>
                <w:sz w:val="12"/>
                <w:szCs w:val="12"/>
                <w:color w:val="auto"/>
              </w:rPr>
            </w:pPr>
          </w:p>
        </w:tc>
      </w:tr>
      <w:tr>
        <w:trPr>
          <w:trHeight w:val="224"/>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7"/>
              </w:rPr>
              <w:t>Headquarters</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4"/>
              </w:rPr>
              <w:t>Chicago,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9"/>
                <w:szCs w:val="19"/>
                <w:color w:val="auto"/>
              </w:rPr>
            </w:pPr>
          </w:p>
        </w:tc>
      </w:tr>
      <w:tr>
        <w:trPr>
          <w:trHeight w:val="391"/>
        </w:trPr>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center"/>
              <w:ind w:right="1710"/>
              <w:spacing w:after="0"/>
              <w:rPr>
                <w:sz w:val="20"/>
                <w:szCs w:val="20"/>
                <w:color w:val="auto"/>
              </w:rPr>
            </w:pPr>
            <w:r>
              <w:rPr>
                <w:rFonts w:ascii="Arial" w:cs="Arial" w:eastAsia="Arial" w:hAnsi="Arial"/>
                <w:sz w:val="14"/>
                <w:szCs w:val="14"/>
                <w:b w:val="1"/>
                <w:bCs w:val="1"/>
                <w:color w:val="auto"/>
                <w:w w:val="92"/>
              </w:rPr>
              <w:t>Production Properties</w:t>
            </w: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2"/>
        </w:trPr>
        <w:tc>
          <w:tcPr>
            <w:tcW w:w="176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Pr>
          <w:p>
            <w:pPr>
              <w:spacing w:after="0"/>
              <w:rPr>
                <w:sz w:val="12"/>
                <w:szCs w:val="12"/>
                <w:color w:val="auto"/>
              </w:rPr>
            </w:pPr>
          </w:p>
        </w:tc>
      </w:tr>
      <w:tr>
        <w:trPr>
          <w:trHeight w:val="195"/>
        </w:trPr>
        <w:tc>
          <w:tcPr>
            <w:tcW w:w="2080" w:type="dxa"/>
            <w:vAlign w:val="bottom"/>
            <w:gridSpan w:val="2"/>
          </w:tcPr>
          <w:p>
            <w:pPr>
              <w:ind w:left="1180"/>
              <w:spacing w:after="0" w:line="195" w:lineRule="exact"/>
              <w:rPr>
                <w:sz w:val="20"/>
                <w:szCs w:val="20"/>
                <w:color w:val="auto"/>
              </w:rPr>
            </w:pPr>
            <w:r>
              <w:rPr>
                <w:rFonts w:ascii="Arial" w:cs="Arial" w:eastAsia="Arial" w:hAnsi="Arial"/>
                <w:sz w:val="18"/>
                <w:szCs w:val="18"/>
                <w:color w:val="auto"/>
                <w:w w:val="89"/>
              </w:rPr>
              <w:t>West Haven</w:t>
            </w:r>
          </w:p>
        </w:tc>
        <w:tc>
          <w:tcPr>
            <w:tcW w:w="1800" w:type="dxa"/>
            <w:vAlign w:val="bottom"/>
          </w:tcPr>
          <w:p>
            <w:pPr>
              <w:jc w:val="center"/>
              <w:ind w:right="1130"/>
              <w:spacing w:after="0" w:line="195" w:lineRule="exact"/>
              <w:rPr>
                <w:sz w:val="20"/>
                <w:szCs w:val="20"/>
                <w:color w:val="auto"/>
              </w:rPr>
            </w:pPr>
            <w:r>
              <w:rPr>
                <w:rFonts w:ascii="Arial" w:cs="Arial" w:eastAsia="Arial" w:hAnsi="Arial"/>
                <w:sz w:val="18"/>
                <w:szCs w:val="18"/>
                <w:color w:val="auto"/>
                <w:w w:val="96"/>
              </w:rPr>
              <w:t>Facility</w:t>
            </w:r>
          </w:p>
        </w:tc>
        <w:tc>
          <w:tcPr>
            <w:tcW w:w="5040" w:type="dxa"/>
            <w:vAlign w:val="bottom"/>
            <w:gridSpan w:val="3"/>
          </w:tcPr>
          <w:p>
            <w:pPr>
              <w:jc w:val="center"/>
              <w:ind w:right="1030"/>
              <w:spacing w:after="0" w:line="195" w:lineRule="exact"/>
              <w:rPr>
                <w:sz w:val="20"/>
                <w:szCs w:val="20"/>
                <w:color w:val="auto"/>
              </w:rPr>
            </w:pPr>
            <w:r>
              <w:rPr>
                <w:rFonts w:ascii="Arial" w:cs="Arial" w:eastAsia="Arial" w:hAnsi="Arial"/>
                <w:sz w:val="18"/>
                <w:szCs w:val="18"/>
                <w:color w:val="auto"/>
                <w:w w:val="90"/>
              </w:rPr>
              <w:t>West Haven, CT</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6"/>
                <w:szCs w:val="16"/>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Homestead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Homestead, FL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Oglesby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2"/>
              </w:rPr>
              <w:t>Oglesby, IL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Rock Island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4"/>
              </w:rPr>
              <w:t>Rock Island, IL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5"/>
              </w:rPr>
              <w:t>Centreville Facility</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5"/>
              </w:rPr>
              <w:t>Centreville, MD</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6"/>
              </w:rPr>
              <w:t>Holyoke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7"/>
              </w:rPr>
              <w:t>Holyoke, MA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Carson City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2"/>
              </w:rPr>
              <w:t>Carson City,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Las Vegas Facility 1</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Las Vegas Facility 2</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Paterson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8"/>
              </w:rPr>
              <w:t>Paterson, NJ</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Schenectady Facility</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8"/>
              </w:rPr>
              <w:t>Glenville, NY</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30"/>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Toledo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Toledo, OH</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9"/>
                <w:szCs w:val="19"/>
                <w:color w:val="auto"/>
              </w:rPr>
            </w:pPr>
          </w:p>
        </w:tc>
      </w:tr>
      <w:tr>
        <w:trPr>
          <w:trHeight w:val="230"/>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7"/>
              </w:rPr>
              <w:t>Danville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3"/>
              </w:rPr>
              <w:t>Danville,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20"/>
                <w:szCs w:val="20"/>
                <w:color w:val="auto"/>
              </w:rPr>
            </w:pPr>
          </w:p>
        </w:tc>
      </w:tr>
      <w:tr>
        <w:trPr>
          <w:trHeight w:val="405"/>
        </w:trPr>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center"/>
              <w:ind w:right="1710"/>
              <w:spacing w:after="0"/>
              <w:rPr>
                <w:sz w:val="20"/>
                <w:szCs w:val="20"/>
                <w:color w:val="auto"/>
              </w:rPr>
            </w:pPr>
            <w:r>
              <w:rPr>
                <w:rFonts w:ascii="Arial" w:cs="Arial" w:eastAsia="Arial" w:hAnsi="Arial"/>
                <w:sz w:val="14"/>
                <w:szCs w:val="14"/>
                <w:b w:val="1"/>
                <w:bCs w:val="1"/>
                <w:color w:val="auto"/>
                <w:w w:val="93"/>
              </w:rPr>
              <w:t>Retail Properties</w:t>
            </w: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2"/>
        </w:trPr>
        <w:tc>
          <w:tcPr>
            <w:tcW w:w="176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Pr>
          <w:p>
            <w:pPr>
              <w:spacing w:after="0"/>
              <w:rPr>
                <w:sz w:val="12"/>
                <w:szCs w:val="12"/>
                <w:color w:val="auto"/>
              </w:rPr>
            </w:pPr>
          </w:p>
        </w:tc>
      </w:tr>
      <w:tr>
        <w:trPr>
          <w:trHeight w:val="195"/>
        </w:trPr>
        <w:tc>
          <w:tcPr>
            <w:tcW w:w="1760" w:type="dxa"/>
            <w:vAlign w:val="bottom"/>
          </w:tcPr>
          <w:p>
            <w:pPr>
              <w:ind w:left="860"/>
              <w:spacing w:after="0" w:line="195" w:lineRule="exact"/>
              <w:rPr>
                <w:sz w:val="20"/>
                <w:szCs w:val="20"/>
                <w:color w:val="auto"/>
              </w:rPr>
            </w:pPr>
            <w:r>
              <w:rPr>
                <w:rFonts w:ascii="Arial" w:cs="Arial" w:eastAsia="Arial" w:hAnsi="Arial"/>
                <w:sz w:val="18"/>
                <w:szCs w:val="18"/>
                <w:color w:val="auto"/>
              </w:rPr>
              <w:t>Bluepoint</w:t>
            </w:r>
          </w:p>
        </w:tc>
        <w:tc>
          <w:tcPr>
            <w:tcW w:w="2120" w:type="dxa"/>
            <w:vAlign w:val="bottom"/>
            <w:gridSpan w:val="2"/>
          </w:tcPr>
          <w:p>
            <w:pPr>
              <w:jc w:val="center"/>
              <w:ind w:right="830"/>
              <w:spacing w:after="0" w:line="195" w:lineRule="exact"/>
              <w:rPr>
                <w:sz w:val="20"/>
                <w:szCs w:val="20"/>
                <w:color w:val="auto"/>
              </w:rPr>
            </w:pPr>
            <w:r>
              <w:rPr>
                <w:rFonts w:ascii="Arial" w:cs="Arial" w:eastAsia="Arial" w:hAnsi="Arial"/>
                <w:sz w:val="18"/>
                <w:szCs w:val="18"/>
                <w:color w:val="auto"/>
                <w:w w:val="81"/>
              </w:rPr>
              <w:t>Wellness Branford</w:t>
            </w:r>
          </w:p>
        </w:tc>
        <w:tc>
          <w:tcPr>
            <w:tcW w:w="2240" w:type="dxa"/>
            <w:vAlign w:val="bottom"/>
            <w:gridSpan w:val="2"/>
          </w:tcPr>
          <w:p>
            <w:pPr>
              <w:ind w:left="1480"/>
              <w:spacing w:after="0" w:line="195" w:lineRule="exact"/>
              <w:rPr>
                <w:sz w:val="20"/>
                <w:szCs w:val="20"/>
                <w:color w:val="auto"/>
              </w:rPr>
            </w:pPr>
            <w:r>
              <w:rPr>
                <w:rFonts w:ascii="Arial" w:cs="Arial" w:eastAsia="Arial" w:hAnsi="Arial"/>
                <w:sz w:val="18"/>
                <w:szCs w:val="18"/>
                <w:color w:val="auto"/>
                <w:w w:val="99"/>
              </w:rPr>
              <w:t>Branford,</w:t>
            </w:r>
          </w:p>
        </w:tc>
        <w:tc>
          <w:tcPr>
            <w:tcW w:w="2800" w:type="dxa"/>
            <w:vAlign w:val="bottom"/>
          </w:tcPr>
          <w:p>
            <w:pPr>
              <w:spacing w:after="0" w:line="195" w:lineRule="exact"/>
              <w:rPr>
                <w:sz w:val="20"/>
                <w:szCs w:val="20"/>
                <w:color w:val="auto"/>
              </w:rPr>
            </w:pPr>
            <w:r>
              <w:rPr>
                <w:rFonts w:ascii="Arial" w:cs="Arial" w:eastAsia="Arial" w:hAnsi="Arial"/>
                <w:sz w:val="18"/>
                <w:szCs w:val="18"/>
                <w:color w:val="auto"/>
              </w:rPr>
              <w:t>CT</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6"/>
                <w:szCs w:val="16"/>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Bluepoint Wellness Westport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Westport, CT</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Bonita Springs</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Bonita Springs,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Deerfield Beach</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3"/>
              </w:rPr>
              <w:t>Deerfield Beach,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Rise Hallandale Beach</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Hallandale Beach,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Oviedo</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Oviedo,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Rise Pinellas Park</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Pinellas Park,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9"/>
              </w:rPr>
              <w:t>Rise West Palm Beach</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West Palm Beach,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8"/>
              </w:rPr>
              <w:t>Rise Canton</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3"/>
              </w:rPr>
              <w:t>Canton,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5"/>
              </w:rPr>
              <w:t>The Clinic Effingham</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8"/>
              </w:rPr>
              <w:t>Effingham,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3C Joliet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Joliet,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Joliet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Joliet,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Mundelein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6"/>
              </w:rPr>
              <w:t>Mundelein, IL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3C Naperville</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7"/>
              </w:rPr>
              <w:t>Naperville,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Rise Quincy</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6"/>
              </w:rPr>
              <w:t>Quincy,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7"/>
              </w:rPr>
              <w:t>Rise Bethesda</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Bethesda, MD</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Rise Joppa</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Joppa, MD</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Rise Silver Spring</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4"/>
              </w:rPr>
              <w:t>Silver Spring, MD</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Rise Amherst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6"/>
              </w:rPr>
              <w:t>Amherst, MA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Rise Paterson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8"/>
              </w:rPr>
              <w:t>Paterson, NJ</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Carson City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2"/>
              </w:rPr>
              <w:t>Carson City,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Essence Henderson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Henderson,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8"/>
              </w:rPr>
              <w:t>Essence The Strip</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Essence Tropicana West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8"/>
              </w:rPr>
              <w:t>Rise Spanish Springs</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Spanish Springs,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5"/>
              </w:rPr>
              <w:t>Fp WELLNESS Halfmoon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6"/>
              </w:rPr>
              <w:t>Clifton Park, NY</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30"/>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3"/>
              </w:rPr>
              <w:t>Fp WELLNESS Manhattan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New York, NY</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20"/>
                <w:szCs w:val="20"/>
                <w:color w:val="auto"/>
              </w:rPr>
            </w:pPr>
          </w:p>
        </w:tc>
      </w:tr>
      <w:tr>
        <w:trPr>
          <w:trHeight w:val="365"/>
        </w:trPr>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gridSpan w:val="2"/>
          </w:tcPr>
          <w:p>
            <w:pPr>
              <w:jc w:val="center"/>
              <w:ind w:left="891"/>
              <w:spacing w:after="0"/>
              <w:rPr>
                <w:sz w:val="20"/>
                <w:szCs w:val="20"/>
                <w:color w:val="auto"/>
              </w:rPr>
            </w:pPr>
            <w:r>
              <w:rPr>
                <w:rFonts w:ascii="Arial" w:cs="Arial" w:eastAsia="Arial" w:hAnsi="Arial"/>
                <w:sz w:val="18"/>
                <w:szCs w:val="18"/>
                <w:color w:val="auto"/>
                <w:w w:val="89"/>
              </w:rPr>
              <w:t>68</w:t>
            </w:r>
          </w:p>
        </w:tc>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Retail Properties</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42"/>
        </w:trPr>
        <w:tc>
          <w:tcPr>
            <w:tcW w:w="17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Borders>
              <w:top w:val="single" w:sz="8" w:color="auto"/>
            </w:tcBorders>
          </w:tcPr>
          <w:p>
            <w:pPr>
              <w:spacing w:after="0"/>
              <w:rPr>
                <w:sz w:val="12"/>
                <w:szCs w:val="12"/>
                <w:color w:val="auto"/>
              </w:rPr>
            </w:pPr>
          </w:p>
        </w:tc>
      </w:tr>
      <w:tr>
        <w:trPr>
          <w:trHeight w:val="195"/>
        </w:trPr>
        <w:tc>
          <w:tcPr>
            <w:tcW w:w="2080" w:type="dxa"/>
            <w:vAlign w:val="bottom"/>
            <w:gridSpan w:val="2"/>
          </w:tcPr>
          <w:p>
            <w:pPr>
              <w:ind w:left="940"/>
              <w:spacing w:after="0" w:line="195" w:lineRule="exact"/>
              <w:rPr>
                <w:sz w:val="20"/>
                <w:szCs w:val="20"/>
                <w:color w:val="auto"/>
              </w:rPr>
            </w:pPr>
            <w:r>
              <w:rPr>
                <w:rFonts w:ascii="Arial" w:cs="Arial" w:eastAsia="Arial" w:hAnsi="Arial"/>
                <w:sz w:val="18"/>
                <w:szCs w:val="18"/>
                <w:color w:val="auto"/>
                <w:w w:val="90"/>
              </w:rPr>
              <w:t>Fp WELLNESS</w:t>
            </w:r>
          </w:p>
        </w:tc>
        <w:tc>
          <w:tcPr>
            <w:tcW w:w="1920" w:type="dxa"/>
            <w:vAlign w:val="bottom"/>
          </w:tcPr>
          <w:p>
            <w:pPr>
              <w:ind w:left="80"/>
              <w:spacing w:after="0" w:line="195" w:lineRule="exact"/>
              <w:rPr>
                <w:sz w:val="20"/>
                <w:szCs w:val="20"/>
                <w:color w:val="auto"/>
              </w:rPr>
            </w:pPr>
            <w:r>
              <w:rPr>
                <w:rFonts w:ascii="Arial" w:cs="Arial" w:eastAsia="Arial" w:hAnsi="Arial"/>
                <w:sz w:val="18"/>
                <w:szCs w:val="18"/>
                <w:color w:val="auto"/>
              </w:rPr>
              <w:t>Rochester</w:t>
            </w:r>
          </w:p>
        </w:tc>
        <w:tc>
          <w:tcPr>
            <w:tcW w:w="4920" w:type="dxa"/>
            <w:vAlign w:val="bottom"/>
            <w:gridSpan w:val="3"/>
          </w:tcPr>
          <w:p>
            <w:pPr>
              <w:jc w:val="center"/>
              <w:ind w:right="1260"/>
              <w:spacing w:after="0" w:line="195" w:lineRule="exact"/>
              <w:rPr>
                <w:sz w:val="20"/>
                <w:szCs w:val="20"/>
                <w:color w:val="auto"/>
              </w:rPr>
            </w:pPr>
            <w:r>
              <w:rPr>
                <w:rFonts w:ascii="Arial" w:cs="Arial" w:eastAsia="Arial" w:hAnsi="Arial"/>
                <w:sz w:val="18"/>
                <w:szCs w:val="18"/>
                <w:color w:val="auto"/>
                <w:w w:val="90"/>
              </w:rPr>
              <w:t>Rochester, NY</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6"/>
                <w:szCs w:val="16"/>
                <w:color w:val="auto"/>
              </w:rPr>
            </w:pPr>
          </w:p>
        </w:tc>
      </w:tr>
      <w:tr>
        <w:trPr>
          <w:trHeight w:val="216"/>
        </w:trPr>
        <w:tc>
          <w:tcPr>
            <w:tcW w:w="4000" w:type="dxa"/>
            <w:vAlign w:val="bottom"/>
            <w:gridSpan w:val="3"/>
          </w:tcPr>
          <w:p>
            <w:pPr>
              <w:jc w:val="center"/>
              <w:ind w:right="90"/>
              <w:spacing w:after="0"/>
              <w:rPr>
                <w:sz w:val="20"/>
                <w:szCs w:val="20"/>
                <w:color w:val="auto"/>
              </w:rPr>
            </w:pPr>
            <w:r>
              <w:rPr>
                <w:rFonts w:ascii="Arial" w:cs="Arial" w:eastAsia="Arial" w:hAnsi="Arial"/>
                <w:sz w:val="18"/>
                <w:szCs w:val="18"/>
                <w:color w:val="auto"/>
                <w:w w:val="90"/>
              </w:rPr>
              <w:t>Rise Cleveland</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Cleveland, OH</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Lakewood</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Lakewood, OH</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Rise Lorain</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6"/>
              </w:rPr>
              <w:t>Lorain, OH</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90"/>
              <w:spacing w:after="0"/>
              <w:rPr>
                <w:sz w:val="20"/>
                <w:szCs w:val="20"/>
                <w:color w:val="auto"/>
              </w:rPr>
            </w:pPr>
            <w:r>
              <w:rPr>
                <w:rFonts w:ascii="Arial" w:cs="Arial" w:eastAsia="Arial" w:hAnsi="Arial"/>
                <w:sz w:val="18"/>
                <w:szCs w:val="18"/>
                <w:color w:val="auto"/>
                <w:w w:val="89"/>
              </w:rPr>
              <w:t>Rise Toledo</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Toledo, OH</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Rise Carlisle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3"/>
              </w:rPr>
              <w:t>Carlisle,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90"/>
              <w:spacing w:after="0"/>
              <w:rPr>
                <w:sz w:val="20"/>
                <w:szCs w:val="20"/>
                <w:color w:val="auto"/>
              </w:rPr>
            </w:pPr>
            <w:r>
              <w:rPr>
                <w:rFonts w:ascii="Arial" w:cs="Arial" w:eastAsia="Arial" w:hAnsi="Arial"/>
                <w:sz w:val="18"/>
                <w:szCs w:val="18"/>
                <w:color w:val="auto"/>
                <w:w w:val="90"/>
              </w:rPr>
              <w:t>Rise Erie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Erie, PA</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Hermitage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Hermitage,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Rise King of Prussia</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King of Prussia,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Latrobe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Latrobe,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Mechanicsburg</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Mechanicsburg,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New Castle</w:t>
            </w:r>
          </w:p>
        </w:tc>
        <w:tc>
          <w:tcPr>
            <w:tcW w:w="4920" w:type="dxa"/>
            <w:vAlign w:val="bottom"/>
            <w:gridSpan w:val="3"/>
          </w:tcPr>
          <w:p>
            <w:pPr>
              <w:jc w:val="center"/>
              <w:ind w:right="1260"/>
              <w:spacing w:after="0"/>
              <w:rPr>
                <w:sz w:val="20"/>
                <w:szCs w:val="20"/>
                <w:color w:val="auto"/>
              </w:rPr>
            </w:pPr>
            <w:r>
              <w:rPr>
                <w:rFonts w:ascii="Arial" w:cs="Arial" w:eastAsia="Arial" w:hAnsi="Arial"/>
                <w:sz w:val="18"/>
                <w:szCs w:val="18"/>
                <w:color w:val="auto"/>
                <w:w w:val="90"/>
              </w:rPr>
              <w:t>New Castle,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89"/>
              </w:rPr>
              <w:t>Rise Steelton</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87"/>
              </w:rPr>
              <w:t>Steelton,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30"/>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Rise York</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York,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20"/>
                <w:szCs w:val="20"/>
                <w:color w:val="auto"/>
              </w:rPr>
            </w:pPr>
          </w:p>
        </w:tc>
      </w:tr>
    </w:tbl>
    <w:p>
      <w:pPr>
        <w:spacing w:after="0" w:line="202"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i w:val="1"/>
          <w:iCs w:val="1"/>
          <w:color w:val="auto"/>
        </w:rPr>
        <w:t xml:space="preserve">Properties Subject to an Encumbrance. </w:t>
      </w:r>
      <w:r>
        <w:rPr>
          <w:rFonts w:ascii="Arial" w:cs="Arial" w:eastAsia="Arial" w:hAnsi="Arial"/>
          <w:sz w:val="16"/>
          <w:szCs w:val="16"/>
          <w:color w:val="auto"/>
        </w:rPr>
        <w:t>There are mortgages on three processing properties owned by the Corporation. Pursuant to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the Corporation collateralized the facilities in (i) Rock Island, Illinois, (ii) Oglesby, Illinois and (iii) Homestead, Florida.</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following table sets forth the expected beneficial ownership of the Corporation’s securities as of the Effective Date for (i) each member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(ii) each named executive officer (as defined below), (iii) each person known to the Corporation and expected to be the beneficial owner of more than 5% of the Corporation’s securities and (iv) the members of the Board and the named executive officers of the Corporation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60 days. Information with respect to beneficial owners of more than 5% of the Corporation’s securities is based on completed questionnaires and related information provided by such beneficial owners as of February 18, 2020. Except as indicated, all shares of the Corporation’s securities will be owned directly, and the person or entity listed as the beneficial owner has sole voting and investment power. The address for each director and executive officer is c/o Green Thumb Industries Inc., 325 West Huron Street, Suite 412, Chicago, Illinois 60654.</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689"/>
              <w:spacing w:after="0"/>
              <w:rPr>
                <w:sz w:val="20"/>
                <w:szCs w:val="20"/>
                <w:color w:val="auto"/>
              </w:rPr>
            </w:pPr>
            <w:r>
              <w:rPr>
                <w:rFonts w:ascii="Arial" w:cs="Arial" w:eastAsia="Arial" w:hAnsi="Arial"/>
                <w:sz w:val="14"/>
                <w:szCs w:val="14"/>
                <w:b w:val="1"/>
                <w:bCs w:val="1"/>
                <w:color w:val="auto"/>
              </w:rPr>
              <w:t>Subordinate</w:t>
            </w:r>
          </w:p>
        </w:tc>
        <w:tc>
          <w:tcPr>
            <w:tcW w:w="120" w:type="dxa"/>
            <w:vAlign w:val="bottom"/>
          </w:tcPr>
          <w:p>
            <w:pPr>
              <w:spacing w:after="0"/>
              <w:rPr>
                <w:sz w:val="14"/>
                <w:szCs w:val="14"/>
                <w:color w:val="auto"/>
              </w:rPr>
            </w:pPr>
          </w:p>
        </w:tc>
        <w:tc>
          <w:tcPr>
            <w:tcW w:w="1700" w:type="dxa"/>
            <w:vAlign w:val="bottom"/>
            <w:gridSpan w:val="4"/>
          </w:tcPr>
          <w:p>
            <w:pPr>
              <w:ind w:left="460"/>
              <w:spacing w:after="0"/>
              <w:rPr>
                <w:sz w:val="20"/>
                <w:szCs w:val="20"/>
                <w:color w:val="auto"/>
              </w:rPr>
            </w:pPr>
            <w:r>
              <w:rPr>
                <w:rFonts w:ascii="Arial" w:cs="Arial" w:eastAsia="Arial" w:hAnsi="Arial"/>
                <w:sz w:val="14"/>
                <w:szCs w:val="14"/>
                <w:b w:val="1"/>
                <w:bCs w:val="1"/>
                <w:color w:val="auto"/>
              </w:rPr>
              <w:t>Multiple</w:t>
            </w:r>
          </w:p>
        </w:tc>
        <w:tc>
          <w:tcPr>
            <w:tcW w:w="100" w:type="dxa"/>
            <w:vAlign w:val="bottom"/>
          </w:tcPr>
          <w:p>
            <w:pPr>
              <w:spacing w:after="0"/>
              <w:rPr>
                <w:sz w:val="14"/>
                <w:szCs w:val="14"/>
                <w:color w:val="auto"/>
              </w:rPr>
            </w:pPr>
          </w:p>
        </w:tc>
        <w:tc>
          <w:tcPr>
            <w:tcW w:w="940" w:type="dxa"/>
            <w:vAlign w:val="bottom"/>
            <w:gridSpan w:val="2"/>
          </w:tcPr>
          <w:p>
            <w:pPr>
              <w:ind w:left="480"/>
              <w:spacing w:after="0"/>
              <w:rPr>
                <w:sz w:val="20"/>
                <w:szCs w:val="20"/>
                <w:color w:val="auto"/>
              </w:rPr>
            </w:pPr>
            <w:r>
              <w:rPr>
                <w:rFonts w:ascii="Arial" w:cs="Arial" w:eastAsia="Arial" w:hAnsi="Arial"/>
                <w:sz w:val="14"/>
                <w:szCs w:val="14"/>
                <w:b w:val="1"/>
                <w:bCs w:val="1"/>
                <w:color w:val="auto"/>
              </w:rPr>
              <w:t>Super</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w w:val="91"/>
              </w:rPr>
              <w:t>Total</w:t>
            </w:r>
            <w:r>
              <w:rPr>
                <w:rFonts w:ascii="Arial" w:cs="Arial" w:eastAsia="Arial" w:hAnsi="Arial"/>
                <w:sz w:val="12"/>
                <w:szCs w:val="12"/>
                <w:b w:val="1"/>
                <w:bCs w:val="1"/>
                <w:color w:val="auto"/>
                <w:w w:val="91"/>
              </w:rPr>
              <w:t>(1)</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restart"/>
          </w:tcPr>
          <w:p>
            <w:pPr>
              <w:jc w:val="center"/>
              <w:ind w:right="89"/>
              <w:spacing w:after="0"/>
              <w:rPr>
                <w:sz w:val="20"/>
                <w:szCs w:val="20"/>
                <w:color w:val="auto"/>
              </w:rPr>
            </w:pPr>
            <w:r>
              <w:rPr>
                <w:rFonts w:ascii="Arial" w:cs="Arial" w:eastAsia="Arial" w:hAnsi="Arial"/>
                <w:sz w:val="14"/>
                <w:szCs w:val="14"/>
                <w:b w:val="1"/>
                <w:bCs w:val="1"/>
                <w:color w:val="auto"/>
                <w:w w:val="92"/>
              </w:rPr>
              <w:t>Voting</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Voting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Voting 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Voting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Total</w:t>
            </w:r>
          </w:p>
        </w:tc>
        <w:tc>
          <w:tcPr>
            <w:tcW w:w="4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700" w:type="dxa"/>
            <w:vAlign w:val="bottom"/>
            <w:gridSpan w:val="2"/>
            <w:vMerge w:val="restart"/>
          </w:tcPr>
          <w:p>
            <w:pPr>
              <w:jc w:val="center"/>
              <w:ind w:right="229"/>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740" w:type="dxa"/>
            <w:vAlign w:val="bottom"/>
            <w:gridSpan w:val="2"/>
            <w:vMerge w:val="restart"/>
          </w:tcPr>
          <w:p>
            <w:pPr>
              <w:jc w:val="center"/>
              <w:ind w:right="189"/>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Position and</w:t>
            </w:r>
          </w:p>
        </w:tc>
        <w:tc>
          <w:tcPr>
            <w:tcW w:w="1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1000" w:type="dxa"/>
            <w:vAlign w:val="bottom"/>
            <w:gridSpan w:val="2"/>
          </w:tcPr>
          <w:p>
            <w:pPr>
              <w:jc w:val="center"/>
              <w:ind w:right="229"/>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780" w:type="dxa"/>
            <w:vAlign w:val="bottom"/>
            <w:gridSpan w:val="2"/>
          </w:tcPr>
          <w:p>
            <w:pPr>
              <w:jc w:val="center"/>
              <w:ind w:right="229"/>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gridSpan w:val="2"/>
          </w:tcPr>
          <w:p>
            <w:pPr>
              <w:jc w:val="center"/>
              <w:ind w:right="229"/>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Capital</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0" w:type="dxa"/>
            <w:vAlign w:val="bottom"/>
            <w:gridSpan w:val="3"/>
          </w:tcPr>
          <w:p>
            <w:pPr>
              <w:jc w:val="center"/>
              <w:ind w:right="29"/>
              <w:spacing w:after="0" w:line="145" w:lineRule="exact"/>
              <w:rPr>
                <w:sz w:val="20"/>
                <w:szCs w:val="20"/>
                <w:color w:val="auto"/>
              </w:rPr>
            </w:pPr>
            <w:r>
              <w:rPr>
                <w:rFonts w:ascii="Arial" w:cs="Arial" w:eastAsia="Arial" w:hAnsi="Arial"/>
                <w:sz w:val="14"/>
                <w:szCs w:val="14"/>
                <w:b w:val="1"/>
                <w:bCs w:val="1"/>
                <w:color w:val="auto"/>
                <w:w w:val="92"/>
              </w:rPr>
              <w:t>Subordinate</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gridSpan w:val="3"/>
          </w:tcPr>
          <w:p>
            <w:pPr>
              <w:jc w:val="center"/>
              <w:ind w:right="29"/>
              <w:spacing w:after="0" w:line="145" w:lineRule="exact"/>
              <w:rPr>
                <w:sz w:val="20"/>
                <w:szCs w:val="20"/>
                <w:color w:val="auto"/>
              </w:rPr>
            </w:pPr>
            <w:r>
              <w:rPr>
                <w:rFonts w:ascii="Arial" w:cs="Arial" w:eastAsia="Arial" w:hAnsi="Arial"/>
                <w:sz w:val="14"/>
                <w:szCs w:val="14"/>
                <w:b w:val="1"/>
                <w:bCs w:val="1"/>
                <w:color w:val="auto"/>
              </w:rPr>
              <w:t>Multiple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229"/>
              <w:spacing w:after="0" w:line="145" w:lineRule="exact"/>
              <w:rPr>
                <w:sz w:val="20"/>
                <w:szCs w:val="20"/>
                <w:color w:val="auto"/>
              </w:rPr>
            </w:pPr>
            <w:r>
              <w:rPr>
                <w:rFonts w:ascii="Arial" w:cs="Arial" w:eastAsia="Arial" w:hAnsi="Arial"/>
                <w:sz w:val="14"/>
                <w:szCs w:val="14"/>
                <w:b w:val="1"/>
                <w:bCs w:val="1"/>
                <w:color w:val="auto"/>
                <w:w w:val="90"/>
              </w:rPr>
              <w:t>Super</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tcPr>
          <w:p>
            <w:pPr>
              <w:jc w:val="center"/>
              <w:ind w:right="229"/>
              <w:spacing w:after="0" w:line="145"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740" w:type="dxa"/>
            <w:vAlign w:val="bottom"/>
            <w:gridSpan w:val="2"/>
          </w:tcPr>
          <w:p>
            <w:pPr>
              <w:jc w:val="center"/>
              <w:ind w:right="169"/>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9"/>
        </w:trPr>
        <w:tc>
          <w:tcPr>
            <w:tcW w:w="2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Address of</w:t>
            </w:r>
          </w:p>
        </w:tc>
        <w:tc>
          <w:tcPr>
            <w:tcW w:w="880" w:type="dxa"/>
            <w:vAlign w:val="bottom"/>
            <w:gridSpan w:val="2"/>
          </w:tcPr>
          <w:p>
            <w:pPr>
              <w:jc w:val="center"/>
              <w:ind w:left="8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0" w:type="dxa"/>
            <w:vAlign w:val="bottom"/>
          </w:tcPr>
          <w:p>
            <w:pPr>
              <w:spacing w:after="0"/>
              <w:rPr>
                <w:sz w:val="12"/>
                <w:szCs w:val="12"/>
                <w:color w:val="auto"/>
              </w:rPr>
            </w:pPr>
          </w:p>
        </w:tc>
        <w:tc>
          <w:tcPr>
            <w:tcW w:w="1000" w:type="dxa"/>
            <w:vAlign w:val="bottom"/>
            <w:gridSpan w:val="2"/>
          </w:tcPr>
          <w:p>
            <w:pPr>
              <w:jc w:val="center"/>
              <w:ind w:right="229"/>
              <w:spacing w:after="0" w:line="149" w:lineRule="exact"/>
              <w:rPr>
                <w:sz w:val="20"/>
                <w:szCs w:val="20"/>
                <w:color w:val="auto"/>
              </w:rPr>
            </w:pPr>
            <w:r>
              <w:rPr>
                <w:rFonts w:ascii="Arial" w:cs="Arial" w:eastAsia="Arial" w:hAnsi="Arial"/>
                <w:sz w:val="14"/>
                <w:szCs w:val="14"/>
                <w:b w:val="1"/>
                <w:bCs w:val="1"/>
                <w:color w:val="auto"/>
                <w:w w:val="91"/>
              </w:rPr>
              <w:t>Voting</w:t>
            </w:r>
          </w:p>
        </w:tc>
        <w:tc>
          <w:tcPr>
            <w:tcW w:w="840" w:type="dxa"/>
            <w:vAlign w:val="bottom"/>
            <w:gridSpan w:val="2"/>
          </w:tcPr>
          <w:p>
            <w:pPr>
              <w:jc w:val="center"/>
              <w:ind w:left="4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0" w:type="dxa"/>
            <w:vAlign w:val="bottom"/>
          </w:tcPr>
          <w:p>
            <w:pPr>
              <w:spacing w:after="0"/>
              <w:rPr>
                <w:sz w:val="12"/>
                <w:szCs w:val="12"/>
                <w:color w:val="auto"/>
              </w:rPr>
            </w:pPr>
          </w:p>
        </w:tc>
        <w:tc>
          <w:tcPr>
            <w:tcW w:w="780" w:type="dxa"/>
            <w:vAlign w:val="bottom"/>
            <w:gridSpan w:val="2"/>
          </w:tcPr>
          <w:p>
            <w:pPr>
              <w:jc w:val="center"/>
              <w:ind w:right="229"/>
              <w:spacing w:after="0" w:line="149" w:lineRule="exact"/>
              <w:rPr>
                <w:sz w:val="20"/>
                <w:szCs w:val="20"/>
                <w:color w:val="auto"/>
              </w:rPr>
            </w:pPr>
            <w:r>
              <w:rPr>
                <w:rFonts w:ascii="Arial" w:cs="Arial" w:eastAsia="Arial" w:hAnsi="Arial"/>
                <w:sz w:val="14"/>
                <w:szCs w:val="14"/>
                <w:b w:val="1"/>
                <w:bCs w:val="1"/>
                <w:color w:val="auto"/>
                <w:w w:val="96"/>
              </w:rPr>
              <w:t>Voting</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640" w:type="dxa"/>
            <w:vAlign w:val="bottom"/>
            <w:gridSpan w:val="2"/>
          </w:tcPr>
          <w:p>
            <w:pPr>
              <w:jc w:val="center"/>
              <w:ind w:right="229"/>
              <w:spacing w:after="0" w:line="149" w:lineRule="exact"/>
              <w:rPr>
                <w:sz w:val="20"/>
                <w:szCs w:val="20"/>
                <w:color w:val="auto"/>
              </w:rPr>
            </w:pPr>
            <w:r>
              <w:rPr>
                <w:rFonts w:ascii="Arial" w:cs="Arial" w:eastAsia="Arial" w:hAnsi="Arial"/>
                <w:sz w:val="14"/>
                <w:szCs w:val="14"/>
                <w:b w:val="1"/>
                <w:bCs w:val="1"/>
                <w:color w:val="auto"/>
                <w:w w:val="91"/>
              </w:rPr>
              <w:t>Voting</w:t>
            </w: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00" w:type="dxa"/>
            <w:vAlign w:val="bottom"/>
            <w:gridSpan w:val="2"/>
          </w:tcPr>
          <w:p>
            <w:pPr>
              <w:jc w:val="center"/>
              <w:ind w:right="229"/>
              <w:spacing w:after="0" w:line="149"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740" w:type="dxa"/>
            <w:vAlign w:val="bottom"/>
            <w:gridSpan w:val="2"/>
          </w:tcPr>
          <w:p>
            <w:pPr>
              <w:jc w:val="center"/>
              <w:ind w:right="189"/>
              <w:spacing w:after="0" w:line="149"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62"/>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0" w:type="dxa"/>
            <w:vAlign w:val="bottom"/>
          </w:tcPr>
          <w:p>
            <w:pPr>
              <w:spacing w:after="0"/>
              <w:rPr>
                <w:sz w:val="14"/>
                <w:szCs w:val="14"/>
                <w:color w:val="auto"/>
              </w:rPr>
            </w:pPr>
          </w:p>
        </w:tc>
        <w:tc>
          <w:tcPr>
            <w:tcW w:w="1000" w:type="dxa"/>
            <w:vAlign w:val="bottom"/>
            <w:gridSpan w:val="2"/>
          </w:tcPr>
          <w:p>
            <w:pPr>
              <w:jc w:val="center"/>
              <w:ind w:right="209"/>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0" w:type="dxa"/>
            <w:vAlign w:val="bottom"/>
          </w:tcPr>
          <w:p>
            <w:pPr>
              <w:spacing w:after="0"/>
              <w:rPr>
                <w:sz w:val="14"/>
                <w:szCs w:val="14"/>
                <w:color w:val="auto"/>
              </w:rPr>
            </w:pPr>
          </w:p>
        </w:tc>
        <w:tc>
          <w:tcPr>
            <w:tcW w:w="780" w:type="dxa"/>
            <w:vAlign w:val="bottom"/>
            <w:gridSpan w:val="2"/>
          </w:tcPr>
          <w:p>
            <w:pPr>
              <w:jc w:val="center"/>
              <w:ind w:right="229"/>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640" w:type="dxa"/>
            <w:vAlign w:val="bottom"/>
            <w:gridSpan w:val="2"/>
          </w:tcPr>
          <w:p>
            <w:pPr>
              <w:jc w:val="center"/>
              <w:ind w:right="229"/>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700" w:type="dxa"/>
            <w:vAlign w:val="bottom"/>
            <w:gridSpan w:val="2"/>
          </w:tcPr>
          <w:p>
            <w:pPr>
              <w:jc w:val="center"/>
              <w:ind w:right="229"/>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740" w:type="dxa"/>
            <w:vAlign w:val="bottom"/>
            <w:gridSpan w:val="2"/>
          </w:tcPr>
          <w:p>
            <w:pPr>
              <w:jc w:val="center"/>
              <w:ind w:right="189"/>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9"/>
        </w:trPr>
        <w:tc>
          <w:tcPr>
            <w:tcW w:w="20" w:type="dxa"/>
            <w:vAlign w:val="bottom"/>
          </w:tcPr>
          <w:p>
            <w:pPr>
              <w:spacing w:after="0" w:line="20" w:lineRule="exact"/>
              <w:rPr>
                <w:sz w:val="1"/>
                <w:szCs w:val="1"/>
                <w:color w:val="auto"/>
              </w:rPr>
            </w:pPr>
          </w:p>
        </w:tc>
        <w:tc>
          <w:tcPr>
            <w:tcW w:w="2860" w:type="dxa"/>
            <w:vAlign w:val="bottom"/>
            <w:tcBorders>
              <w:bottom w:val="single" w:sz="8" w:color="CCEEFF"/>
            </w:tcBorders>
            <w:gridSpan w:val="2"/>
            <w:shd w:val="clear" w:color="auto" w:fill="000000"/>
          </w:tcPr>
          <w:p>
            <w:pPr>
              <w:spacing w:after="0" w:line="20" w:lineRule="exact"/>
              <w:rPr>
                <w:sz w:val="20"/>
                <w:szCs w:val="20"/>
                <w:color w:val="auto"/>
              </w:rPr>
            </w:pPr>
            <w:r>
              <w:rPr>
                <w:rFonts w:ascii="Arial" w:cs="Arial" w:eastAsia="Arial" w:hAnsi="Arial"/>
                <w:sz w:val="2"/>
                <w:szCs w:val="2"/>
                <w:color w:val="auto"/>
              </w:rPr>
              <w:t>Benjamin Kovler,</w:t>
            </w: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77,618</w:t>
            </w: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78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0.05</w:t>
            </w:r>
          </w:p>
        </w:tc>
        <w:tc>
          <w:tcPr>
            <w:tcW w:w="220" w:type="dxa"/>
            <w:vAlign w:val="bottom"/>
            <w:tcBorders>
              <w:bottom w:val="single" w:sz="8" w:color="CCEEFF"/>
            </w:tcBorders>
            <w:shd w:val="clear" w:color="auto" w:fill="CCEEFF"/>
          </w:tcPr>
          <w:p>
            <w:pPr>
              <w:jc w:val="right"/>
              <w:ind w:right="89"/>
              <w:spacing w:after="0" w:line="20" w:lineRule="exact"/>
              <w:rPr>
                <w:sz w:val="20"/>
                <w:szCs w:val="20"/>
                <w:color w:val="auto"/>
              </w:rPr>
            </w:pPr>
            <w:r>
              <w:rPr>
                <w:rFonts w:ascii="Arial" w:cs="Arial" w:eastAsia="Arial" w:hAnsi="Arial"/>
                <w:sz w:val="2"/>
                <w:szCs w:val="2"/>
                <w:color w:val="auto"/>
              </w:rPr>
              <w:t>%</w:t>
            </w: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140,419</w:t>
            </w: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54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58.87</w:t>
            </w:r>
          </w:p>
        </w:tc>
        <w:tc>
          <w:tcPr>
            <w:tcW w:w="240" w:type="dxa"/>
            <w:vAlign w:val="bottom"/>
            <w:tcBorders>
              <w:bottom w:val="single" w:sz="8" w:color="CCEEFF"/>
            </w:tcBorders>
            <w:shd w:val="clear" w:color="auto" w:fill="CCEEFF"/>
          </w:tcPr>
          <w:p>
            <w:pPr>
              <w:jc w:val="right"/>
              <w:ind w:right="109"/>
              <w:spacing w:after="0" w:line="20" w:lineRule="exact"/>
              <w:rPr>
                <w:sz w:val="20"/>
                <w:szCs w:val="20"/>
                <w:color w:val="auto"/>
              </w:rPr>
            </w:pPr>
            <w:r>
              <w:rPr>
                <w:rFonts w:ascii="Arial" w:cs="Arial" w:eastAsia="Arial" w:hAnsi="Arial"/>
                <w:sz w:val="2"/>
                <w:szCs w:val="2"/>
                <w:color w:val="auto"/>
              </w:rPr>
              <w:t>%</w:t>
            </w: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74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270,655</w:t>
            </w:r>
          </w:p>
        </w:tc>
        <w:tc>
          <w:tcPr>
            <w:tcW w:w="2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69.25</w:t>
            </w:r>
          </w:p>
        </w:tc>
        <w:tc>
          <w:tcPr>
            <w:tcW w:w="220" w:type="dxa"/>
            <w:vAlign w:val="bottom"/>
            <w:tcBorders>
              <w:bottom w:val="single" w:sz="8" w:color="CCEEFF"/>
            </w:tcBorders>
            <w:shd w:val="clear" w:color="auto" w:fill="CCEEFF"/>
          </w:tcPr>
          <w:p>
            <w:pPr>
              <w:jc w:val="right"/>
              <w:ind w:right="89"/>
              <w:spacing w:after="0" w:line="20" w:lineRule="exact"/>
              <w:rPr>
                <w:sz w:val="20"/>
                <w:szCs w:val="20"/>
                <w:color w:val="auto"/>
              </w:rPr>
            </w:pPr>
            <w:r>
              <w:rPr>
                <w:rFonts w:ascii="Arial" w:cs="Arial" w:eastAsia="Arial" w:hAnsi="Arial"/>
                <w:sz w:val="2"/>
                <w:szCs w:val="2"/>
                <w:color w:val="auto"/>
              </w:rPr>
              <w:t>%</w:t>
            </w: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41,185,018</w:t>
            </w: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19.90</w:t>
            </w:r>
          </w:p>
        </w:tc>
        <w:tc>
          <w:tcPr>
            <w:tcW w:w="240" w:type="dxa"/>
            <w:vAlign w:val="bottom"/>
            <w:tcBorders>
              <w:bottom w:val="single" w:sz="8" w:color="CCEEFF"/>
            </w:tcBorders>
            <w:shd w:val="clear" w:color="auto" w:fill="CCEEFF"/>
          </w:tcPr>
          <w:p>
            <w:pPr>
              <w:jc w:val="right"/>
              <w:ind w:right="109"/>
              <w:spacing w:after="0" w:line="20" w:lineRule="exact"/>
              <w:rPr>
                <w:sz w:val="20"/>
                <w:szCs w:val="20"/>
                <w:color w:val="auto"/>
              </w:rPr>
            </w:pPr>
            <w:r>
              <w:rPr>
                <w:rFonts w:ascii="Arial" w:cs="Arial" w:eastAsia="Arial" w:hAnsi="Arial"/>
                <w:sz w:val="2"/>
                <w:szCs w:val="2"/>
                <w:color w:val="auto"/>
              </w:rPr>
              <w:t>%</w:t>
            </w: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560" w:type="dxa"/>
            <w:vAlign w:val="bottom"/>
            <w:tcBorders>
              <w:bottom w:val="single" w:sz="8" w:color="auto"/>
            </w:tcBorders>
            <w:shd w:val="clear" w:color="auto" w:fill="000000"/>
          </w:tcPr>
          <w:p>
            <w:pPr>
              <w:jc w:val="right"/>
              <w:spacing w:after="0" w:line="20" w:lineRule="exact"/>
              <w:rPr>
                <w:sz w:val="20"/>
                <w:szCs w:val="20"/>
                <w:color w:val="auto"/>
              </w:rPr>
            </w:pPr>
            <w:r>
              <w:rPr>
                <w:rFonts w:ascii="Arial" w:cs="Arial" w:eastAsia="Arial" w:hAnsi="Arial"/>
                <w:sz w:val="2"/>
                <w:szCs w:val="2"/>
                <w:color w:val="auto"/>
              </w:rPr>
              <w:t>50.90</w:t>
            </w:r>
          </w:p>
        </w:tc>
        <w:tc>
          <w:tcPr>
            <w:tcW w:w="180" w:type="dxa"/>
            <w:vAlign w:val="bottom"/>
            <w:tcBorders>
              <w:bottom w:val="single" w:sz="8" w:color="CCEEFF"/>
            </w:tcBorders>
            <w:shd w:val="clear" w:color="auto" w:fill="CCEEFF"/>
          </w:tcPr>
          <w:p>
            <w:pPr>
              <w:jc w:val="right"/>
              <w:ind w:right="49"/>
              <w:spacing w:after="0" w:line="20"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860" w:type="dxa"/>
            <w:vAlign w:val="bottom"/>
            <w:gridSpan w:val="2"/>
            <w:shd w:val="clear" w:color="auto" w:fill="CCEEFF"/>
          </w:tcPr>
          <w:p>
            <w:pPr>
              <w:ind w:left="1080"/>
              <w:spacing w:after="0" w:line="123"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5"/>
                <w:szCs w:val="15"/>
                <w:i w:val="1"/>
                <w:iCs w:val="1"/>
                <w:color w:val="auto"/>
              </w:rPr>
              <w:t>Chairman and Chief Executive Officer</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5"/>
                <w:szCs w:val="15"/>
                <w:color w:val="auto"/>
              </w:rPr>
              <w:t>Anthony Georgiadis,</w:t>
            </w:r>
          </w:p>
        </w:tc>
        <w:tc>
          <w:tcPr>
            <w:tcW w:w="88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35,679</w:t>
            </w:r>
          </w:p>
        </w:tc>
        <w:tc>
          <w:tcPr>
            <w:tcW w:w="1200" w:type="dxa"/>
            <w:vAlign w:val="bottom"/>
            <w:gridSpan w:val="3"/>
          </w:tcPr>
          <w:p>
            <w:pPr>
              <w:jc w:val="right"/>
              <w:ind w:right="89"/>
              <w:spacing w:after="0" w:line="149" w:lineRule="exact"/>
              <w:rPr>
                <w:sz w:val="20"/>
                <w:szCs w:val="20"/>
                <w:color w:val="auto"/>
              </w:rPr>
            </w:pPr>
            <w:r>
              <w:rPr>
                <w:rFonts w:ascii="Arial" w:cs="Arial" w:eastAsia="Arial" w:hAnsi="Arial"/>
                <w:sz w:val="15"/>
                <w:szCs w:val="15"/>
                <w:color w:val="auto"/>
              </w:rPr>
              <w:t>0.02%</w:t>
            </w:r>
          </w:p>
        </w:tc>
        <w:tc>
          <w:tcPr>
            <w:tcW w:w="120" w:type="dxa"/>
            <w:vAlign w:val="bottom"/>
          </w:tcPr>
          <w:p>
            <w:pPr>
              <w:spacing w:after="0"/>
              <w:rPr>
                <w:sz w:val="12"/>
                <w:szCs w:val="12"/>
                <w:color w:val="auto"/>
              </w:rPr>
            </w:pPr>
          </w:p>
        </w:tc>
        <w:tc>
          <w:tcPr>
            <w:tcW w:w="720" w:type="dxa"/>
            <w:vAlign w:val="bottom"/>
          </w:tcPr>
          <w:p>
            <w:pPr>
              <w:ind w:left="480"/>
              <w:spacing w:after="0" w:line="14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0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40,608</w:t>
            </w:r>
          </w:p>
        </w:tc>
        <w:tc>
          <w:tcPr>
            <w:tcW w:w="200" w:type="dxa"/>
            <w:vAlign w:val="bottom"/>
          </w:tcPr>
          <w:p>
            <w:pPr>
              <w:spacing w:after="0"/>
              <w:rPr>
                <w:sz w:val="12"/>
                <w:szCs w:val="12"/>
                <w:color w:val="auto"/>
              </w:rPr>
            </w:pPr>
          </w:p>
        </w:tc>
        <w:tc>
          <w:tcPr>
            <w:tcW w:w="640" w:type="dxa"/>
            <w:vAlign w:val="bottom"/>
            <w:gridSpan w:val="2"/>
          </w:tcPr>
          <w:p>
            <w:pPr>
              <w:jc w:val="right"/>
              <w:ind w:right="89"/>
              <w:spacing w:after="0" w:line="149" w:lineRule="exact"/>
              <w:rPr>
                <w:sz w:val="20"/>
                <w:szCs w:val="20"/>
                <w:color w:val="auto"/>
              </w:rPr>
            </w:pPr>
            <w:r>
              <w:rPr>
                <w:rFonts w:ascii="Arial" w:cs="Arial" w:eastAsia="Arial" w:hAnsi="Arial"/>
                <w:sz w:val="15"/>
                <w:szCs w:val="15"/>
                <w:color w:val="auto"/>
              </w:rPr>
              <w:t>10.39%</w:t>
            </w:r>
          </w:p>
        </w:tc>
        <w:tc>
          <w:tcPr>
            <w:tcW w:w="8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4,096,479</w:t>
            </w:r>
          </w:p>
        </w:tc>
        <w:tc>
          <w:tcPr>
            <w:tcW w:w="200" w:type="dxa"/>
            <w:vAlign w:val="bottom"/>
          </w:tcPr>
          <w:p>
            <w:pPr>
              <w:spacing w:after="0"/>
              <w:rPr>
                <w:sz w:val="12"/>
                <w:szCs w:val="12"/>
                <w:color w:val="auto"/>
              </w:rPr>
            </w:pPr>
          </w:p>
        </w:tc>
        <w:tc>
          <w:tcPr>
            <w:tcW w:w="700" w:type="dxa"/>
            <w:vAlign w:val="bottom"/>
            <w:gridSpan w:val="2"/>
          </w:tcPr>
          <w:p>
            <w:pPr>
              <w:jc w:val="right"/>
              <w:ind w:right="109"/>
              <w:spacing w:after="0" w:line="149" w:lineRule="exact"/>
              <w:rPr>
                <w:sz w:val="20"/>
                <w:szCs w:val="20"/>
                <w:color w:val="auto"/>
              </w:rPr>
            </w:pPr>
            <w:r>
              <w:rPr>
                <w:rFonts w:ascii="Arial" w:cs="Arial" w:eastAsia="Arial" w:hAnsi="Arial"/>
                <w:sz w:val="15"/>
                <w:szCs w:val="15"/>
                <w:color w:val="auto"/>
              </w:rPr>
              <w:t>1.98%</w:t>
            </w:r>
          </w:p>
        </w:tc>
        <w:tc>
          <w:tcPr>
            <w:tcW w:w="840" w:type="dxa"/>
            <w:vAlign w:val="bottom"/>
            <w:gridSpan w:val="3"/>
          </w:tcPr>
          <w:p>
            <w:pPr>
              <w:jc w:val="right"/>
              <w:ind w:right="49"/>
              <w:spacing w:after="0" w:line="149" w:lineRule="exact"/>
              <w:rPr>
                <w:sz w:val="20"/>
                <w:szCs w:val="20"/>
                <w:color w:val="auto"/>
              </w:rPr>
            </w:pPr>
            <w:r>
              <w:rPr>
                <w:rFonts w:ascii="Arial" w:cs="Arial" w:eastAsia="Arial" w:hAnsi="Arial"/>
                <w:sz w:val="15"/>
                <w:szCs w:val="15"/>
                <w:color w:val="auto"/>
              </w:rPr>
              <w:t>7.26%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5"/>
                <w:szCs w:val="15"/>
                <w:i w:val="1"/>
                <w:iCs w:val="1"/>
                <w:color w:val="auto"/>
              </w:rPr>
              <w:t>Director and Chief Financial Officer</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Wendy Berger,</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1,776,083</w:t>
            </w:r>
          </w:p>
        </w:tc>
        <w:tc>
          <w:tcPr>
            <w:tcW w:w="1200" w:type="dxa"/>
            <w:vAlign w:val="bottom"/>
            <w:gridSpan w:val="3"/>
            <w:shd w:val="clear" w:color="auto" w:fill="CCEEFF"/>
          </w:tcPr>
          <w:p>
            <w:pPr>
              <w:jc w:val="right"/>
              <w:ind w:right="89"/>
              <w:spacing w:after="0" w:line="149" w:lineRule="exact"/>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line="14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9"/>
              <w:spacing w:after="0" w:line="14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ind w:left="500"/>
              <w:spacing w:after="0" w:line="14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1,776,083</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5"/>
                <w:szCs w:val="15"/>
                <w:color w:val="auto"/>
              </w:rPr>
              <w:t>0.86%</w:t>
            </w:r>
          </w:p>
        </w:tc>
        <w:tc>
          <w:tcPr>
            <w:tcW w:w="840" w:type="dxa"/>
            <w:vAlign w:val="bottom"/>
            <w:gridSpan w:val="3"/>
            <w:shd w:val="clear" w:color="auto" w:fill="CCEEFF"/>
          </w:tcPr>
          <w:p>
            <w:pPr>
              <w:jc w:val="right"/>
              <w:ind w:right="49"/>
              <w:spacing w:after="0" w:line="149" w:lineRule="exact"/>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5"/>
                <w:szCs w:val="15"/>
                <w:i w:val="1"/>
                <w:iCs w:val="1"/>
                <w:color w:val="auto"/>
              </w:rPr>
              <w:t>Director</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5"/>
                <w:szCs w:val="15"/>
                <w:color w:val="auto"/>
              </w:rPr>
              <w:t>Glen Senk,</w:t>
            </w:r>
          </w:p>
        </w:tc>
        <w:tc>
          <w:tcPr>
            <w:tcW w:w="88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214,003</w:t>
            </w:r>
          </w:p>
        </w:tc>
        <w:tc>
          <w:tcPr>
            <w:tcW w:w="1200" w:type="dxa"/>
            <w:vAlign w:val="bottom"/>
            <w:gridSpan w:val="3"/>
          </w:tcPr>
          <w:p>
            <w:pPr>
              <w:jc w:val="right"/>
              <w:ind w:right="89"/>
              <w:spacing w:after="0" w:line="149" w:lineRule="exact"/>
              <w:rPr>
                <w:sz w:val="20"/>
                <w:szCs w:val="20"/>
                <w:color w:val="auto"/>
              </w:rPr>
            </w:pPr>
            <w:r>
              <w:rPr>
                <w:rFonts w:ascii="Arial" w:cs="Arial" w:eastAsia="Arial" w:hAnsi="Arial"/>
                <w:sz w:val="15"/>
                <w:szCs w:val="15"/>
                <w:color w:val="auto"/>
              </w:rPr>
              <w:t>0.15%</w:t>
            </w:r>
          </w:p>
        </w:tc>
        <w:tc>
          <w:tcPr>
            <w:tcW w:w="120" w:type="dxa"/>
            <w:vAlign w:val="bottom"/>
          </w:tcPr>
          <w:p>
            <w:pPr>
              <w:spacing w:after="0"/>
              <w:rPr>
                <w:sz w:val="12"/>
                <w:szCs w:val="12"/>
                <w:color w:val="auto"/>
              </w:rPr>
            </w:pPr>
          </w:p>
        </w:tc>
        <w:tc>
          <w:tcPr>
            <w:tcW w:w="720" w:type="dxa"/>
            <w:vAlign w:val="bottom"/>
          </w:tcPr>
          <w:p>
            <w:pPr>
              <w:ind w:left="480"/>
              <w:spacing w:after="0" w:line="14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09"/>
              <w:spacing w:after="0" w:line="14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940" w:type="dxa"/>
            <w:vAlign w:val="bottom"/>
            <w:gridSpan w:val="2"/>
          </w:tcPr>
          <w:p>
            <w:pPr>
              <w:ind w:left="500"/>
              <w:spacing w:after="0" w:line="149"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8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214,003</w:t>
            </w:r>
          </w:p>
        </w:tc>
        <w:tc>
          <w:tcPr>
            <w:tcW w:w="200" w:type="dxa"/>
            <w:vAlign w:val="bottom"/>
          </w:tcPr>
          <w:p>
            <w:pPr>
              <w:spacing w:after="0"/>
              <w:rPr>
                <w:sz w:val="12"/>
                <w:szCs w:val="12"/>
                <w:color w:val="auto"/>
              </w:rPr>
            </w:pPr>
          </w:p>
        </w:tc>
        <w:tc>
          <w:tcPr>
            <w:tcW w:w="700" w:type="dxa"/>
            <w:vAlign w:val="bottom"/>
            <w:gridSpan w:val="2"/>
          </w:tcPr>
          <w:p>
            <w:pPr>
              <w:jc w:val="right"/>
              <w:ind w:right="109"/>
              <w:spacing w:after="0" w:line="149" w:lineRule="exact"/>
              <w:rPr>
                <w:sz w:val="20"/>
                <w:szCs w:val="20"/>
                <w:color w:val="auto"/>
              </w:rPr>
            </w:pPr>
            <w:r>
              <w:rPr>
                <w:rFonts w:ascii="Arial" w:cs="Arial" w:eastAsia="Arial" w:hAnsi="Arial"/>
                <w:sz w:val="15"/>
                <w:szCs w:val="15"/>
                <w:color w:val="auto"/>
              </w:rPr>
              <w:t>0.10%</w:t>
            </w:r>
          </w:p>
        </w:tc>
        <w:tc>
          <w:tcPr>
            <w:tcW w:w="840" w:type="dxa"/>
            <w:vAlign w:val="bottom"/>
            <w:gridSpan w:val="3"/>
          </w:tcPr>
          <w:p>
            <w:pPr>
              <w:jc w:val="right"/>
              <w:ind w:right="49"/>
              <w:spacing w:after="0" w:line="149" w:lineRule="exact"/>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5"/>
                <w:szCs w:val="15"/>
                <w:i w:val="1"/>
                <w:iCs w:val="1"/>
                <w:color w:val="auto"/>
              </w:rPr>
              <w:t>Director</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Wes Moore,</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75,500</w:t>
            </w:r>
          </w:p>
        </w:tc>
        <w:tc>
          <w:tcPr>
            <w:tcW w:w="1200" w:type="dxa"/>
            <w:vAlign w:val="bottom"/>
            <w:gridSpan w:val="3"/>
            <w:shd w:val="clear" w:color="auto" w:fill="CCEEFF"/>
          </w:tcPr>
          <w:p>
            <w:pPr>
              <w:jc w:val="right"/>
              <w:ind w:right="89"/>
              <w:spacing w:after="0" w:line="149" w:lineRule="exact"/>
              <w:rPr>
                <w:sz w:val="20"/>
                <w:szCs w:val="20"/>
                <w:color w:val="auto"/>
              </w:rPr>
            </w:pPr>
            <w:r>
              <w:rPr>
                <w:rFonts w:ascii="Arial" w:cs="Arial" w:eastAsia="Arial" w:hAnsi="Arial"/>
                <w:sz w:val="15"/>
                <w:szCs w:val="15"/>
                <w:color w:val="auto"/>
              </w:rPr>
              <w:t>0.05%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line="14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9"/>
              <w:spacing w:after="0" w:line="14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ind w:left="500"/>
              <w:spacing w:after="0" w:line="14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75,500</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5"/>
                <w:szCs w:val="15"/>
                <w:color w:val="auto"/>
              </w:rPr>
              <w:t>0.04%</w:t>
            </w:r>
          </w:p>
        </w:tc>
        <w:tc>
          <w:tcPr>
            <w:tcW w:w="840" w:type="dxa"/>
            <w:vAlign w:val="bottom"/>
            <w:gridSpan w:val="3"/>
            <w:shd w:val="clear" w:color="auto" w:fill="CCEEFF"/>
          </w:tcPr>
          <w:p>
            <w:pPr>
              <w:jc w:val="right"/>
              <w:ind w:right="49"/>
              <w:spacing w:after="0" w:line="149" w:lineRule="exact"/>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5"/>
                <w:szCs w:val="15"/>
                <w:i w:val="1"/>
                <w:iCs w:val="1"/>
                <w:color w:val="auto"/>
              </w:rPr>
              <w:t>Director</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5"/>
                <w:szCs w:val="15"/>
                <w:color w:val="auto"/>
              </w:rPr>
              <w:t>William Gruver,</w:t>
            </w:r>
          </w:p>
        </w:tc>
        <w:tc>
          <w:tcPr>
            <w:tcW w:w="88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16,715</w:t>
            </w:r>
          </w:p>
        </w:tc>
        <w:tc>
          <w:tcPr>
            <w:tcW w:w="1200" w:type="dxa"/>
            <w:vAlign w:val="bottom"/>
            <w:gridSpan w:val="3"/>
          </w:tcPr>
          <w:p>
            <w:pPr>
              <w:jc w:val="right"/>
              <w:ind w:right="89"/>
              <w:spacing w:after="0" w:line="149" w:lineRule="exact"/>
              <w:rPr>
                <w:sz w:val="20"/>
                <w:szCs w:val="20"/>
                <w:color w:val="auto"/>
              </w:rPr>
            </w:pPr>
            <w:r>
              <w:rPr>
                <w:rFonts w:ascii="Arial" w:cs="Arial" w:eastAsia="Arial" w:hAnsi="Arial"/>
                <w:sz w:val="15"/>
                <w:szCs w:val="15"/>
                <w:color w:val="auto"/>
              </w:rPr>
              <w:t>0.01%</w:t>
            </w:r>
          </w:p>
        </w:tc>
        <w:tc>
          <w:tcPr>
            <w:tcW w:w="120" w:type="dxa"/>
            <w:vAlign w:val="bottom"/>
          </w:tcPr>
          <w:p>
            <w:pPr>
              <w:spacing w:after="0"/>
              <w:rPr>
                <w:sz w:val="12"/>
                <w:szCs w:val="12"/>
                <w:color w:val="auto"/>
              </w:rPr>
            </w:pPr>
          </w:p>
        </w:tc>
        <w:tc>
          <w:tcPr>
            <w:tcW w:w="720" w:type="dxa"/>
            <w:vAlign w:val="bottom"/>
          </w:tcPr>
          <w:p>
            <w:pPr>
              <w:ind w:left="480"/>
              <w:spacing w:after="0" w:line="14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0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1,380</w:t>
            </w:r>
          </w:p>
        </w:tc>
        <w:tc>
          <w:tcPr>
            <w:tcW w:w="200" w:type="dxa"/>
            <w:vAlign w:val="bottom"/>
          </w:tcPr>
          <w:p>
            <w:pPr>
              <w:spacing w:after="0"/>
              <w:rPr>
                <w:sz w:val="12"/>
                <w:szCs w:val="12"/>
                <w:color w:val="auto"/>
              </w:rPr>
            </w:pPr>
          </w:p>
        </w:tc>
        <w:tc>
          <w:tcPr>
            <w:tcW w:w="640" w:type="dxa"/>
            <w:vAlign w:val="bottom"/>
            <w:gridSpan w:val="2"/>
          </w:tcPr>
          <w:p>
            <w:pPr>
              <w:jc w:val="right"/>
              <w:ind w:right="89"/>
              <w:spacing w:after="0" w:line="149" w:lineRule="exact"/>
              <w:rPr>
                <w:sz w:val="20"/>
                <w:szCs w:val="20"/>
                <w:color w:val="auto"/>
              </w:rPr>
            </w:pPr>
            <w:r>
              <w:rPr>
                <w:rFonts w:ascii="Arial" w:cs="Arial" w:eastAsia="Arial" w:hAnsi="Arial"/>
                <w:sz w:val="15"/>
                <w:szCs w:val="15"/>
                <w:color w:val="auto"/>
              </w:rPr>
              <w:t>0.35%</w:t>
            </w:r>
          </w:p>
        </w:tc>
        <w:tc>
          <w:tcPr>
            <w:tcW w:w="8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154,715</w:t>
            </w:r>
          </w:p>
        </w:tc>
        <w:tc>
          <w:tcPr>
            <w:tcW w:w="200" w:type="dxa"/>
            <w:vAlign w:val="bottom"/>
          </w:tcPr>
          <w:p>
            <w:pPr>
              <w:spacing w:after="0"/>
              <w:rPr>
                <w:sz w:val="12"/>
                <w:szCs w:val="12"/>
                <w:color w:val="auto"/>
              </w:rPr>
            </w:pPr>
          </w:p>
        </w:tc>
        <w:tc>
          <w:tcPr>
            <w:tcW w:w="700" w:type="dxa"/>
            <w:vAlign w:val="bottom"/>
            <w:gridSpan w:val="2"/>
          </w:tcPr>
          <w:p>
            <w:pPr>
              <w:jc w:val="right"/>
              <w:ind w:right="109"/>
              <w:spacing w:after="0" w:line="149" w:lineRule="exact"/>
              <w:rPr>
                <w:sz w:val="20"/>
                <w:szCs w:val="20"/>
                <w:color w:val="auto"/>
              </w:rPr>
            </w:pPr>
            <w:r>
              <w:rPr>
                <w:rFonts w:ascii="Arial" w:cs="Arial" w:eastAsia="Arial" w:hAnsi="Arial"/>
                <w:sz w:val="15"/>
                <w:szCs w:val="15"/>
                <w:color w:val="auto"/>
              </w:rPr>
              <w:t>0.07%</w:t>
            </w:r>
          </w:p>
        </w:tc>
        <w:tc>
          <w:tcPr>
            <w:tcW w:w="840" w:type="dxa"/>
            <w:vAlign w:val="bottom"/>
            <w:gridSpan w:val="3"/>
          </w:tcPr>
          <w:p>
            <w:pPr>
              <w:jc w:val="right"/>
              <w:ind w:right="49"/>
              <w:spacing w:after="0" w:line="149" w:lineRule="exact"/>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5"/>
                <w:szCs w:val="15"/>
                <w:i w:val="1"/>
                <w:iCs w:val="1"/>
                <w:color w:val="auto"/>
              </w:rPr>
              <w:t>Director</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Alejandro Yemenidjian,</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4,113,554</w:t>
            </w:r>
          </w:p>
        </w:tc>
        <w:tc>
          <w:tcPr>
            <w:tcW w:w="1200" w:type="dxa"/>
            <w:vAlign w:val="bottom"/>
            <w:gridSpan w:val="3"/>
            <w:shd w:val="clear" w:color="auto" w:fill="CCEEFF"/>
          </w:tcPr>
          <w:p>
            <w:pPr>
              <w:jc w:val="right"/>
              <w:ind w:right="89"/>
              <w:spacing w:after="0" w:line="149" w:lineRule="exact"/>
              <w:rPr>
                <w:sz w:val="20"/>
                <w:szCs w:val="20"/>
                <w:color w:val="auto"/>
              </w:rPr>
            </w:pPr>
            <w:r>
              <w:rPr>
                <w:rFonts w:ascii="Arial" w:cs="Arial" w:eastAsia="Arial" w:hAnsi="Arial"/>
                <w:sz w:val="15"/>
                <w:szCs w:val="15"/>
                <w:color w:val="auto"/>
              </w:rPr>
              <w:t>2.86%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line="14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9"/>
              <w:spacing w:after="0" w:line="14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ind w:left="500"/>
              <w:spacing w:after="0" w:line="14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28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4,113,554</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5"/>
                <w:szCs w:val="15"/>
                <w:color w:val="auto"/>
              </w:rPr>
              <w:t>1.99%</w:t>
            </w:r>
          </w:p>
        </w:tc>
        <w:tc>
          <w:tcPr>
            <w:tcW w:w="840" w:type="dxa"/>
            <w:vAlign w:val="bottom"/>
            <w:gridSpan w:val="3"/>
            <w:shd w:val="clear" w:color="auto" w:fill="CCEEFF"/>
          </w:tcPr>
          <w:p>
            <w:pPr>
              <w:jc w:val="right"/>
              <w:ind w:right="49"/>
              <w:spacing w:after="0" w:line="149" w:lineRule="exact"/>
              <w:rPr>
                <w:sz w:val="20"/>
                <w:szCs w:val="20"/>
                <w:color w:val="auto"/>
              </w:rPr>
            </w:pPr>
            <w:r>
              <w:rPr>
                <w:rFonts w:ascii="Arial" w:cs="Arial" w:eastAsia="Arial" w:hAnsi="Arial"/>
                <w:sz w:val="15"/>
                <w:szCs w:val="15"/>
                <w:color w:val="auto"/>
              </w:rPr>
              <w:t>0.74%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i w:val="1"/>
                <w:iCs w:val="1"/>
                <w:color w:val="auto"/>
              </w:rPr>
              <w:t>Director and Managing Director, Integral</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5"/>
                <w:szCs w:val="15"/>
                <w:i w:val="1"/>
                <w:iCs w:val="1"/>
                <w:color w:val="auto"/>
              </w:rPr>
              <w:t>Associates</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5"/>
                <w:szCs w:val="15"/>
                <w:color w:val="auto"/>
              </w:rPr>
              <w:t>Jennifer Dooley,</w:t>
            </w:r>
          </w:p>
        </w:tc>
        <w:tc>
          <w:tcPr>
            <w:tcW w:w="88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285,364</w:t>
            </w:r>
          </w:p>
        </w:tc>
        <w:tc>
          <w:tcPr>
            <w:tcW w:w="1200" w:type="dxa"/>
            <w:vAlign w:val="bottom"/>
            <w:gridSpan w:val="3"/>
          </w:tcPr>
          <w:p>
            <w:pPr>
              <w:jc w:val="right"/>
              <w:ind w:right="89"/>
              <w:spacing w:after="0" w:line="149" w:lineRule="exact"/>
              <w:rPr>
                <w:sz w:val="20"/>
                <w:szCs w:val="20"/>
                <w:color w:val="auto"/>
              </w:rPr>
            </w:pPr>
            <w:r>
              <w:rPr>
                <w:rFonts w:ascii="Arial" w:cs="Arial" w:eastAsia="Arial" w:hAnsi="Arial"/>
                <w:sz w:val="15"/>
                <w:szCs w:val="15"/>
                <w:color w:val="auto"/>
              </w:rPr>
              <w:t>0.20%</w:t>
            </w:r>
          </w:p>
        </w:tc>
        <w:tc>
          <w:tcPr>
            <w:tcW w:w="840" w:type="dxa"/>
            <w:vAlign w:val="bottom"/>
            <w:gridSpan w:val="2"/>
          </w:tcPr>
          <w:p>
            <w:pPr>
              <w:ind w:left="600"/>
              <w:spacing w:after="0" w:line="149" w:lineRule="exact"/>
              <w:rPr>
                <w:sz w:val="20"/>
                <w:szCs w:val="20"/>
                <w:color w:val="auto"/>
              </w:rPr>
            </w:pPr>
            <w:r>
              <w:rPr>
                <w:rFonts w:ascii="Arial" w:cs="Arial" w:eastAsia="Arial" w:hAnsi="Arial"/>
                <w:sz w:val="15"/>
                <w:szCs w:val="15"/>
                <w:color w:val="auto"/>
                <w:w w:val="87"/>
              </w:rPr>
              <w:t>453</w:t>
            </w:r>
          </w:p>
        </w:tc>
        <w:tc>
          <w:tcPr>
            <w:tcW w:w="980" w:type="dxa"/>
            <w:vAlign w:val="bottom"/>
            <w:gridSpan w:val="3"/>
          </w:tcPr>
          <w:p>
            <w:pPr>
              <w:jc w:val="right"/>
              <w:ind w:right="109"/>
              <w:spacing w:after="0" w:line="149" w:lineRule="exact"/>
              <w:rPr>
                <w:sz w:val="20"/>
                <w:szCs w:val="20"/>
                <w:color w:val="auto"/>
              </w:rPr>
            </w:pPr>
            <w:r>
              <w:rPr>
                <w:rFonts w:ascii="Arial" w:cs="Arial" w:eastAsia="Arial" w:hAnsi="Arial"/>
                <w:sz w:val="15"/>
                <w:szCs w:val="15"/>
                <w:color w:val="auto"/>
              </w:rPr>
              <w:t>0.19%</w:t>
            </w:r>
          </w:p>
        </w:tc>
        <w:tc>
          <w:tcPr>
            <w:tcW w:w="100" w:type="dxa"/>
            <w:vAlign w:val="bottom"/>
          </w:tcPr>
          <w:p>
            <w:pPr>
              <w:spacing w:after="0"/>
              <w:rPr>
                <w:sz w:val="12"/>
                <w:szCs w:val="12"/>
                <w:color w:val="auto"/>
              </w:rPr>
            </w:pPr>
          </w:p>
        </w:tc>
        <w:tc>
          <w:tcPr>
            <w:tcW w:w="940" w:type="dxa"/>
            <w:vAlign w:val="bottom"/>
            <w:gridSpan w:val="2"/>
          </w:tcPr>
          <w:p>
            <w:pPr>
              <w:ind w:left="500"/>
              <w:spacing w:after="0" w:line="149" w:lineRule="exact"/>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8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330,664</w:t>
            </w:r>
          </w:p>
        </w:tc>
        <w:tc>
          <w:tcPr>
            <w:tcW w:w="200" w:type="dxa"/>
            <w:vAlign w:val="bottom"/>
          </w:tcPr>
          <w:p>
            <w:pPr>
              <w:spacing w:after="0"/>
              <w:rPr>
                <w:sz w:val="12"/>
                <w:szCs w:val="12"/>
                <w:color w:val="auto"/>
              </w:rPr>
            </w:pPr>
          </w:p>
        </w:tc>
        <w:tc>
          <w:tcPr>
            <w:tcW w:w="700" w:type="dxa"/>
            <w:vAlign w:val="bottom"/>
            <w:gridSpan w:val="2"/>
          </w:tcPr>
          <w:p>
            <w:pPr>
              <w:jc w:val="right"/>
              <w:ind w:right="109"/>
              <w:spacing w:after="0" w:line="149" w:lineRule="exact"/>
              <w:rPr>
                <w:sz w:val="20"/>
                <w:szCs w:val="20"/>
                <w:color w:val="auto"/>
              </w:rPr>
            </w:pPr>
            <w:r>
              <w:rPr>
                <w:rFonts w:ascii="Arial" w:cs="Arial" w:eastAsia="Arial" w:hAnsi="Arial"/>
                <w:sz w:val="15"/>
                <w:szCs w:val="15"/>
                <w:color w:val="auto"/>
              </w:rPr>
              <w:t>0.16%</w:t>
            </w:r>
          </w:p>
        </w:tc>
        <w:tc>
          <w:tcPr>
            <w:tcW w:w="840" w:type="dxa"/>
            <w:vAlign w:val="bottom"/>
            <w:gridSpan w:val="3"/>
          </w:tcPr>
          <w:p>
            <w:pPr>
              <w:jc w:val="right"/>
              <w:ind w:right="49"/>
              <w:spacing w:after="0" w:line="149" w:lineRule="exact"/>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5"/>
                <w:szCs w:val="15"/>
                <w:i w:val="1"/>
                <w:iCs w:val="1"/>
                <w:color w:val="auto"/>
              </w:rPr>
              <w:t>Chief Strategy Officer</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Peter Kadens,</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974,909</w:t>
            </w:r>
          </w:p>
        </w:tc>
        <w:tc>
          <w:tcPr>
            <w:tcW w:w="1200" w:type="dxa"/>
            <w:vAlign w:val="bottom"/>
            <w:gridSpan w:val="3"/>
            <w:shd w:val="clear" w:color="auto" w:fill="CCEEFF"/>
          </w:tcPr>
          <w:p>
            <w:pPr>
              <w:jc w:val="right"/>
              <w:ind w:right="89"/>
              <w:spacing w:after="0" w:line="149" w:lineRule="exact"/>
              <w:rPr>
                <w:sz w:val="20"/>
                <w:szCs w:val="20"/>
                <w:color w:val="auto"/>
              </w:rPr>
            </w:pPr>
            <w:r>
              <w:rPr>
                <w:rFonts w:ascii="Arial" w:cs="Arial" w:eastAsia="Arial" w:hAnsi="Arial"/>
                <w:sz w:val="15"/>
                <w:szCs w:val="15"/>
                <w:color w:val="auto"/>
              </w:rPr>
              <w:t>0.68%</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line="14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9"/>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55,729</w:t>
            </w:r>
          </w:p>
        </w:tc>
        <w:tc>
          <w:tcPr>
            <w:tcW w:w="20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5"/>
                <w:szCs w:val="15"/>
                <w:color w:val="auto"/>
              </w:rPr>
              <w:t>14.26%</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6,547,809</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5"/>
                <w:szCs w:val="15"/>
                <w:color w:val="auto"/>
              </w:rPr>
              <w:t>3.16%</w:t>
            </w:r>
          </w:p>
        </w:tc>
        <w:tc>
          <w:tcPr>
            <w:tcW w:w="840" w:type="dxa"/>
            <w:vAlign w:val="bottom"/>
            <w:gridSpan w:val="3"/>
            <w:shd w:val="clear" w:color="auto" w:fill="CCEEFF"/>
          </w:tcPr>
          <w:p>
            <w:pPr>
              <w:jc w:val="right"/>
              <w:ind w:right="49"/>
              <w:spacing w:after="0" w:line="149" w:lineRule="exact"/>
              <w:rPr>
                <w:sz w:val="20"/>
                <w:szCs w:val="20"/>
                <w:color w:val="auto"/>
              </w:rPr>
            </w:pPr>
            <w:r>
              <w:rPr>
                <w:rFonts w:ascii="Arial" w:cs="Arial" w:eastAsia="Arial" w:hAnsi="Arial"/>
                <w:sz w:val="15"/>
                <w:szCs w:val="15"/>
                <w:color w:val="auto"/>
              </w:rPr>
              <w:t>10.14%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5"/>
                <w:szCs w:val="15"/>
                <w:i w:val="1"/>
                <w:iCs w:val="1"/>
                <w:color w:val="auto"/>
              </w:rPr>
              <w:t>Former Chief Executive Officer</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60" w:type="dxa"/>
            <w:vAlign w:val="bottom"/>
            <w:gridSpan w:val="2"/>
          </w:tcPr>
          <w:p>
            <w:pPr>
              <w:spacing w:after="0" w:line="145" w:lineRule="exact"/>
              <w:rPr>
                <w:sz w:val="20"/>
                <w:szCs w:val="20"/>
                <w:color w:val="auto"/>
              </w:rPr>
            </w:pPr>
            <w:r>
              <w:rPr>
                <w:rFonts w:ascii="Arial" w:cs="Arial" w:eastAsia="Arial" w:hAnsi="Arial"/>
                <w:sz w:val="15"/>
                <w:szCs w:val="15"/>
                <w:b w:val="1"/>
                <w:bCs w:val="1"/>
                <w:color w:val="auto"/>
                <w:w w:val="97"/>
              </w:rPr>
              <w:t>All Board directors and named executive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60" w:type="dxa"/>
            <w:vAlign w:val="bottom"/>
            <w:gridSpan w:val="2"/>
          </w:tcPr>
          <w:p>
            <w:pPr>
              <w:ind w:left="140"/>
              <w:spacing w:after="0"/>
              <w:rPr>
                <w:sz w:val="20"/>
                <w:szCs w:val="20"/>
                <w:color w:val="auto"/>
              </w:rPr>
            </w:pPr>
            <w:r>
              <w:rPr>
                <w:rFonts w:ascii="Arial" w:cs="Arial" w:eastAsia="Arial" w:hAnsi="Arial"/>
                <w:sz w:val="15"/>
                <w:szCs w:val="15"/>
                <w:b w:val="1"/>
                <w:bCs w:val="1"/>
                <w:color w:val="auto"/>
              </w:rPr>
              <w:t>officers as a group</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7,368,660</w:t>
            </w:r>
          </w:p>
        </w:tc>
        <w:tc>
          <w:tcPr>
            <w:tcW w:w="1200" w:type="dxa"/>
            <w:vAlign w:val="bottom"/>
            <w:gridSpan w:val="3"/>
          </w:tcPr>
          <w:p>
            <w:pPr>
              <w:jc w:val="right"/>
              <w:ind w:right="89"/>
              <w:spacing w:after="0"/>
              <w:rPr>
                <w:sz w:val="20"/>
                <w:szCs w:val="20"/>
                <w:color w:val="auto"/>
              </w:rPr>
            </w:pPr>
            <w:r>
              <w:rPr>
                <w:rFonts w:ascii="Arial" w:cs="Arial" w:eastAsia="Arial" w:hAnsi="Arial"/>
                <w:sz w:val="15"/>
                <w:szCs w:val="15"/>
                <w:color w:val="auto"/>
              </w:rPr>
              <w:t>5.12%</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140,872</w:t>
            </w:r>
          </w:p>
        </w:tc>
        <w:tc>
          <w:tcPr>
            <w:tcW w:w="980" w:type="dxa"/>
            <w:vAlign w:val="bottom"/>
            <w:gridSpan w:val="3"/>
          </w:tcPr>
          <w:p>
            <w:pPr>
              <w:jc w:val="right"/>
              <w:ind w:right="109"/>
              <w:spacing w:after="0"/>
              <w:rPr>
                <w:sz w:val="20"/>
                <w:szCs w:val="20"/>
                <w:color w:val="auto"/>
              </w:rPr>
            </w:pPr>
            <w:r>
              <w:rPr>
                <w:rFonts w:ascii="Arial" w:cs="Arial" w:eastAsia="Arial" w:hAnsi="Arial"/>
                <w:sz w:val="15"/>
                <w:szCs w:val="15"/>
                <w:color w:val="auto"/>
              </w:rPr>
              <w:t>59.06%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368,372</w:t>
            </w:r>
          </w:p>
        </w:tc>
        <w:tc>
          <w:tcPr>
            <w:tcW w:w="200" w:type="dxa"/>
            <w:vAlign w:val="bottom"/>
          </w:tcPr>
          <w:p>
            <w:pPr>
              <w:spacing w:after="0"/>
              <w:rPr>
                <w:sz w:val="15"/>
                <w:szCs w:val="15"/>
                <w:color w:val="auto"/>
              </w:rPr>
            </w:pPr>
          </w:p>
        </w:tc>
        <w:tc>
          <w:tcPr>
            <w:tcW w:w="640" w:type="dxa"/>
            <w:vAlign w:val="bottom"/>
            <w:gridSpan w:val="2"/>
          </w:tcPr>
          <w:p>
            <w:pPr>
              <w:jc w:val="right"/>
              <w:ind w:right="89"/>
              <w:spacing w:after="0"/>
              <w:rPr>
                <w:sz w:val="20"/>
                <w:szCs w:val="20"/>
                <w:color w:val="auto"/>
              </w:rPr>
            </w:pPr>
            <w:r>
              <w:rPr>
                <w:rFonts w:ascii="Arial" w:cs="Arial" w:eastAsia="Arial" w:hAnsi="Arial"/>
                <w:sz w:val="15"/>
                <w:szCs w:val="15"/>
                <w:color w:val="auto"/>
              </w:rPr>
              <w:t>94.26%</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58,293,060</w:t>
            </w:r>
          </w:p>
        </w:tc>
        <w:tc>
          <w:tcPr>
            <w:tcW w:w="200" w:type="dxa"/>
            <w:vAlign w:val="bottom"/>
          </w:tcPr>
          <w:p>
            <w:pPr>
              <w:spacing w:after="0"/>
              <w:rPr>
                <w:sz w:val="15"/>
                <w:szCs w:val="15"/>
                <w:color w:val="auto"/>
              </w:rPr>
            </w:pPr>
          </w:p>
        </w:tc>
        <w:tc>
          <w:tcPr>
            <w:tcW w:w="700" w:type="dxa"/>
            <w:vAlign w:val="bottom"/>
            <w:gridSpan w:val="2"/>
          </w:tcPr>
          <w:p>
            <w:pPr>
              <w:jc w:val="right"/>
              <w:ind w:right="109"/>
              <w:spacing w:after="0"/>
              <w:rPr>
                <w:sz w:val="20"/>
                <w:szCs w:val="20"/>
                <w:color w:val="auto"/>
              </w:rPr>
            </w:pPr>
            <w:r>
              <w:rPr>
                <w:rFonts w:ascii="Arial" w:cs="Arial" w:eastAsia="Arial" w:hAnsi="Arial"/>
                <w:sz w:val="15"/>
                <w:szCs w:val="15"/>
                <w:color w:val="auto"/>
              </w:rPr>
              <w:t>28.17%</w:t>
            </w:r>
          </w:p>
        </w:tc>
        <w:tc>
          <w:tcPr>
            <w:tcW w:w="840" w:type="dxa"/>
            <w:vAlign w:val="bottom"/>
            <w:gridSpan w:val="3"/>
          </w:tcPr>
          <w:p>
            <w:pPr>
              <w:jc w:val="right"/>
              <w:ind w:right="49"/>
              <w:spacing w:after="0"/>
              <w:rPr>
                <w:sz w:val="20"/>
                <w:szCs w:val="20"/>
                <w:color w:val="auto"/>
              </w:rPr>
            </w:pPr>
            <w:r>
              <w:rPr>
                <w:rFonts w:ascii="Arial" w:cs="Arial" w:eastAsia="Arial" w:hAnsi="Arial"/>
                <w:sz w:val="15"/>
                <w:szCs w:val="15"/>
                <w:color w:val="auto"/>
              </w:rPr>
              <w:t>69.68%</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286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GV Health Partners, LLC</w:t>
            </w: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3"/>
                <w:szCs w:val="13"/>
                <w:b w:val="1"/>
                <w:bCs w:val="1"/>
                <w:color w:val="auto"/>
              </w:rPr>
              <w:t>(4)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7,717,030</w:t>
            </w:r>
          </w:p>
        </w:tc>
        <w:tc>
          <w:tcPr>
            <w:tcW w:w="1200" w:type="dxa"/>
            <w:vAlign w:val="bottom"/>
            <w:tcBorders>
              <w:bottom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5"/>
                <w:szCs w:val="15"/>
                <w:color w:val="auto"/>
              </w:rPr>
              <w:t>5.36%</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309"/>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right w:val="single" w:sz="8" w:color="CCEEFF"/>
            </w:tcBorders>
            <w:gridSpan w:val="2"/>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CEEFF"/>
            </w:tcBorders>
            <w:gridSpan w:val="2"/>
            <w:shd w:val="clear" w:color="auto" w:fill="CCEEFF"/>
          </w:tcPr>
          <w:p>
            <w:pPr>
              <w:jc w:val="right"/>
              <w:ind w:right="289"/>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7,717,030</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5"/>
                <w:szCs w:val="15"/>
                <w:color w:val="auto"/>
              </w:rPr>
              <w:t>3.73%</w:t>
            </w:r>
          </w:p>
        </w:tc>
        <w:tc>
          <w:tcPr>
            <w:tcW w:w="840" w:type="dxa"/>
            <w:vAlign w:val="bottom"/>
            <w:tcBorders>
              <w:bottom w:val="single" w:sz="8" w:color="CCEEFF"/>
            </w:tcBorders>
            <w:gridSpan w:val="3"/>
            <w:shd w:val="clear" w:color="auto" w:fill="CCEEFF"/>
          </w:tcPr>
          <w:p>
            <w:pPr>
              <w:jc w:val="right"/>
              <w:ind w:right="49"/>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Arial" w:cs="Arial" w:eastAsia="Arial" w:hAnsi="Arial"/>
                <w:sz w:val="15"/>
                <w:szCs w:val="15"/>
                <w:color w:val="auto"/>
              </w:rPr>
              <w:t>HMS Illinois, LLC</w:t>
            </w:r>
            <w:r>
              <w:rPr>
                <w:rFonts w:ascii="Arial" w:cs="Arial" w:eastAsia="Arial" w:hAnsi="Arial"/>
                <w:sz w:val="13"/>
                <w:szCs w:val="13"/>
                <w:b w:val="1"/>
                <w:bCs w:val="1"/>
                <w:color w:val="auto"/>
              </w:rPr>
              <w:t>(4)</w:t>
            </w:r>
            <w:r>
              <w:rPr>
                <w:rFonts w:ascii="Arial" w:cs="Arial" w:eastAsia="Arial" w:hAnsi="Arial"/>
                <w:sz w:val="9"/>
                <w:szCs w:val="9"/>
                <w:b w:val="1"/>
                <w:bCs w:val="1"/>
                <w:color w:val="auto"/>
              </w:rPr>
              <w:t>(5</w:t>
            </w:r>
            <w:r>
              <w:rPr>
                <w:rFonts w:ascii="Arial" w:cs="Arial" w:eastAsia="Arial" w:hAnsi="Arial"/>
                <w:sz w:val="9"/>
                <w:szCs w:val="9"/>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000" w:type="dxa"/>
            <w:vAlign w:val="bottom"/>
            <w:gridSpan w:val="2"/>
            <w:vMerge w:val="restart"/>
          </w:tcPr>
          <w:p>
            <w:pPr>
              <w:jc w:val="right"/>
              <w:ind w:right="289"/>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15,617</w:t>
            </w:r>
          </w:p>
        </w:tc>
        <w:tc>
          <w:tcPr>
            <w:tcW w:w="980" w:type="dxa"/>
            <w:vAlign w:val="bottom"/>
            <w:gridSpan w:val="3"/>
            <w:vMerge w:val="restart"/>
          </w:tcPr>
          <w:p>
            <w:pPr>
              <w:jc w:val="right"/>
              <w:ind w:right="109"/>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6"/>
                <w:szCs w:val="16"/>
                <w:color w:val="auto"/>
              </w:rPr>
            </w:pPr>
          </w:p>
        </w:tc>
        <w:tc>
          <w:tcPr>
            <w:tcW w:w="940" w:type="dxa"/>
            <w:vAlign w:val="bottom"/>
            <w:gridSpan w:val="2"/>
            <w:vMerge w:val="restart"/>
          </w:tcPr>
          <w:p>
            <w:pPr>
              <w:ind w:left="50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289"/>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5"/>
                <w:szCs w:val="15"/>
                <w:color w:val="auto"/>
              </w:rPr>
              <w:t>1,561,700</w:t>
            </w:r>
          </w:p>
        </w:tc>
        <w:tc>
          <w:tcPr>
            <w:tcW w:w="200" w:type="dxa"/>
            <w:vAlign w:val="bottom"/>
          </w:tcPr>
          <w:p>
            <w:pPr>
              <w:spacing w:after="0"/>
              <w:rPr>
                <w:sz w:val="16"/>
                <w:szCs w:val="16"/>
                <w:color w:val="auto"/>
              </w:rPr>
            </w:pPr>
          </w:p>
        </w:tc>
        <w:tc>
          <w:tcPr>
            <w:tcW w:w="700" w:type="dxa"/>
            <w:vAlign w:val="bottom"/>
            <w:gridSpan w:val="2"/>
            <w:vMerge w:val="restart"/>
          </w:tcPr>
          <w:p>
            <w:pPr>
              <w:jc w:val="right"/>
              <w:ind w:right="109"/>
              <w:spacing w:after="0"/>
              <w:rPr>
                <w:sz w:val="20"/>
                <w:szCs w:val="20"/>
                <w:color w:val="auto"/>
              </w:rPr>
            </w:pPr>
            <w:r>
              <w:rPr>
                <w:rFonts w:ascii="Arial" w:cs="Arial" w:eastAsia="Arial" w:hAnsi="Arial"/>
                <w:sz w:val="15"/>
                <w:szCs w:val="15"/>
                <w:color w:val="auto"/>
              </w:rPr>
              <w:t>0.75%</w:t>
            </w:r>
          </w:p>
        </w:tc>
        <w:tc>
          <w:tcPr>
            <w:tcW w:w="840" w:type="dxa"/>
            <w:vAlign w:val="bottom"/>
            <w:gridSpan w:val="3"/>
            <w:vMerge w:val="restart"/>
          </w:tcPr>
          <w:p>
            <w:pPr>
              <w:jc w:val="right"/>
              <w:ind w:right="49"/>
              <w:spacing w:after="0"/>
              <w:rPr>
                <w:sz w:val="20"/>
                <w:szCs w:val="20"/>
                <w:color w:val="auto"/>
              </w:rPr>
            </w:pPr>
            <w:r>
              <w:rPr>
                <w:rFonts w:ascii="Arial" w:cs="Arial" w:eastAsia="Arial" w:hAnsi="Arial"/>
                <w:sz w:val="15"/>
                <w:szCs w:val="15"/>
                <w:color w:val="auto"/>
              </w:rPr>
              <w:t>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BF REMS Holdings 2016, LLC</w:t>
            </w:r>
            <w:r>
              <w:rPr>
                <w:rFonts w:ascii="Arial" w:cs="Arial" w:eastAsia="Arial" w:hAnsi="Arial"/>
                <w:sz w:val="9"/>
                <w:szCs w:val="9"/>
                <w:b w:val="1"/>
                <w:bCs w:val="1"/>
                <w:color w:val="auto"/>
              </w:rPr>
              <w:t>(6)</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1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89"/>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27,704</w:t>
            </w:r>
          </w:p>
        </w:tc>
        <w:tc>
          <w:tcPr>
            <w:tcW w:w="980" w:type="dxa"/>
            <w:vAlign w:val="bottom"/>
            <w:gridSpan w:val="3"/>
            <w:vMerge w:val="restart"/>
            <w:shd w:val="clear" w:color="auto" w:fill="CCEEFF"/>
          </w:tcPr>
          <w:p>
            <w:pPr>
              <w:jc w:val="right"/>
              <w:ind w:right="109"/>
              <w:spacing w:after="0"/>
              <w:rPr>
                <w:sz w:val="20"/>
                <w:szCs w:val="20"/>
                <w:color w:val="auto"/>
              </w:rPr>
            </w:pPr>
            <w:r>
              <w:rPr>
                <w:rFonts w:ascii="Arial" w:cs="Arial" w:eastAsia="Arial" w:hAnsi="Arial"/>
                <w:sz w:val="15"/>
                <w:szCs w:val="15"/>
                <w:color w:val="auto"/>
              </w:rPr>
              <w:t>11.62%</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restart"/>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shd w:val="clear" w:color="auto" w:fill="CCEEFF"/>
          </w:tcPr>
          <w:p>
            <w:pPr>
              <w:jc w:val="right"/>
              <w:ind w:right="289"/>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2,770,400</w:t>
            </w:r>
          </w:p>
        </w:tc>
        <w:tc>
          <w:tcPr>
            <w:tcW w:w="2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09"/>
              <w:spacing w:after="0"/>
              <w:rPr>
                <w:sz w:val="20"/>
                <w:szCs w:val="20"/>
                <w:color w:val="auto"/>
              </w:rPr>
            </w:pPr>
            <w:r>
              <w:rPr>
                <w:rFonts w:ascii="Arial" w:cs="Arial" w:eastAsia="Arial" w:hAnsi="Arial"/>
                <w:sz w:val="15"/>
                <w:szCs w:val="15"/>
                <w:color w:val="auto"/>
              </w:rPr>
              <w:t>1.34%</w:t>
            </w:r>
          </w:p>
        </w:tc>
        <w:tc>
          <w:tcPr>
            <w:tcW w:w="840" w:type="dxa"/>
            <w:vAlign w:val="bottom"/>
            <w:gridSpan w:val="3"/>
            <w:vMerge w:val="restart"/>
            <w:shd w:val="clear" w:color="auto" w:fill="CCEEFF"/>
          </w:tcPr>
          <w:p>
            <w:pPr>
              <w:jc w:val="right"/>
              <w:ind w:right="49"/>
              <w:spacing w:after="0"/>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vMerge w:val="continue"/>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gridSpan w:val="2"/>
            <w:vMerge w:val="continue"/>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980" w:type="dxa"/>
            <w:vAlign w:val="bottom"/>
            <w:gridSpan w:val="3"/>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tcBorders>
              <w:right w:val="single" w:sz="8" w:color="CCEEFF"/>
            </w:tcBorders>
            <w:gridSpan w:val="2"/>
            <w:vMerge w:val="continue"/>
            <w:shd w:val="clear" w:color="auto" w:fill="CCEEFF"/>
          </w:tcPr>
          <w:p>
            <w:pPr>
              <w:spacing w:after="0"/>
              <w:rPr>
                <w:sz w:val="2"/>
                <w:szCs w:val="2"/>
                <w:color w:val="auto"/>
              </w:rPr>
            </w:pPr>
          </w:p>
        </w:tc>
        <w:tc>
          <w:tcPr>
            <w:tcW w:w="640" w:type="dxa"/>
            <w:vAlign w:val="bottom"/>
            <w:gridSpan w:val="2"/>
            <w:vMerge w:val="continue"/>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gridSpan w:val="2"/>
            <w:vMerge w:val="continue"/>
            <w:shd w:val="clear" w:color="auto" w:fill="CCEEFF"/>
          </w:tcPr>
          <w:p>
            <w:pPr>
              <w:spacing w:after="0"/>
              <w:rPr>
                <w:sz w:val="2"/>
                <w:szCs w:val="2"/>
                <w:color w:val="auto"/>
              </w:rPr>
            </w:pPr>
          </w:p>
        </w:tc>
        <w:tc>
          <w:tcPr>
            <w:tcW w:w="840" w:type="dxa"/>
            <w:vAlign w:val="bottom"/>
            <w:gridSpan w:val="3"/>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share values are on an as-converted basis.</w:t>
      </w:r>
    </w:p>
    <w:p>
      <w:pPr>
        <w:spacing w:after="0" w:line="9"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percentages differ from the beneficial ownership percentages in the total capital stock because GTI’s classes of securities have different voting rights. For further description of the different voting rights by different securities, see Item 11—“Description of the Registrant’s Securities To Be Registered.”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following:</w:t>
      </w:r>
    </w:p>
    <w:p>
      <w:pPr>
        <w:spacing w:after="0" w:line="9" w:lineRule="exact"/>
        <w:rPr>
          <w:rFonts w:ascii="Arial" w:cs="Arial" w:eastAsia="Arial" w:hAnsi="Arial"/>
          <w:sz w:val="18"/>
          <w:szCs w:val="18"/>
          <w:color w:val="auto"/>
        </w:rPr>
      </w:pPr>
    </w:p>
    <w:p>
      <w:pPr>
        <w:ind w:left="1180" w:hanging="436"/>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142 Subordinate Voting Shares and 340 Super Voting Shares held by Mr. Kovler’s children;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57,418 Subordinate Voting Shares, 96,885 Multiple Voting Shares and 107,368 Super Voting Shares held by RCP23 LLC;</w:t>
      </w:r>
    </w:p>
    <w:p>
      <w:pPr>
        <w:spacing w:after="0" w:line="46" w:lineRule="exact"/>
        <w:rPr>
          <w:rFonts w:ascii="Arial" w:cs="Arial" w:eastAsia="Arial" w:hAnsi="Arial"/>
          <w:sz w:val="16"/>
          <w:szCs w:val="16"/>
          <w:color w:val="auto"/>
        </w:rPr>
      </w:pPr>
    </w:p>
    <w:p>
      <w:pPr>
        <w:ind w:left="1180" w:hanging="436"/>
        <w:spacing w:after="0"/>
        <w:tabs>
          <w:tab w:leader="none" w:pos="11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8 Subordinate Voting Shares, 43,534 Multiple Voting Shares and 11,808 Super Voting Shares held by GTI II LLC; and</w:t>
      </w:r>
    </w:p>
    <w:p>
      <w:pPr>
        <w:spacing w:after="0" w:line="32" w:lineRule="exact"/>
        <w:rPr>
          <w:rFonts w:ascii="Arial" w:cs="Arial" w:eastAsia="Arial" w:hAnsi="Arial"/>
          <w:sz w:val="16"/>
          <w:szCs w:val="16"/>
          <w:color w:val="auto"/>
        </w:rPr>
      </w:pPr>
    </w:p>
    <w:p>
      <w:pPr>
        <w:ind w:left="1180" w:hanging="436"/>
        <w:spacing w:after="0"/>
        <w:tabs>
          <w:tab w:leader="none" w:pos="11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46 Subordinate Voting Shares and 59,474 Super Voting Shares held by Outsiders Capital LLC.</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reporting from the Corporation’s transfer agent. Address: 2275 Corporate Circle, Suite 300, Henderson, Nevada 89074.</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reporting from the Corporation’s transfer agent. Address: 12 North Broadway #220, Denver, Colorado 80203.</w:t>
      </w:r>
    </w:p>
    <w:p>
      <w:pPr>
        <w:spacing w:after="0" w:line="20" w:lineRule="exact"/>
        <w:rPr>
          <w:rFonts w:ascii="Arial" w:cs="Arial" w:eastAsia="Arial" w:hAnsi="Arial"/>
          <w:sz w:val="17"/>
          <w:szCs w:val="17"/>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7220 Arrowood Road, Bethesda, Maryland 28107.</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117"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7"/>
          <w:szCs w:val="17"/>
          <w:color w:val="auto"/>
        </w:rPr>
        <w:t>The articles of the Corporation (the “</w:t>
      </w:r>
      <w:r>
        <w:rPr>
          <w:rFonts w:ascii="Arial" w:cs="Arial" w:eastAsia="Arial" w:hAnsi="Arial"/>
          <w:sz w:val="17"/>
          <w:szCs w:val="17"/>
          <w:b w:val="1"/>
          <w:bCs w:val="1"/>
          <w:color w:val="auto"/>
        </w:rPr>
        <w:t>Articles</w:t>
      </w:r>
      <w:r>
        <w:rPr>
          <w:rFonts w:ascii="Arial" w:cs="Arial" w:eastAsia="Arial" w:hAnsi="Arial"/>
          <w:sz w:val="17"/>
          <w:szCs w:val="17"/>
          <w:color w:val="auto"/>
        </w:rPr>
        <w:t>”) provide that the number of directors should not be fewer than three directors. Each director shall hold office until the close of the next annual general meeting of the Corporation, or until his or her successor is duly elected or appointed, unless his or her office is earlier vacated. The Corporation’s Board currently consists of seven directors, of whom three are considered to be independent persons. See Item 7—“Director Independence” for details on the independence of the Corporation’s directors.</w:t>
      </w:r>
    </w:p>
    <w:p>
      <w:pPr>
        <w:spacing w:after="0" w:line="16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individuals that we anticipate will be the directors and executive officers of the Corporation as of the Effective Date and their respective positions.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38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r>
      <w:tr>
        <w:trPr>
          <w:trHeight w:val="189"/>
        </w:trPr>
        <w:tc>
          <w:tcPr>
            <w:tcW w:w="2880" w:type="dxa"/>
            <w:vAlign w:val="bottom"/>
            <w:gridSpan w:val="2"/>
          </w:tcPr>
          <w:p>
            <w:pPr>
              <w:spacing w:after="0" w:line="189" w:lineRule="exact"/>
              <w:rPr>
                <w:sz w:val="20"/>
                <w:szCs w:val="20"/>
                <w:color w:val="auto"/>
              </w:rPr>
            </w:pPr>
            <w:r>
              <w:rPr>
                <w:rFonts w:ascii="Arial" w:cs="Arial" w:eastAsia="Arial" w:hAnsi="Arial"/>
                <w:sz w:val="18"/>
                <w:szCs w:val="18"/>
                <w:color w:val="auto"/>
              </w:rPr>
              <w:t>Wendy Berger</w:t>
            </w:r>
          </w:p>
        </w:tc>
        <w:tc>
          <w:tcPr>
            <w:tcW w:w="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6"/>
                <w:szCs w:val="16"/>
                <w:color w:val="auto"/>
              </w:rPr>
            </w:pPr>
          </w:p>
        </w:tc>
        <w:tc>
          <w:tcPr>
            <w:tcW w:w="73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Wes Moore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Alejandro Yemenidjian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1"/>
              </w:rPr>
              <w:t>Director and Managing Director, Integral Associates</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Beth Burk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9"/>
                <w:szCs w:val="19"/>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88"/>
              </w:rPr>
              <w:t>General Counsel</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2"/>
              </w:rPr>
              <w:t>Chief Strategy Officer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4"/>
              </w:rPr>
              <w:t>Director and Chief Financial Officer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Julie Knudson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3"/>
              </w:rPr>
              <w:t>Chief People Officer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1"/>
              </w:rPr>
              <w:t>Founder, Chairman of the Board and Chief Executive Officer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Armen Yemenidjian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20"/>
                <w:szCs w:val="20"/>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89"/>
              </w:rPr>
              <w:t>President</w:t>
            </w: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Articles provide that the directors may, from time to time, appoint such officers as the directors determine. The directors may, at any time, terminate any such appointment. All members of management devote full time to the business of the Corporation and have entered into a non-competition or non-disclosure agreement with the Corporation.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and Executive Officer Biographies</w:t>
      </w:r>
    </w:p>
    <w:p>
      <w:pPr>
        <w:spacing w:after="0" w:line="121"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i w:val="1"/>
          <w:iCs w:val="1"/>
          <w:color w:val="auto"/>
        </w:rPr>
        <w:t xml:space="preserve">Wendy Berger, Director. </w:t>
      </w:r>
      <w:r>
        <w:rPr>
          <w:rFonts w:ascii="Arial" w:cs="Arial" w:eastAsia="Arial" w:hAnsi="Arial"/>
          <w:sz w:val="17"/>
          <w:szCs w:val="17"/>
          <w:color w:val="auto"/>
        </w:rPr>
        <w:t>Wendy Berger has served as a Director since February 2015. Since 2004, Wendy has served as a principal of WBS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Equities, LLC, a real estate development company that specializes in ground-up construction, renovation, development, sale and leaseback transactions and acquisitions. From 2000 to 2004, Wendy held leadership positions in enterprise planning and program management at Orbitz, the Travel website founded in 2000. From 1995 to 1999, Wendy co-founded and was Chief Operating Officer of Neoglyphics Media Corporation, one of the country’s first website development companies. For over 25 years, Wendy has been involved in the real estate business as a lender, property manager, broker and consultant, as well as an investor. She began her career at American National Bank and Trust Company of Chicago (a subsidiary of First Chicago, now JP Morgan Chase) in Commercial Lending and spent several years as a principal with Berger Realty Group, an 80-year-old family-owned real estate business, where she focused on residential and industrial property management and development. Wendy brings decades of experience in strategic planning, execution and exits for rapid growth start-ups, in addition to a tenured career in real estate, development and transactions. Wendy earned her MBA in Finance and Real Estate from Northwestern University’s Kellogg School of Business. She received a BS, </w:t>
      </w:r>
      <w:r>
        <w:rPr>
          <w:rFonts w:ascii="Arial" w:cs="Arial" w:eastAsia="Arial" w:hAnsi="Arial"/>
          <w:sz w:val="17"/>
          <w:szCs w:val="17"/>
          <w:i w:val="1"/>
          <w:iCs w:val="1"/>
          <w:color w:val="auto"/>
        </w:rPr>
        <w:t>cum laude</w:t>
      </w:r>
      <w:r>
        <w:rPr>
          <w:rFonts w:ascii="Arial" w:cs="Arial" w:eastAsia="Arial" w:hAnsi="Arial"/>
          <w:sz w:val="17"/>
          <w:szCs w:val="17"/>
          <w:color w:val="auto"/>
        </w:rPr>
        <w:t>, in Finance and Marketing from Syracuse University.</w:t>
      </w:r>
    </w:p>
    <w:p>
      <w:pPr>
        <w:spacing w:after="0" w:line="18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William Gruver, Director</w:t>
      </w:r>
      <w:r>
        <w:rPr>
          <w:rFonts w:ascii="Arial" w:cs="Arial" w:eastAsia="Arial" w:hAnsi="Arial"/>
          <w:sz w:val="18"/>
          <w:szCs w:val="18"/>
          <w:color w:val="auto"/>
        </w:rPr>
        <w:t>. William Gruver has served as a Director since April 2019. William holds the Howard I. Scott Chair in Global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Commerce, Strategy and Leadership at Bucknell University, where he has been a professor since 1993. In addition, for the last 25 years, William has been a consultant retained by clients to provide strategic consulting and advisory services. He spent 20 years from 1972 to 1992 at Goldman, Sachs &amp; Co., the international investment banking firm. In the wake of the 1987 stock market crash, in 1988, he was named Chief Administrative Officer of that firm’s largest division—the equities division—which, under his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leadership, reorganized and redeployed its people and capital to become one of the firm’s most profitable areas. Prior to his tenure with Goldman Sachs, he served as a qualified officer of the deck in the nuclear submarine force of the United States Navy where he was awarded several decorations. William currently serves on the audit committees of Geisinger Health, a $7 billion integrated health care system in Pennsylvania and New Jersey, where he chairs the audit committee, and Private Client Bank, a multi-billion-dollar Swiss institution. From October 2003 to June 2013, he was a director of TheStreet, Inc. (NASDAQ: TST), a leading financial news and information company, where he was also a member of the audit committee and served as chair of the compensation committee. He previously served as audit committee chair for Berea College, the first interracial and coeducational college in the South, from 1996 to 2008. He is also a national arbitrator of the Financial Industry Regulatory Authority. He has received the Lindback Award for distinguished teaching and the ECAC Award for his contributions to inter-collegiate athletics at Bucknell University. His thinking and writing have been widely published in outlets such as the Financial Times, the Los Angeles Times, the New York Times, the New Republic, Finanz und Wirtschaft and Public Radio International, as well as several academic journals. William received his AB with distinction from Dartmouth College and his MBA from Columbia University.</w:t>
      </w:r>
    </w:p>
    <w:p>
      <w:pPr>
        <w:spacing w:after="0" w:line="18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i w:val="1"/>
          <w:iCs w:val="1"/>
          <w:color w:val="auto"/>
        </w:rPr>
        <w:t>Wes Moore, Director</w:t>
      </w:r>
      <w:r>
        <w:rPr>
          <w:rFonts w:ascii="Arial" w:cs="Arial" w:eastAsia="Arial" w:hAnsi="Arial"/>
          <w:sz w:val="17"/>
          <w:szCs w:val="17"/>
          <w:color w:val="auto"/>
        </w:rPr>
        <w:t>. Wes Moore has served as a Director since July 2018. Since March 2017, Wes has been the Chief Executive Officer at Robin</w:t>
      </w:r>
      <w:r>
        <w:rPr>
          <w:rFonts w:ascii="Arial" w:cs="Arial" w:eastAsia="Arial" w:hAnsi="Arial"/>
          <w:sz w:val="17"/>
          <w:szCs w:val="17"/>
          <w:i w:val="1"/>
          <w:iCs w:val="1"/>
          <w:color w:val="auto"/>
        </w:rPr>
        <w:t xml:space="preserve"> </w:t>
      </w:r>
      <w:r>
        <w:rPr>
          <w:rFonts w:ascii="Arial" w:cs="Arial" w:eastAsia="Arial" w:hAnsi="Arial"/>
          <w:sz w:val="17"/>
          <w:szCs w:val="17"/>
          <w:color w:val="auto"/>
        </w:rPr>
        <w:t>Hood, New York City’s largest poverty-fighting organization, where he previously served on its Veterans Advisory Board. In 2014, Wes founded BridgeEdU, an innovative platform addressing the college completion and job placement crisis, where he was Chief Executive until June 2017 and Chairman from June 2017 to June 2019 when it was acquired by Edquity, a Brooklyn-based student financial success and emergency aid firm. Wes also hosts Oprah Winfrey Network’s “Beyond Belief” (January 2012) and PBS’s “American Graduate Day” (since September 2014) and has served as the Executive Producer and host of PBS’s “Coming Back with Wes Moore” (since May 2014), focusing on the reintegration of Iraq and Afghanistan veterans. Wes is the New York Times and Wall Street Journal bestselling author of “The Other Wes Moore” and “The Work,” which capture the fine line between success and failure in our communities. Wes graduated Phi Theta Kappa from Valley Forge Military College in 1998 and Phi Beta Kappa from Johns Hopkins University in 2001. While at Johns Hopkins, Wes founded STAND!, working with Baltimore youth involved in the criminal justice system. Wes brings a lifetime’s commitment to social impact and entrepreneurship to GTI. He earned a MLitt in International Relations from Oxford University as a Rhodes Scholar in 2004. He then served as a Captain and paratrooper with the U.S. Army’s 82nd Airborne, including a combat deployment to Afghanistan. Later, Wes served as a White House Fellow to Secretary of State Condoleezza Rice. Wes has also served on the boards of Iraq Afghanistan Veterans of America and Johns Hopkins University.</w:t>
      </w:r>
    </w:p>
    <w:p>
      <w:pPr>
        <w:spacing w:after="0" w:line="188"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7"/>
          <w:szCs w:val="17"/>
          <w:i w:val="1"/>
          <w:iCs w:val="1"/>
          <w:color w:val="auto"/>
        </w:rPr>
        <w:t>Glen Senk, Director</w:t>
      </w:r>
      <w:r>
        <w:rPr>
          <w:rFonts w:ascii="Arial" w:cs="Arial" w:eastAsia="Arial" w:hAnsi="Arial"/>
          <w:sz w:val="17"/>
          <w:szCs w:val="17"/>
          <w:color w:val="auto"/>
        </w:rPr>
        <w:t>. Glen Senk has served as a Director since June 2018. Glen founded Front Row Partners in April 2014, where he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serves as Chairman and CEO. From 2012 to 2014, he served as CEO for America’s leading fine jewelry brand, David Yurman. Glen joined Urban Outfitters in 1994 as President of Anthropologie, which was then a single-store prototype. During the course of growing Anthropologie into a billion-dollar brand, Glen was named Executive Vice President of URBN in 2002, elected to the company’s board of directors in 2004 and named CEO of URBN in 2007, a position he held until 2012. In 1992, Glen joined Williams-Sonoma as Senior Vice President and General Merchandise Manager, where he supervised Williams-Sonoma, Pottery Barn, Hold Everything, Chambers and Gardener’s Eden and, most notably, set the strategy and groundwork for Pottery Barn’s rapid expansion and sales growth. In 1989, Glen became Chief Executive of the London-based Habitat International Merchandise and Marketing Group. Glen is a creative leader who has worked with several of the world’s most iconic brands, beginning with Bloomingdale’s in 1981, where he rose to Senior Vice President and Managing Director of Bloomingdale’s by Mail. Glen currently serves on the board of directors of Aritzia, Boden and Kendra Scott. Glen has previously served on the boards of Urban Outfitters, Bare Escentuals, Melissa &amp; Doug, Tory Burch, David Yurman, Opening Ceremony and Cooking.com. Glen holds a BA, </w:t>
      </w:r>
      <w:r>
        <w:rPr>
          <w:rFonts w:ascii="Arial" w:cs="Arial" w:eastAsia="Arial" w:hAnsi="Arial"/>
          <w:sz w:val="17"/>
          <w:szCs w:val="17"/>
          <w:i w:val="1"/>
          <w:iCs w:val="1"/>
          <w:color w:val="auto"/>
        </w:rPr>
        <w:t>magna cum laude</w:t>
      </w:r>
      <w:r>
        <w:rPr>
          <w:rFonts w:ascii="Arial" w:cs="Arial" w:eastAsia="Arial" w:hAnsi="Arial"/>
          <w:sz w:val="17"/>
          <w:szCs w:val="17"/>
          <w:color w:val="auto"/>
        </w:rPr>
        <w:t>, in psychology, computer science and mathematics from New York University and an MBA in marketing and finance from the University of Chicago Booth School of Business. He is a member of Phi Beta Kappa and Psi Chi.</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 xml:space="preserve">Alejandro Yemenidjian, Director and Managing Director, Integral Associates. </w:t>
      </w:r>
      <w:r>
        <w:rPr>
          <w:rFonts w:ascii="Arial" w:cs="Arial" w:eastAsia="Arial" w:hAnsi="Arial"/>
          <w:sz w:val="16"/>
          <w:szCs w:val="16"/>
          <w:color w:val="auto"/>
        </w:rPr>
        <w:t>Alejandro Yemenidjian has served as a Director, and as GTI’s</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 of Integral Associates, since June 2019 when GTI acquired Integral Associates. Since January 2005, he has been the CEO and sole Managing Member of Armenco Holdings, LLC, a private investment company, co-founded Armenco Capital LLC in April 2013, a commercial real estate investment company, co-founded Armenco Restaurant Group LLC in October 2014, a franchisee of Jersey Mike’s in Las Vegas, and co-founded Integral Associates I and Integral Associates II in April 2014 and September 2014, respectively, medical and adult use cannabis companies in Nevada and California. Alejandro was co-owner and served as Chairman of the Board and Chief Executive Officer of Tropicana Las Vegas Hotel &amp; Casino, Inc. from July 2009 to September 2015. He also served as Chairman of the Board and Chief Executive Officer of Metro-Goldwyn-Mayer Inc. from April 1999 to April 2005 and was a Director from November 1997 to April 2005. Alejandro was Director of MGM Resorts International, Inc. (“</w:t>
      </w:r>
      <w:r>
        <w:rPr>
          <w:rFonts w:ascii="Arial" w:cs="Arial" w:eastAsia="Arial" w:hAnsi="Arial"/>
          <w:sz w:val="16"/>
          <w:szCs w:val="16"/>
          <w:b w:val="1"/>
          <w:bCs w:val="1"/>
          <w:color w:val="auto"/>
        </w:rPr>
        <w:t>MGM</w:t>
      </w:r>
      <w:r>
        <w:rPr>
          <w:rFonts w:ascii="Arial" w:cs="Arial" w:eastAsia="Arial" w:hAnsi="Arial"/>
          <w:sz w:val="16"/>
          <w:szCs w:val="16"/>
          <w:color w:val="auto"/>
        </w:rPr>
        <w:t>”) (formerly MGM Grand, Inc. and MGM Mirage Resorts, Inc.) from 1989 to 2005 and was President of MGM from 1995 to 1999. He also served MGM in other capacities, including Chief Operating Officer from 1995 until 1999 and Chief Financial Officer from 1994 to 1998. He served as an executive of Tracinda Corporation, the majority owner of both Metro-Goldwyn-Mayer Inc. and MGM, from 1990 to 1997 and again during 1999. Alejandro is a Trustee of Baron Investment Funds Trust and Baron Select Funds, is Lead Director and Chairman of the compensation committee of Guess?, Inc., a worldwide retailer of contemporary apparel, and until March 2018, when the company was sold, was a Director and Chairman of the audit committee of Regal Entertainment Group, a motion picture exhibition company. As part of his civic and charitable activities, Alejandro serves on the board of USC Marshall School of Business Board of Leaders, was Co-Chair of Imagine the Arts Campaign of California State University, Northridge, served as Director of the Lincy Foundation, served as Trustee of the American Film Institute and served as Chairman of the United Armenian Fund. He has a Bachelor’s degree in Business Administration and Accounting from California State University, Northridge, a Master’s degree in Business Taxation from the University of Southern California and was Adjunct Professor of Taxation at the University of Southern California Graduate School of Business.</w:t>
      </w:r>
    </w:p>
    <w:p>
      <w:pPr>
        <w:spacing w:after="0" w:line="173"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i w:val="1"/>
          <w:iCs w:val="1"/>
          <w:color w:val="auto"/>
        </w:rPr>
        <w:t>Beth Burk, General Counsel</w:t>
      </w:r>
      <w:r>
        <w:rPr>
          <w:rFonts w:ascii="Arial" w:cs="Arial" w:eastAsia="Arial" w:hAnsi="Arial"/>
          <w:sz w:val="16"/>
          <w:szCs w:val="16"/>
          <w:color w:val="auto"/>
        </w:rPr>
        <w:t>. Beth Burk joined GTI as Interim Chief Legal and Compliance Officer in November 2019 and became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in January 2020. She was previously at Aon plc, a leading global professional services firm providing a broad range of risk, retirement and health solutions, where she served as Global Chief Compliance Officer from July 2015 to June 2019 and Chief Counsel, Global Employment from October 2010 to July 2015. During her 14-year tenure with Aon, she served the company in its Chicago and London offices in a variety of key leadership roles. Prior to joining Aon, Beth was a partner in the Chicago office of the global law firm Winston &amp; Strawn LLP, where she advised businesses in a variety of industries from early stage to maturity. Beth brings over 25 years of broad legal experience and earned her JD from Chicago-Kent College of Law and a Bachelor of General Studies degree, with a concentration in Economics, from the University of Michigan.</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Jennifer Dooley, Chief Strategy Officer</w:t>
      </w:r>
      <w:r>
        <w:rPr>
          <w:rFonts w:ascii="Arial" w:cs="Arial" w:eastAsia="Arial" w:hAnsi="Arial"/>
          <w:sz w:val="17"/>
          <w:szCs w:val="17"/>
          <w:color w:val="auto"/>
        </w:rPr>
        <w:t>. Jennifer Dooley has been GTI’s Chief Strategy Officer since April 2018. In addition to her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strategy, on an interim basis, she has led marketing since October 2019 and led information technology from October to December 2019. Jennifer joined GTI in March 2016 and was Vice President of Marketing and Brand Development until April 2017 and Chief Marketing Officer from April 2017 to April 2018. Prior to joining GTI, from June 2008 to March 2016, Jennifer held various marketing leadership roles at Storck USA, a top 10 global confectioner, known for brands Werther’s Original, Toffifay, Mamba, merci and RIESEN. Jennifer has an MBA from Northwestern University Kellogg School of Management with emphases in Marketing, Entrepreneurship and Innovation. Jennifer graduated </w:t>
      </w:r>
      <w:r>
        <w:rPr>
          <w:rFonts w:ascii="Arial" w:cs="Arial" w:eastAsia="Arial" w:hAnsi="Arial"/>
          <w:sz w:val="17"/>
          <w:szCs w:val="17"/>
          <w:i w:val="1"/>
          <w:iCs w:val="1"/>
          <w:color w:val="auto"/>
        </w:rPr>
        <w:t>summa cum laude</w:t>
      </w:r>
      <w:r>
        <w:rPr>
          <w:rFonts w:ascii="Arial" w:cs="Arial" w:eastAsia="Arial" w:hAnsi="Arial"/>
          <w:sz w:val="17"/>
          <w:szCs w:val="17"/>
          <w:color w:val="auto"/>
        </w:rPr>
        <w:t xml:space="preserve"> from the College of Charleston with a Bachelor of Science in Business Administration and English. Jennifer brings a decade of experience building consumer brands. In 2019, Jennifer was named to Marijuana Venture’s “40 Under 40” list.</w:t>
      </w:r>
    </w:p>
    <w:p>
      <w:pPr>
        <w:spacing w:after="0" w:line="17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i w:val="1"/>
          <w:iCs w:val="1"/>
          <w:color w:val="auto"/>
        </w:rPr>
        <w:t>Anthony Georgiadis, Chief Financial Officer and Director</w:t>
      </w:r>
      <w:r>
        <w:rPr>
          <w:rFonts w:ascii="Arial" w:cs="Arial" w:eastAsia="Arial" w:hAnsi="Arial"/>
          <w:sz w:val="18"/>
          <w:szCs w:val="18"/>
          <w:color w:val="auto"/>
        </w:rPr>
        <w:t>. Anthony joined GTI in May 2015 as a managing partner and in January 2017 became</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Director. In 2005, Anthony co-founded and, until he joined GTI, acted as Chief Operating Officer of Wendover Art Group, one of the largest domestic wall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 xml:space="preserve">décor manufacturers in North America. Previously, he worked as an investment associate for CIVC Partners, a $1.5 billion private equity firm, and as an M&amp;A analyst for Bowles Hollowell Conner &amp; Co. Anthony became involved in the cannabis industry in 2014 after exploring CBD for treatment on his Swiss mountain dog, who suffered from epilepsy. Anthony is an avid supporter of Students for Sensible Drug Policy, the Drug Policy Alliance, the Marijuana Policy Project and the Special Operations Warriors Foundation. Anthony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Bucknell University with a degree in finance and a minor in mathematics.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 xml:space="preserve">Julie Knudson, Chief People Officer. </w:t>
      </w:r>
      <w:r>
        <w:rPr>
          <w:rFonts w:ascii="Arial" w:cs="Arial" w:eastAsia="Arial" w:hAnsi="Arial"/>
          <w:sz w:val="18"/>
          <w:szCs w:val="18"/>
          <w:color w:val="auto"/>
        </w:rPr>
        <w:t>Julie Knudson joined GTI in August 2019 as the Chief People Officer. From February 2015 to March 2018,</w:t>
      </w:r>
      <w:r>
        <w:rPr>
          <w:rFonts w:ascii="Arial" w:cs="Arial" w:eastAsia="Arial" w:hAnsi="Arial"/>
          <w:sz w:val="18"/>
          <w:szCs w:val="18"/>
          <w:i w:val="1"/>
          <w:iCs w:val="1"/>
          <w:color w:val="auto"/>
        </w:rPr>
        <w:t xml:space="preserve"> </w:t>
      </w:r>
      <w:r>
        <w:rPr>
          <w:rFonts w:ascii="Arial" w:cs="Arial" w:eastAsia="Arial" w:hAnsi="Arial"/>
          <w:sz w:val="18"/>
          <w:szCs w:val="18"/>
          <w:color w:val="auto"/>
        </w:rPr>
        <w:t>Julie was Senior Vice President and Chief Human Resources Officer at GGP Inc., an S&amp;P 500 company. Prior to GGP, Julie was the head of human resources in public companies Echo Global Logistics, DigitalGlobe and YesMail and held leadership positions at Accenture including as Vice President Human Resources for its subsidiary Navitaire. She also spent time in Rwanda as the Country Director for The Clinton Foundation. She started her career in consulting and brings 30 years of business and global human resources leadership experience. Julie has a Bachelor of Science in Accountancy from the University of Illinois, graduating with Bronze Tablet honors, and a Sloan Master’s in Leadership and Strategy from the London Business School, graduating with distinction. Julie has been a director of a private foundation and is an Advisory Council Member of Youth Guidance’s WOW (Working on Womanhood) program.</w:t>
      </w:r>
    </w:p>
    <w:p>
      <w:pPr>
        <w:spacing w:after="0" w:line="19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Benjamin Kovler, Founder, Chief Executive Officer and Chairman</w:t>
      </w:r>
      <w:r>
        <w:rPr>
          <w:rFonts w:ascii="Arial" w:cs="Arial" w:eastAsia="Arial" w:hAnsi="Arial"/>
          <w:sz w:val="17"/>
          <w:szCs w:val="17"/>
          <w:color w:val="auto"/>
        </w:rPr>
        <w:t>. Benjamin founded GTI in 2014. He has been Chairman since 2014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from 2014 through year-end 2017 and since August 2018. Benjamin is frequently featured as a cannabis industry thought leader in media outlets such as Bloomberg, Barron’s, Business Insider, CNBC and Forbes. He is also co-founder and Chief Executive Officer since 2009 of Invest For Kids (“</w:t>
      </w:r>
      <w:r>
        <w:rPr>
          <w:rFonts w:ascii="Arial" w:cs="Arial" w:eastAsia="Arial" w:hAnsi="Arial"/>
          <w:sz w:val="17"/>
          <w:szCs w:val="17"/>
          <w:b w:val="1"/>
          <w:bCs w:val="1"/>
          <w:color w:val="auto"/>
        </w:rPr>
        <w:t>IFK</w:t>
      </w:r>
      <w:r>
        <w:rPr>
          <w:rFonts w:ascii="Arial" w:cs="Arial" w:eastAsia="Arial" w:hAnsi="Arial"/>
          <w:sz w:val="17"/>
          <w:szCs w:val="17"/>
          <w:color w:val="auto"/>
        </w:rPr>
        <w:t>”), an annual forum bringing together portfolio managers, family offices and analysts to share investment ideas to benefit children in Illinois. In its first 11 years, IFK generated more than $15 million to benefit 60 youth organizations that have helped 80,000 children. Benjamin is also on the board of the Providence St. Mel School and the Academy for Global Citizenship. Benjamin brings to GTI his extensive experience managing complex operating companies and deep commitment to philanthropy. He earned a Bachelor of Arts in philosophy, politics and economics from Pomona College and an MBA in accounting and finance from The University of Chicago.</w:t>
      </w:r>
    </w:p>
    <w:p>
      <w:pPr>
        <w:spacing w:after="0" w:line="179"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i w:val="1"/>
          <w:iCs w:val="1"/>
          <w:color w:val="auto"/>
        </w:rPr>
        <w:t xml:space="preserve">Armen Yemenidjian, President. </w:t>
      </w:r>
      <w:r>
        <w:rPr>
          <w:rFonts w:ascii="Arial" w:cs="Arial" w:eastAsia="Arial" w:hAnsi="Arial"/>
          <w:sz w:val="17"/>
          <w:szCs w:val="17"/>
          <w:color w:val="auto"/>
        </w:rPr>
        <w:t>Armen Yemenidjian joined GTI as President in June 2019 at the time of GTI’s acquisition of Integral Associates.</w:t>
      </w:r>
      <w:r>
        <w:rPr>
          <w:rFonts w:ascii="Arial" w:cs="Arial" w:eastAsia="Arial" w:hAnsi="Arial"/>
          <w:sz w:val="17"/>
          <w:szCs w:val="17"/>
          <w:i w:val="1"/>
          <w:iCs w:val="1"/>
          <w:color w:val="auto"/>
        </w:rPr>
        <w:t xml:space="preserve"> </w:t>
      </w:r>
      <w:r>
        <w:rPr>
          <w:rFonts w:ascii="Arial" w:cs="Arial" w:eastAsia="Arial" w:hAnsi="Arial"/>
          <w:sz w:val="17"/>
          <w:szCs w:val="17"/>
          <w:color w:val="auto"/>
        </w:rPr>
        <w:t>Armen co-founded Integral Associates I and Integral Associates II in April 2014 and September 2014, respectively, medical and adult use cannabis companies that owned and operated three Essence Vegas dispensaries and two state-of-the-art cultivation and production facilities (d/b/a Desert Grown Farms and Cannabiotix NV). He also co-founded Armenco Capital LLC in April 2013, a commercial and residential real estate investment company, and Armenco Restaurant Group in October 2014, a franchisee of Jersey Mike’s in Las Vegas. Armen began his career at Tropicana Hotel &amp; Casino in Las Vegas in August 2009 in the Marketing Department, subsequently moving to Casino Operations and Player Development in December 2009, in which he held various roles, including Special Projects Manager and Vice President of Casino Marketing and Operations. Until the sale of Tropicana in July 2015, he was a member of the Tropicana Las Vegas executive committee from June 2013 to July 2015 as well as the casino credit and compliance committee from October 2011 to July 2015. Armen is a member of the Nevada Dispensary Association and the Nevada Cannabis Coalition, was appointed by the Clark County Commission to serve on the Cannabis Green Ribbon Panel in March 2017 and was selected by the State of Nevada to participate in the Governor’s Task Force on Cultivation. In 2017, Armen was named to Vegas Inc.’s “40 Under 40” list and, in 2018, he was named as one of High Times’ “100 Most Influential People in Cannabis.” Armen holds a Bachelor’s degree in Business Administration from the University of Southern California.</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currently has an audit committee and compensation committee. A brief description of each committee is set out below.</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Composition of the Audit Committee.</w:t>
      </w:r>
    </w:p>
    <w:p>
      <w:pPr>
        <w:spacing w:after="0" w:line="221"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The audit committee of the Board (the “</w:t>
      </w:r>
      <w:r>
        <w:rPr>
          <w:rFonts w:ascii="Arial" w:cs="Arial" w:eastAsia="Arial" w:hAnsi="Arial"/>
          <w:sz w:val="18"/>
          <w:szCs w:val="18"/>
          <w:b w:val="1"/>
          <w:bCs w:val="1"/>
          <w:color w:val="auto"/>
        </w:rPr>
        <w:t>Audit Committee</w:t>
      </w:r>
      <w:r>
        <w:rPr>
          <w:rFonts w:ascii="Arial" w:cs="Arial" w:eastAsia="Arial" w:hAnsi="Arial"/>
          <w:sz w:val="18"/>
          <w:szCs w:val="18"/>
          <w:color w:val="auto"/>
        </w:rPr>
        <w:t>”) assists the Corporation’s Board in fulfilling its responsibilities for oversight of financial, audit and accounting matters. The Audit Committee reviews the financial reports and other financial information provided by the Corporation to regulatory authorities and its shareholders, as well as reviews the Corporation’s system of internal controls regarding finance and accounting, including auditing, accounting and financial reporting processes.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of this registration statement, the following are the members of the Audit Committee:</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Name of Member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Independent</w:t>
            </w:r>
            <w:r>
              <w:rPr>
                <w:rFonts w:ascii="Arial" w:cs="Arial" w:eastAsia="Arial" w:hAnsi="Arial"/>
                <w:sz w:val="12"/>
                <w:szCs w:val="12"/>
                <w:b w:val="1"/>
                <w:bCs w:val="1"/>
                <w:color w:val="auto"/>
                <w:w w:val="91"/>
              </w:rPr>
              <w:t>(1)</w:t>
            </w:r>
          </w:p>
        </w:tc>
        <w:tc>
          <w:tcPr>
            <w:tcW w:w="2480" w:type="dxa"/>
            <w:vAlign w:val="bottom"/>
            <w:gridSpan w:val="2"/>
          </w:tcPr>
          <w:p>
            <w:pPr>
              <w:jc w:val="center"/>
              <w:ind w:left="1048"/>
              <w:spacing w:after="0"/>
              <w:rPr>
                <w:sz w:val="20"/>
                <w:szCs w:val="20"/>
                <w:color w:val="auto"/>
              </w:rPr>
            </w:pPr>
            <w:r>
              <w:rPr>
                <w:rFonts w:ascii="Arial" w:cs="Arial" w:eastAsia="Arial" w:hAnsi="Arial"/>
                <w:sz w:val="14"/>
                <w:szCs w:val="14"/>
                <w:b w:val="1"/>
                <w:bCs w:val="1"/>
                <w:color w:val="auto"/>
                <w:w w:val="96"/>
              </w:rPr>
              <w:t>Financially Literate</w:t>
            </w:r>
            <w:r>
              <w:rPr>
                <w:rFonts w:ascii="Arial" w:cs="Arial" w:eastAsia="Arial" w:hAnsi="Arial"/>
                <w:sz w:val="12"/>
                <w:szCs w:val="12"/>
                <w:b w:val="1"/>
                <w:bCs w:val="1"/>
                <w:color w:val="auto"/>
                <w:w w:val="96"/>
              </w:rPr>
              <w:t>(2)</w:t>
            </w:r>
          </w:p>
        </w:tc>
      </w:tr>
      <w:tr>
        <w:trPr>
          <w:trHeight w:val="203"/>
        </w:trPr>
        <w:tc>
          <w:tcPr>
            <w:tcW w:w="20" w:type="dxa"/>
            <w:vAlign w:val="bottom"/>
          </w:tcPr>
          <w:p>
            <w:pPr>
              <w:spacing w:after="0"/>
              <w:rPr>
                <w:sz w:val="17"/>
                <w:szCs w:val="17"/>
                <w:color w:val="auto"/>
              </w:rPr>
            </w:pPr>
          </w:p>
        </w:tc>
        <w:tc>
          <w:tcPr>
            <w:tcW w:w="1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Glen Senk</w:t>
            </w:r>
          </w:p>
        </w:tc>
        <w:tc>
          <w:tcPr>
            <w:tcW w:w="3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c>
          <w:tcPr>
            <w:tcW w:w="1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Wes Moore</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Gruver (Chair)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right="120" w:hanging="436"/>
        <w:spacing w:after="0" w:line="25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member of the Audit Committee is independent if he or she has no direct or indirect ‘material relationship’ with the Corporation. A material relationship is a relationship which could, in the view of the Corporation’s Board, reasonably interfere with the exercise of a member’s independent judgment. An executive officer of the Corporation, such as the President or Secretary, is deemed to have a material relationship with the Corporation.</w:t>
      </w:r>
    </w:p>
    <w:p>
      <w:pPr>
        <w:spacing w:after="0" w:line="2"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29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Relevant Education and Experience</w:t>
      </w:r>
    </w:p>
    <w:p>
      <w:pPr>
        <w:spacing w:after="0" w:line="117" w:lineRule="exact"/>
        <w:rPr>
          <w:sz w:val="20"/>
          <w:szCs w:val="20"/>
          <w:color w:val="auto"/>
        </w:rPr>
      </w:pPr>
    </w:p>
    <w:p>
      <w:pPr>
        <w:ind w:left="200" w:right="820" w:firstLine="441"/>
        <w:spacing w:after="0" w:line="342" w:lineRule="auto"/>
        <w:rPr>
          <w:sz w:val="20"/>
          <w:szCs w:val="20"/>
          <w:color w:val="auto"/>
        </w:rPr>
      </w:pPr>
      <w:r>
        <w:rPr>
          <w:rFonts w:ascii="Arial" w:cs="Arial" w:eastAsia="Arial" w:hAnsi="Arial"/>
          <w:sz w:val="16"/>
          <w:szCs w:val="16"/>
          <w:color w:val="auto"/>
        </w:rPr>
        <w:t>Each member of the Audit Committee has experience relevant to his or her responsibilities as an Audit Committee member. See Item 5 —“Director and Executive Officer Biographies” for a description of the education and experience of each Audit Committee member.</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 Oversight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At no time since the commencement of the Corporation’s most recently completed fiscal year was a recommendation of the Audit Committee to nominate or compensate an external auditor not adopted by the Board.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Committee’s Charter</w:t>
      </w:r>
    </w:p>
    <w:p>
      <w:pPr>
        <w:spacing w:after="0" w:line="117"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Board has adopted a written charter for the Audit Committee, which sets out the Audit Committee’s responsibilities. The Audit Committee’s principal duties and responsibilities include assisting the Board in discharging the oversight of: (i) the Corporation’s internal audit function; (ii) the integrity of our consolidated financial statements and accounting and financial processes and the audits of our consolidated financial statements;</w:t>
      </w:r>
    </w:p>
    <w:p>
      <w:pPr>
        <w:ind w:left="5620" w:right="4020" w:hanging="5416"/>
        <w:spacing w:after="0" w:line="473" w:lineRule="auto"/>
        <w:tabs>
          <w:tab w:leader="none" w:pos="5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compliance with legal and regulatory requirements; (iv) external auditors’ qualifications and 76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independence; (v) the work and performance of financial management and external auditors; and (vi) system of disclosure controls and procedures and system of internal controls regarding finance, accounting, legal compliance and risk management established by management and the Board. The Audit Committee has access to all books, records, facilities and personnel and may request any information about us as it may deem appropriate. It will also have the authority to retain and compensate special legal, accounting, financial and other consultants or advisors to advise the Audit Committee.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assists the Corporation’s Board in fulfilling its responsibilities for compensation philosophy and guidelines. The Compensation Committee also has responsibility for fixing compensation levels for the Corporation’s executive officers. In addition, the Compensation Committee is charged with reviewing the Stock and Incentive Plan (as hereinafter defined) and proposing changes thereto, approving any awards of options under the Stock and Incentive Plan and recommending any other employee benefit plans, incentive awards and perquisites with respect to the Corporation’s executive officers. The Compensation Committee is also responsible for reviewing, approving and reporting to the Corporation’s Board annually (or more frequently as required) on the Corporation’s succession plans for its executive officers. The current members of the Compensation Committee include the following three directors: (1) Glen Senk (Chair), (2) Wes Moore and (3) Wendy Berger.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details on the Compensation Committee, see Item 6—“Compensation Governance.”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Qualifications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each of the members of our Board has the experience, qualifications, attributes and skills that make him or her suitable to serve as our director, in light of our highly regulated cannabis business, our complex operations and large number of employees. See Item 5—“Director and Executive Officer Biographies” for a description of the education and experience of each director.</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Benjamin Kovler </w:t>
      </w:r>
      <w:r>
        <w:rPr>
          <w:rFonts w:ascii="Arial" w:cs="Arial" w:eastAsia="Arial" w:hAnsi="Arial"/>
          <w:sz w:val="17"/>
          <w:szCs w:val="17"/>
          <w:color w:val="auto"/>
        </w:rPr>
        <w:t>serves as the Chief Executive Officer of GTI and has served as a Director of the Board since he founded GTI in 2014.</w:t>
      </w:r>
    </w:p>
    <w:p>
      <w:pPr>
        <w:spacing w:after="0" w:line="3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Mr. Kovler also serves as the Chief Executive Officer of Invest For Kids (IFK), and is on the board of the Providence St. Mel School and Academy for Global Citizenship.</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Kovler’s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deep understanding of GTI and the industry;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i w:val="1"/>
          <w:iCs w:val="1"/>
          <w:color w:val="auto"/>
        </w:rPr>
        <w:t xml:space="preserve">Anthony Georgiadis </w:t>
      </w:r>
      <w:r>
        <w:rPr>
          <w:rFonts w:ascii="Arial" w:cs="Arial" w:eastAsia="Arial" w:hAnsi="Arial"/>
          <w:sz w:val="18"/>
          <w:szCs w:val="18"/>
          <w:color w:val="auto"/>
        </w:rPr>
        <w:t>serves as the Chief Financial Officer of GTI and has served as a Director of the Board since 2016. Mr. Georgiadis was</w:t>
      </w:r>
      <w:r>
        <w:rPr>
          <w:rFonts w:ascii="Arial" w:cs="Arial" w:eastAsia="Arial" w:hAnsi="Arial"/>
          <w:sz w:val="18"/>
          <w:szCs w:val="18"/>
          <w:i w:val="1"/>
          <w:iCs w:val="1"/>
          <w:color w:val="auto"/>
        </w:rPr>
        <w:t xml:space="preserve"> </w:t>
      </w:r>
      <w:r>
        <w:rPr>
          <w:rFonts w:ascii="Arial" w:cs="Arial" w:eastAsia="Arial" w:hAnsi="Arial"/>
          <w:sz w:val="18"/>
          <w:szCs w:val="18"/>
          <w:color w:val="auto"/>
        </w:rPr>
        <w:t>formerly a principal investing associate for CIVC Partners and an M&amp;A analyst for Bowles Hollowell Connor &amp; Co.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Georgiadis’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deep understanding of the cannabis industry;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 financial reporting and analysis expertise.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24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 xml:space="preserve">Wendy Berger </w:t>
      </w:r>
      <w:r>
        <w:rPr>
          <w:rFonts w:ascii="Arial" w:cs="Arial" w:eastAsia="Arial" w:hAnsi="Arial"/>
          <w:sz w:val="18"/>
          <w:szCs w:val="18"/>
          <w:color w:val="auto"/>
        </w:rPr>
        <w:t>has served as a Director of the Board since February 2015. Ms. Berger is also a principal of WBS Equities, LLC and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Operating Officer of Neoglyphics Media Corporation.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Ms. Berger’s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deep understanding of real estate planning, development and transactions;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 xml:space="preserve">Glen Senk </w:t>
      </w:r>
      <w:r>
        <w:rPr>
          <w:rFonts w:ascii="Arial" w:cs="Arial" w:eastAsia="Arial" w:hAnsi="Arial"/>
          <w:sz w:val="18"/>
          <w:szCs w:val="18"/>
          <w:color w:val="auto"/>
        </w:rPr>
        <w:t>has served as a Director of the Board since June 2018. Mr. Senk previously served as Senior Vice President and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Bloomingdale’s and, in 1989, became chief executive of Habitat International Merchandise and Marketing Group. Mr. Senk served as Chief Executive Officer for David Yurman from February 2012 to February 2014 and currently serves as Chairman and CEO of Front Row Partners and board member of Aritzia. Mr. Senk was a Senior Vice President and General Merchandise Manager at Williams-Sonoma, a President of Anthropologie and board member of Urban Outfitters.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Senk’s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deep understanding of GTI and the retail industry;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i w:val="1"/>
          <w:iCs w:val="1"/>
          <w:color w:val="auto"/>
        </w:rPr>
        <w:t xml:space="preserve">Wes Moore </w:t>
      </w:r>
      <w:r>
        <w:rPr>
          <w:rFonts w:ascii="Arial" w:cs="Arial" w:eastAsia="Arial" w:hAnsi="Arial"/>
          <w:sz w:val="18"/>
          <w:szCs w:val="18"/>
          <w:color w:val="auto"/>
        </w:rPr>
        <w:t>has served as a Director of the Board since July 2018. Mr. Moore was the founder and Chief Executive Officer at BridgeEdU,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Chief Executive Officer at Robin Hood.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Moore’s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deep understanding of social impact and entrepreneurship;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William Gruver </w:t>
      </w:r>
      <w:r>
        <w:rPr>
          <w:rFonts w:ascii="Arial" w:cs="Arial" w:eastAsia="Arial" w:hAnsi="Arial"/>
          <w:sz w:val="18"/>
          <w:szCs w:val="18"/>
          <w:color w:val="auto"/>
        </w:rPr>
        <w:t>has served as a Director of the Board since April 2019. Mr. Gruver currently serves on two additional audit committees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Geisinger Health and Private Client Bank. Mr. Gruver was named the Chief Administrative Officer of Goldman, Sachs &amp; Co.’s equities division during his tenure with Goldman Sachs.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Gruver’s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 and financial reporting expertise;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Alejandro Yemenidjian </w:t>
      </w:r>
      <w:r>
        <w:rPr>
          <w:rFonts w:ascii="Arial" w:cs="Arial" w:eastAsia="Arial" w:hAnsi="Arial"/>
          <w:sz w:val="16"/>
          <w:szCs w:val="16"/>
          <w:color w:val="auto"/>
        </w:rPr>
        <w:t>has served as a Director of the Board since June 2019 and is a Co-Founder and Managing Director of Integral Associates,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acquired by GTI. Currently, he serves as Chairman of the Board and Chief Executive Officer of Armenco Holdings, LLC. Previously,</w:t>
      </w:r>
    </w:p>
    <w:p>
      <w:pPr>
        <w:ind w:left="200" w:right="40"/>
        <w:spacing w:after="0" w:line="261" w:lineRule="auto"/>
        <w:rPr>
          <w:sz w:val="20"/>
          <w:szCs w:val="20"/>
          <w:color w:val="auto"/>
        </w:rPr>
      </w:pPr>
      <w:r>
        <w:rPr>
          <w:rFonts w:ascii="Arial" w:cs="Arial" w:eastAsia="Arial" w:hAnsi="Arial"/>
          <w:sz w:val="18"/>
          <w:szCs w:val="18"/>
          <w:color w:val="auto"/>
        </w:rPr>
        <w:t>Mr. Yemenidjian served on the board and as a director for several businesses such as Tropicana Las Vegas Hotel &amp; Casino, Inc., Metro-Goldwyn-Mayer Inc., MGM Resorts International, Inc., Guess?, Inc., and Regal Entertainment Group.</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Yemenidjian’s specific qualifications, experience, skills and expertise include:</w:t>
      </w:r>
    </w:p>
    <w:p>
      <w:pPr>
        <w:spacing w:after="0" w:line="131" w:lineRule="exact"/>
        <w:rPr>
          <w:sz w:val="20"/>
          <w:szCs w:val="20"/>
          <w:color w:val="auto"/>
        </w:rPr>
      </w:pPr>
    </w:p>
    <w:p>
      <w:pPr>
        <w:ind w:left="5620" w:right="5400" w:hanging="4876"/>
        <w:spacing w:after="0" w:line="536" w:lineRule="auto"/>
        <w:tabs>
          <w:tab w:leader="none" w:pos="117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Core business skills, including financial and strategic planning; 78</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deep understanding of the industry and entrepreneurship;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these qualifications bring a broad set of complementary experience to the Board’s discharge of its responsibilities.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Interest—Board Leadership Structure and Risk Oversight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Conflicts of interest may arise as a result of the directors, officers and promoters of the Corporation also holding positions as directors or officers of other companies. Some of the individuals that are directors and officers of the Corporation have been and will continue to be engaged in the identification and evaluation of assets, businesses and companies on their own behalf and on behalf of other companies, and situations may arise where the directors and officers of the Corporation will be in direct competition with the Corporation. Conflicts, if any, will be subject to the procedures and remedies provided under the BCBCA.</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EXECUTIVE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Executive Compensation</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Board is authorized to review and approve annually all compensation decisions relating to the executive officers of the Corporation. In accordance with reduced disclosure rules applicable to emerging growth companies as set forth in Item 402 of Regulation S-K, this section explains how the Corporation’s compensation program is structured for its Chief Executive Officer and the other executive officers named in the Summary Compensation Table (the “</w:t>
      </w:r>
      <w:r>
        <w:rPr>
          <w:rFonts w:ascii="Arial" w:cs="Arial" w:eastAsia="Arial" w:hAnsi="Arial"/>
          <w:sz w:val="18"/>
          <w:szCs w:val="18"/>
          <w:b w:val="1"/>
          <w:bCs w:val="1"/>
          <w:color w:val="auto"/>
        </w:rPr>
        <w:t>named executive officers</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Governance</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Board has not adopted any formal policies or procedures to determine the compensation of the Corporation’s directors or executive officers. The compensation of the directors and executive officers is determined by the Board, based on the recommendations of the Compensation Committee. Recommendations of the Compensation Committee are made giving consideration to the objectives discussed below and, if applicable, considering applicable industry data.</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Compensation Committee currently consists of three directors: Glen Senk (Chair), Wes Moore and Wendy Berger, all of whom have direct and indirect experience relevant to their roles as members of the Compensation Committee. Glen Senk and Wes Moore are independent director members of the Compensation Committee. For details regarding the experience of the members of the Compensation Committee, see Item 5—“Director and Executive Officer Biographies” and “Board Qualifications.”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role and responsibility of the Compensation Committee is to assist the Board in fulfilling its responsibilities for establishing compensation philosophy and guidelines. Additionally, the Compensation Committee has responsibility for fixing compensation levels for the directors and executive officers and for entering into employment, severance protection, change in control and related agreements and plans for the CEO and other executive officers, provided that any individual agreement with the CEO is subject to Board approval. In addition, the Compensation Committee is charged with reviewing the Stock and Incentive Plan (as hereinafter defined) and proposing changes thereto, approving any awards of options under the Stock and Incentive Plan and recommending any other employee benefit plans, incentive awards and perquisites with respect to the directors and executive officers. The Compensation Committee is also responsible for reviewing, approving and reporting to the Board annually (or more frequently as required) on the Corporation’s succession plans for its executive officers.</w:t>
      </w:r>
    </w:p>
    <w:p>
      <w:pPr>
        <w:spacing w:after="0" w:line="17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Compensation Committee endeavors to ensure that the philosophy and operation of the Corporation’s compensation program reinforces its culture and values, creates a balance between risk and reward, attracts,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motivates and retains executive officers over the long-term and aligns their interests with those of the Corporation’s shareholders. In addition, the Compensation Committee is to review the Corporation’s annual disclosure regarding executive compensation for inclusion where appropriate in the Corporation’s disclosure documents.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jc w:val="both"/>
        <w:ind w:left="200" w:right="60" w:firstLine="996"/>
        <w:spacing w:after="0" w:line="279" w:lineRule="auto"/>
        <w:tabs>
          <w:tab w:leader="none" w:pos="1507"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the fixed portion of each executive officer’s total compensation. It is designed to provide income certainty.</w:t>
      </w:r>
      <w:r>
        <w:rPr>
          <w:rFonts w:ascii="Arial" w:cs="Arial" w:eastAsia="Arial" w:hAnsi="Arial"/>
          <w:sz w:val="17"/>
          <w:szCs w:val="17"/>
          <w:i w:val="1"/>
          <w:iCs w:val="1"/>
          <w:color w:val="auto"/>
        </w:rPr>
        <w:t xml:space="preserve"> </w:t>
      </w:r>
      <w:r>
        <w:rPr>
          <w:rFonts w:ascii="Arial" w:cs="Arial" w:eastAsia="Arial" w:hAnsi="Arial"/>
          <w:sz w:val="17"/>
          <w:szCs w:val="17"/>
          <w:color w:val="auto"/>
        </w:rPr>
        <w:t>In determining the base level of compensation for the executive officers, weight is placed on the following factors: the particular responsibilities related to the position, salaries or fees paid by companies of similar size in the industry, level of experience of the executive and overall performance and the time which the executive officer is required to devote to the Corporation in fulfilling his or her responsibilities.</w:t>
      </w:r>
    </w:p>
    <w:p>
      <w:pPr>
        <w:spacing w:after="0" w:line="171" w:lineRule="exact"/>
        <w:rPr>
          <w:rFonts w:ascii="Arial" w:cs="Arial" w:eastAsia="Arial" w:hAnsi="Arial"/>
          <w:sz w:val="17"/>
          <w:szCs w:val="17"/>
          <w:color w:val="auto"/>
        </w:rPr>
      </w:pPr>
    </w:p>
    <w:p>
      <w:pPr>
        <w:ind w:left="200" w:firstLine="996"/>
        <w:spacing w:after="0" w:line="272" w:lineRule="auto"/>
        <w:tabs>
          <w:tab w:leader="none" w:pos="1507"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Short-Term Incentive Awards. </w:t>
      </w:r>
      <w:r>
        <w:rPr>
          <w:rFonts w:ascii="Arial" w:cs="Arial" w:eastAsia="Arial" w:hAnsi="Arial"/>
          <w:sz w:val="17"/>
          <w:szCs w:val="17"/>
          <w:color w:val="auto"/>
        </w:rPr>
        <w:t>A cash incentive payment or bonus is a short-term incentive that is intended to reward each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for his or her individual contribution and performance of personal objectives in the context of overall corporate performance. Cash bonuses are designed to motivate executive officers to achieve personal business objectives and to be accountable for their relative contribution to the Corporation’s performance, as well as to attract and retain executives. In determining compensation and, in particular, bonuses, the Compensation Committee and the Board consider factors over which the executive officer can exercise control, such as their role in identifying and completing acquisitions and integrating such acquisitions into the Corporation’s business, meeting any budget targets established by controlling costs, taking successful advantage of business opportunities and enhancing the competitive and business prospects of the Corporation.</w:t>
      </w:r>
    </w:p>
    <w:p>
      <w:pPr>
        <w:spacing w:after="0" w:line="177" w:lineRule="exact"/>
        <w:rPr>
          <w:rFonts w:ascii="Arial" w:cs="Arial" w:eastAsia="Arial" w:hAnsi="Arial"/>
          <w:sz w:val="17"/>
          <w:szCs w:val="17"/>
          <w:color w:val="auto"/>
        </w:rPr>
      </w:pPr>
    </w:p>
    <w:p>
      <w:pPr>
        <w:ind w:left="200" w:right="60" w:firstLine="996"/>
        <w:spacing w:after="0" w:line="287" w:lineRule="auto"/>
        <w:tabs>
          <w:tab w:leader="none" w:pos="150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Incentive Awards. </w:t>
      </w:r>
      <w:r>
        <w:rPr>
          <w:rFonts w:ascii="Arial" w:cs="Arial" w:eastAsia="Arial" w:hAnsi="Arial"/>
          <w:sz w:val="16"/>
          <w:szCs w:val="16"/>
          <w:color w:val="auto"/>
        </w:rPr>
        <w:t>Long-term incentives are intended to align the interests of the Corporation’s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with those of the shareholders and to provide a long-term incentive that rewards these parties for their contribution to the creation of shareholder value. In establishing the number of nonqualified stock options (“</w:t>
      </w:r>
      <w:r>
        <w:rPr>
          <w:rFonts w:ascii="Arial" w:cs="Arial" w:eastAsia="Arial" w:hAnsi="Arial"/>
          <w:sz w:val="16"/>
          <w:szCs w:val="16"/>
          <w:b w:val="1"/>
          <w:bCs w:val="1"/>
          <w:color w:val="auto"/>
        </w:rPr>
        <w:t>NQSOs</w:t>
      </w:r>
      <w:r>
        <w:rPr>
          <w:rFonts w:ascii="Arial" w:cs="Arial" w:eastAsia="Arial" w:hAnsi="Arial"/>
          <w:sz w:val="16"/>
          <w:szCs w:val="16"/>
          <w:color w:val="auto"/>
        </w:rPr>
        <w:t>”), incentive stock options (“</w:t>
      </w:r>
      <w:r>
        <w:rPr>
          <w:rFonts w:ascii="Arial" w:cs="Arial" w:eastAsia="Arial" w:hAnsi="Arial"/>
          <w:sz w:val="16"/>
          <w:szCs w:val="16"/>
          <w:b w:val="1"/>
          <w:bCs w:val="1"/>
          <w:color w:val="auto"/>
        </w:rPr>
        <w:t>ISOs</w:t>
      </w:r>
      <w:r>
        <w:rPr>
          <w:rFonts w:ascii="Arial" w:cs="Arial" w:eastAsia="Arial" w:hAnsi="Arial"/>
          <w:sz w:val="16"/>
          <w:szCs w:val="16"/>
          <w:color w:val="auto"/>
        </w:rPr>
        <w:t>”) (collectively, “</w:t>
      </w:r>
      <w:r>
        <w:rPr>
          <w:rFonts w:ascii="Arial" w:cs="Arial" w:eastAsia="Arial" w:hAnsi="Arial"/>
          <w:sz w:val="16"/>
          <w:szCs w:val="16"/>
          <w:b w:val="1"/>
          <w:bCs w:val="1"/>
          <w:color w:val="auto"/>
        </w:rPr>
        <w:t>Options</w:t>
      </w:r>
      <w:r>
        <w:rPr>
          <w:rFonts w:ascii="Arial" w:cs="Arial" w:eastAsia="Arial" w:hAnsi="Arial"/>
          <w:sz w:val="16"/>
          <w:szCs w:val="16"/>
          <w:color w:val="auto"/>
        </w:rPr>
        <w:t>”) and restricted stock units (“</w:t>
      </w:r>
      <w:r>
        <w:rPr>
          <w:rFonts w:ascii="Arial" w:cs="Arial" w:eastAsia="Arial" w:hAnsi="Arial"/>
          <w:sz w:val="16"/>
          <w:szCs w:val="16"/>
          <w:b w:val="1"/>
          <w:bCs w:val="1"/>
          <w:color w:val="auto"/>
        </w:rPr>
        <w:t>RSU Awards</w:t>
      </w:r>
      <w:r>
        <w:rPr>
          <w:rFonts w:ascii="Arial" w:cs="Arial" w:eastAsia="Arial" w:hAnsi="Arial"/>
          <w:sz w:val="16"/>
          <w:szCs w:val="16"/>
          <w:color w:val="auto"/>
        </w:rPr>
        <w:t>”) to be granted, reference is made to the recommendations made by the Compensation Committee as well as, from time to time, the number of similar awards granted to officers and directors of other publicly-traded companies of similar size in the same business as the Corporation. The Compensation Committee and the Board also consider previous grants of Options or RSU Awards and the overall number of Options or RSU Awards that are outstanding relative to the number of outstanding securities in determining whether to make any new grants of Options or RSU Awards and the size and terms of any such grants. With respect to executive officers, the Compensation Committee and the Board also consider the level of effort, time, responsibility, ability, experience and level of commitment of the executive officer in determining the level of long-term equity incentive awards. With respect to directors, the Compensation Committee and the Board also consider committee assignments and committee chair responsibilities, as well as the overall time requirements of the Board members in determining the level of long-term equity incentive awards.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all compensation paid to or earned by the named executive officers of the Corporation in the last two (2) fiscal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399"/>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80" w:type="dxa"/>
            <w:vAlign w:val="bottom"/>
            <w:gridSpan w:val="3"/>
            <w:vMerge w:val="restart"/>
          </w:tcPr>
          <w:p>
            <w:pPr>
              <w:jc w:val="center"/>
              <w:ind w:right="199"/>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w w:val="82"/>
              </w:rPr>
              <w:t>Bonus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8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6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5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19"/>
              <w:spacing w:after="0" w:line="145"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780" w:type="dxa"/>
            <w:vAlign w:val="bottom"/>
            <w:gridSpan w:val="3"/>
          </w:tcPr>
          <w:p>
            <w:pPr>
              <w:jc w:val="center"/>
              <w:ind w:right="199"/>
              <w:spacing w:after="0" w:line="145"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3"/>
          </w:tcPr>
          <w:p>
            <w:pPr>
              <w:jc w:val="center"/>
              <w:ind w:left="8"/>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3"/>
              </w:rPr>
              <w:t>Earnings</w:t>
            </w:r>
          </w:p>
        </w:tc>
        <w:tc>
          <w:tcPr>
            <w:tcW w:w="1500" w:type="dxa"/>
            <w:vAlign w:val="bottom"/>
            <w:gridSpan w:val="4"/>
          </w:tcPr>
          <w:p>
            <w:pPr>
              <w:ind w:left="180"/>
              <w:spacing w:after="0" w:line="145"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4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2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center"/>
              <w:ind w:right="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3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2018</w:t>
            </w:r>
          </w:p>
        </w:tc>
        <w:tc>
          <w:tcPr>
            <w:tcW w:w="240" w:type="dxa"/>
            <w:vAlign w:val="bottom"/>
            <w:tcBorders>
              <w:top w:val="single" w:sz="8" w:color="CCEEFF"/>
            </w:tcBorders>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w w:val="81"/>
              </w:rPr>
              <w:t>(2)</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5"/>
              </w:rPr>
              <w:t>$312,185</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w w:val="95"/>
              </w:rPr>
              <w:t>$241,400</w:t>
            </w:r>
          </w:p>
        </w:tc>
        <w:tc>
          <w:tcPr>
            <w:tcW w:w="220" w:type="dxa"/>
            <w:vAlign w:val="bottom"/>
            <w:tcBorders>
              <w:top w:val="single" w:sz="8" w:color="CCEEFF"/>
            </w:tcBorders>
            <w:shd w:val="clear" w:color="auto" w:fill="CCEEFF"/>
          </w:tcPr>
          <w:p>
            <w:pPr>
              <w:jc w:val="right"/>
              <w:ind w:right="19"/>
              <w:spacing w:after="0" w:line="117" w:lineRule="exact"/>
              <w:rPr>
                <w:sz w:val="20"/>
                <w:szCs w:val="20"/>
                <w:color w:val="auto"/>
              </w:rPr>
            </w:pPr>
            <w:r>
              <w:rPr>
                <w:rFonts w:ascii="Arial" w:cs="Arial" w:eastAsia="Arial" w:hAnsi="Arial"/>
                <w:sz w:val="12"/>
                <w:szCs w:val="12"/>
                <w:color w:val="auto"/>
                <w:w w:val="81"/>
              </w:rPr>
              <w:t>(4)</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w w:val="97"/>
              </w:rPr>
              <w:t>563,945</w:t>
            </w:r>
          </w:p>
        </w:tc>
        <w:tc>
          <w:tcPr>
            <w:tcW w:w="360" w:type="dxa"/>
            <w:vAlign w:val="bottom"/>
            <w:tcBorders>
              <w:top w:val="single" w:sz="8" w:color="CCEEFF"/>
            </w:tcBorders>
            <w:shd w:val="clear" w:color="auto" w:fill="CCEEFF"/>
          </w:tcPr>
          <w:p>
            <w:pPr>
              <w:jc w:val="right"/>
              <w:ind w:right="19"/>
              <w:spacing w:after="0" w:line="117" w:lineRule="exact"/>
              <w:rPr>
                <w:sz w:val="20"/>
                <w:szCs w:val="20"/>
                <w:color w:val="auto"/>
              </w:rPr>
            </w:pPr>
            <w:r>
              <w:rPr>
                <w:rFonts w:ascii="Arial" w:cs="Arial" w:eastAsia="Arial" w:hAnsi="Arial"/>
                <w:sz w:val="12"/>
                <w:szCs w:val="12"/>
                <w:color w:val="auto"/>
                <w:w w:val="88"/>
              </w:rPr>
              <w:t>(5)(6)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7"/>
              </w:rPr>
              <w:t>506,332</w:t>
            </w:r>
          </w:p>
        </w:tc>
        <w:tc>
          <w:tcPr>
            <w:tcW w:w="240" w:type="dxa"/>
            <w:vAlign w:val="bottom"/>
            <w:tcBorders>
              <w:top w:val="single" w:sz="8" w:color="CCEEFF"/>
            </w:tcBorders>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w w:val="81"/>
              </w:rPr>
              <w:t>(8)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600"/>
              <w:spacing w:after="0" w:line="117"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560"/>
              <w:spacing w:after="0" w:line="117"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ind w:left="400"/>
              <w:spacing w:after="0" w:line="117" w:lineRule="exact"/>
              <w:rPr>
                <w:sz w:val="20"/>
                <w:szCs w:val="20"/>
                <w:color w:val="auto"/>
              </w:rPr>
            </w:pPr>
            <w:r>
              <w:rPr>
                <w:rFonts w:ascii="Arial" w:cs="Arial" w:eastAsia="Arial" w:hAnsi="Arial"/>
                <w:sz w:val="13"/>
                <w:szCs w:val="13"/>
                <w:color w:val="auto"/>
                <w:w w:val="95"/>
              </w:rPr>
              <w:t>25,000</w:t>
            </w:r>
          </w:p>
        </w:tc>
        <w:tc>
          <w:tcPr>
            <w:tcW w:w="420" w:type="dxa"/>
            <w:vAlign w:val="bottom"/>
            <w:tcBorders>
              <w:top w:val="single" w:sz="8" w:color="CCEEFF"/>
            </w:tcBorders>
            <w:shd w:val="clear" w:color="auto" w:fill="CCEEFF"/>
          </w:tcPr>
          <w:p>
            <w:pPr>
              <w:jc w:val="right"/>
              <w:ind w:right="219"/>
              <w:spacing w:after="0" w:line="117" w:lineRule="exact"/>
              <w:rPr>
                <w:sz w:val="20"/>
                <w:szCs w:val="20"/>
                <w:color w:val="auto"/>
              </w:rPr>
            </w:pPr>
            <w:r>
              <w:rPr>
                <w:rFonts w:ascii="Arial" w:cs="Arial" w:eastAsia="Arial" w:hAnsi="Arial"/>
                <w:sz w:val="12"/>
                <w:szCs w:val="12"/>
                <w:color w:val="auto"/>
                <w:w w:val="81"/>
              </w:rPr>
              <w:t>(9)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6"/>
              </w:rPr>
              <w:t>1,648,862</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w w:val="99"/>
              </w:rPr>
              <w:t>Chief Executive Officer and Chairman</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$198,613</w:t>
            </w:r>
          </w:p>
        </w:tc>
        <w:tc>
          <w:tcPr>
            <w:tcW w:w="960" w:type="dxa"/>
            <w:vAlign w:val="bottom"/>
            <w:gridSpan w:val="4"/>
            <w:shd w:val="clear" w:color="auto" w:fill="CCEEFF"/>
          </w:tcPr>
          <w:p>
            <w:pPr>
              <w:jc w:val="right"/>
              <w:ind w:right="19"/>
              <w:spacing w:after="0"/>
              <w:rPr>
                <w:sz w:val="20"/>
                <w:szCs w:val="20"/>
                <w:color w:val="auto"/>
              </w:rPr>
            </w:pPr>
            <w:r>
              <w:rPr>
                <w:rFonts w:ascii="Arial" w:cs="Arial" w:eastAsia="Arial" w:hAnsi="Arial"/>
                <w:sz w:val="14"/>
                <w:szCs w:val="14"/>
                <w:color w:val="auto"/>
              </w:rPr>
              <w:t>$150,000</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00" w:type="dxa"/>
            <w:vAlign w:val="bottom"/>
            <w:gridSpan w:val="3"/>
          </w:tcPr>
          <w:p>
            <w:pPr>
              <w:spacing w:after="0"/>
              <w:rPr>
                <w:sz w:val="20"/>
                <w:szCs w:val="20"/>
                <w:color w:val="auto"/>
              </w:rPr>
            </w:pPr>
            <w:r>
              <w:rPr>
                <w:rFonts w:ascii="Arial" w:cs="Arial" w:eastAsia="Arial" w:hAnsi="Arial"/>
                <w:sz w:val="14"/>
                <w:szCs w:val="14"/>
                <w:color w:val="auto"/>
              </w:rPr>
              <w:t>Anthony Georgiadis,</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$250,000</w:t>
            </w:r>
          </w:p>
        </w:tc>
        <w:tc>
          <w:tcPr>
            <w:tcW w:w="960" w:type="dxa"/>
            <w:vAlign w:val="bottom"/>
            <w:gridSpan w:val="4"/>
          </w:tcPr>
          <w:p>
            <w:pPr>
              <w:jc w:val="right"/>
              <w:ind w:right="19"/>
              <w:spacing w:after="0"/>
              <w:rPr>
                <w:sz w:val="20"/>
                <w:szCs w:val="20"/>
                <w:color w:val="auto"/>
              </w:rPr>
            </w:pPr>
            <w:r>
              <w:rPr>
                <w:rFonts w:ascii="Arial" w:cs="Arial" w:eastAsia="Arial" w:hAnsi="Arial"/>
                <w:sz w:val="14"/>
                <w:szCs w:val="14"/>
                <w:color w:val="auto"/>
              </w:rPr>
              <w:t>$158,600</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(5)(6)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9"/>
              <w:spacing w:after="0"/>
              <w:rPr>
                <w:sz w:val="20"/>
                <w:szCs w:val="20"/>
                <w:color w:val="auto"/>
              </w:rPr>
            </w:pPr>
            <w:r>
              <w:rPr>
                <w:rFonts w:ascii="Arial" w:cs="Arial" w:eastAsia="Arial" w:hAnsi="Arial"/>
                <w:sz w:val="14"/>
                <w:szCs w:val="14"/>
                <w:color w:val="auto"/>
                <w:w w:val="91"/>
              </w:rPr>
              <w:t>506,332</w:t>
            </w:r>
            <w:r>
              <w:rPr>
                <w:rFonts w:ascii="Arial" w:cs="Arial" w:eastAsia="Arial" w:hAnsi="Arial"/>
                <w:sz w:val="12"/>
                <w:szCs w:val="12"/>
                <w:color w:val="auto"/>
                <w:w w:val="91"/>
              </w:rPr>
              <w:t>(8)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1,503,877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 and Director</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$151,467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3,563</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155,030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Jennifer Dooley,</w:t>
            </w:r>
          </w:p>
        </w:tc>
        <w:tc>
          <w:tcPr>
            <w:tcW w:w="700" w:type="dxa"/>
            <w:vAlign w:val="bottom"/>
            <w:gridSpan w:val="3"/>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(2)</w:t>
            </w:r>
          </w:p>
        </w:tc>
        <w:tc>
          <w:tcPr>
            <w:tcW w:w="6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$156,250</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9"/>
              <w:spacing w:after="0" w:line="130" w:lineRule="exact"/>
              <w:rPr>
                <w:sz w:val="20"/>
                <w:szCs w:val="20"/>
                <w:color w:val="auto"/>
              </w:rPr>
            </w:pPr>
            <w:r>
              <w:rPr>
                <w:rFonts w:ascii="Arial" w:cs="Arial" w:eastAsia="Arial" w:hAnsi="Arial"/>
                <w:sz w:val="14"/>
                <w:szCs w:val="14"/>
                <w:color w:val="auto"/>
              </w:rPr>
              <w:t>21,500</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(5)</w:t>
            </w: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w w:val="91"/>
              </w:rPr>
              <w:t>506,332</w:t>
            </w:r>
            <w:r>
              <w:rPr>
                <w:rFonts w:ascii="Arial" w:cs="Arial" w:eastAsia="Arial" w:hAnsi="Arial"/>
                <w:sz w:val="12"/>
                <w:szCs w:val="12"/>
                <w:color w:val="auto"/>
                <w:w w:val="91"/>
              </w:rPr>
              <w:t>(8)</w:t>
            </w: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77,780</w:t>
            </w:r>
            <w:r>
              <w:rPr>
                <w:rFonts w:ascii="Arial" w:cs="Arial" w:eastAsia="Arial" w:hAnsi="Arial"/>
                <w:sz w:val="12"/>
                <w:szCs w:val="12"/>
                <w:color w:val="auto"/>
              </w:rPr>
              <w:t>(10)</w:t>
            </w: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89"/>
              </w:rPr>
              <w:t>1,325,807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Strategy Officer</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$120,217</w:t>
            </w:r>
          </w:p>
        </w:tc>
        <w:tc>
          <w:tcPr>
            <w:tcW w:w="960" w:type="dxa"/>
            <w:vAlign w:val="bottom"/>
            <w:gridSpan w:val="4"/>
            <w:shd w:val="clear" w:color="auto" w:fill="CCEEFF"/>
          </w:tcPr>
          <w:p>
            <w:pPr>
              <w:jc w:val="right"/>
              <w:ind w:right="19"/>
              <w:spacing w:after="0"/>
              <w:rPr>
                <w:sz w:val="20"/>
                <w:szCs w:val="20"/>
                <w:color w:val="auto"/>
              </w:rPr>
            </w:pPr>
            <w:r>
              <w:rPr>
                <w:rFonts w:ascii="Arial" w:cs="Arial" w:eastAsia="Arial" w:hAnsi="Arial"/>
                <w:sz w:val="14"/>
                <w:szCs w:val="14"/>
                <w:color w:val="auto"/>
              </w:rPr>
              <w:t>$109,300</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00" w:type="dxa"/>
            <w:vAlign w:val="bottom"/>
            <w:gridSpan w:val="3"/>
          </w:tcPr>
          <w:p>
            <w:pPr>
              <w:spacing w:after="0"/>
              <w:rPr>
                <w:sz w:val="20"/>
                <w:szCs w:val="20"/>
                <w:color w:val="auto"/>
              </w:rPr>
            </w:pPr>
            <w:r>
              <w:rPr>
                <w:rFonts w:ascii="Arial" w:cs="Arial" w:eastAsia="Arial" w:hAnsi="Arial"/>
                <w:sz w:val="14"/>
                <w:szCs w:val="14"/>
                <w:color w:val="auto"/>
              </w:rPr>
              <w:t>Peter Kadens,</w:t>
            </w:r>
            <w:r>
              <w:rPr>
                <w:rFonts w:ascii="Arial" w:cs="Arial" w:eastAsia="Arial" w:hAnsi="Arial"/>
                <w:sz w:val="12"/>
                <w:szCs w:val="12"/>
                <w:color w:val="auto"/>
              </w:rPr>
              <w:t>(1)</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$196,667</w:t>
            </w:r>
          </w:p>
        </w:tc>
        <w:tc>
          <w:tcPr>
            <w:tcW w:w="960" w:type="dxa"/>
            <w:vAlign w:val="bottom"/>
            <w:gridSpan w:val="4"/>
          </w:tcPr>
          <w:p>
            <w:pPr>
              <w:jc w:val="right"/>
              <w:ind w:right="19"/>
              <w:spacing w:after="0"/>
              <w:rPr>
                <w:sz w:val="20"/>
                <w:szCs w:val="20"/>
                <w:color w:val="auto"/>
              </w:rPr>
            </w:pPr>
            <w:r>
              <w:rPr>
                <w:rFonts w:ascii="Arial" w:cs="Arial" w:eastAsia="Arial" w:hAnsi="Arial"/>
                <w:sz w:val="14"/>
                <w:szCs w:val="14"/>
                <w:color w:val="auto"/>
              </w:rPr>
              <w:t>$ 118,600</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rPr>
              <w:t>93,132</w:t>
            </w:r>
            <w:r>
              <w:rPr>
                <w:rFonts w:ascii="Arial" w:cs="Arial" w:eastAsia="Arial" w:hAnsi="Arial"/>
                <w:sz w:val="12"/>
                <w:szCs w:val="12"/>
                <w:color w:val="auto"/>
              </w:rPr>
              <w:t>(9)(11)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408,399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Former Chief Executive Officer</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$242,917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4,082</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246,999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64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Peter Kadens resigned from the Corporation effective August 29, 2018, prior to which time he held the role of the Corporation’s Chief Executive Officer.</w:t>
      </w:r>
    </w:p>
    <w:p>
      <w:pPr>
        <w:ind w:left="640" w:right="40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aggregate compensation earned from the Corporation and certain subsidiaries thereof for the 12 months ended December 31, 2018, which includes compensation earned during this period prior to the Transaction.</w:t>
      </w:r>
    </w:p>
    <w:p>
      <w:pPr>
        <w:ind w:left="64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compensation earned from certain subsidiaries of the Corporation during the 12 months ended December 31, 2017 and prior to the completion of the Transaction.</w:t>
      </w:r>
    </w:p>
    <w:p>
      <w:pPr>
        <w:ind w:left="64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Bonus amounts reflect short-term incentive awards based upon performance in the applicable year and paid in the subsequent year.</w:t>
      </w:r>
    </w:p>
    <w:p>
      <w:pPr>
        <w:ind w:left="640" w:right="20" w:hanging="436"/>
        <w:spacing w:after="0" w:line="258" w:lineRule="auto"/>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amounts reported in the Stock Awards and the Option Awards columns reflect aggregate grant date fair value computed in accordance with ASC Topic 718, Compensation—Stock Compensation. These amounts reflect our calculation of the value of these awards at the grant date and do not necessarily correspond to the actual value that may ultimately be realized by the named executive officer. Assumptions used in the calculation of these amounts are included in Note 13 to our audited consolidated financial statements for the fiscal year ended December 31, 2018, which are included elsewhere in this registration statement on Form 10. Benjamin Kovler, Anthony Georgiadis and Jennifer Dooley each received 50,000 RSUs on August 30, 2018, which had a two-year vesting schedule, with 50% vesting on the first anniversary date of the grant and 50% vesting on the second anniversary date of the grant.</w:t>
      </w:r>
    </w:p>
    <w:p>
      <w:pPr>
        <w:spacing w:after="0" w:line="1" w:lineRule="exact"/>
        <w:rPr>
          <w:rFonts w:ascii="Arial" w:cs="Arial" w:eastAsia="Arial" w:hAnsi="Arial"/>
          <w:sz w:val="12"/>
          <w:szCs w:val="12"/>
          <w:color w:val="auto"/>
        </w:rPr>
      </w:pPr>
    </w:p>
    <w:p>
      <w:pPr>
        <w:ind w:left="640" w:right="260" w:hanging="436"/>
        <w:spacing w:after="0" w:line="238" w:lineRule="auto"/>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Benjamin Kovler and Anthony Georgiadis received profits interests in VCP on January 1, 2018, which had a $0 value at grant and were amended on January 20, 2018. Such profits interests in VCP vested and converted into 17,526 and 26,288 Super Voting Shares of the Corporation, respectively, upon the closing of the Amalgamation.</w:t>
      </w:r>
    </w:p>
    <w:p>
      <w:pPr>
        <w:ind w:left="640" w:right="32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Peter Kadens received profits interests in VCP on January 1, 2018, which had a $0 value at grant and were amended on January 20, 2018. Such profits interests in VCP vested and converted into 17,526 Super Voting Shares of the Corporation upon the closing of the Amalgamation.</w:t>
      </w:r>
    </w:p>
    <w:p>
      <w:pPr>
        <w:ind w:left="640" w:right="2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Benjamin Kovler, Anthony Georgiadis and Jennifer Dooley each received 50,000 Options on August 30, 2018, which had a strike price of C$14.64 and a three-year vesting schedule, with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first anniversary date of the grant,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second anniversary date of the grant and the remaining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third anniversary date of the grant.</w:t>
      </w:r>
    </w:p>
    <w:p>
      <w:pPr>
        <w:ind w:left="640" w:right="2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Benjamin Kovler and Anthony Georgiadis each received $25,000 in 2018 for attendance at Board and Board committee meetings. Peter Kadens received $25,000 in 2018 for attendance at Board and Board committee meetings in 2018 prior to his resignation in August 2018. None of the named executive officers received any compensation for Board-related matters in 2017.</w:t>
      </w:r>
    </w:p>
    <w:p>
      <w:pPr>
        <w:ind w:left="640" w:right="420" w:hanging="436"/>
        <w:spacing w:after="0" w:line="22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Jennifer Dooley received profits interests in VCP on May 14, 2018 with taxable gain of $77,780. Such profits interests in VCP vested and converted into 45,300 Multiple Voting Shares of the Corporation upon the closing of the Amalgamation.</w:t>
      </w:r>
    </w:p>
    <w:p>
      <w:pPr>
        <w:ind w:left="640" w:hanging="436"/>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Peter Kadens received $68,132 in post-employment consulting fees from the Corporation during 2018 in exchange for regulatory and government relations advice and assistance.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Outstanding Equity Awards Table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outstanding equity awards for the named executive officers of the Corporation at fiscal 2018-year end.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199"/>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of</w:t>
            </w:r>
          </w:p>
        </w:tc>
        <w:tc>
          <w:tcPr>
            <w:tcW w:w="7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9"/>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Shares,</w:t>
            </w:r>
          </w:p>
        </w:tc>
        <w:tc>
          <w:tcPr>
            <w:tcW w:w="7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rPr>
              <w:t>Units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199"/>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12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That</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rPr>
              <w:t>That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12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Have</w:t>
            </w: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Have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2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112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200" w:type="dxa"/>
            <w:vAlign w:val="bottom"/>
          </w:tcPr>
          <w:p>
            <w:pPr>
              <w:spacing w:after="0"/>
              <w:rPr>
                <w:sz w:val="12"/>
                <w:szCs w:val="12"/>
                <w:color w:val="auto"/>
              </w:rPr>
            </w:pPr>
          </w:p>
        </w:tc>
        <w:tc>
          <w:tcPr>
            <w:tcW w:w="112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8"/>
        </w:trPr>
        <w:tc>
          <w:tcPr>
            <w:tcW w:w="3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3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6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3"/>
                <w:szCs w:val="13"/>
                <w:color w:val="auto"/>
              </w:rPr>
            </w:pPr>
          </w:p>
        </w:tc>
        <w:tc>
          <w:tcPr>
            <w:tcW w:w="680" w:type="dxa"/>
            <w:vAlign w:val="bottom"/>
          </w:tcPr>
          <w:p>
            <w:pPr>
              <w:jc w:val="right"/>
              <w:ind w:right="129"/>
              <w:spacing w:after="0" w:line="158"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0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ind w:left="540"/>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50,000</w:t>
            </w:r>
          </w:p>
        </w:tc>
        <w:tc>
          <w:tcPr>
            <w:tcW w:w="260" w:type="dxa"/>
            <w:vAlign w:val="bottom"/>
            <w:shd w:val="clear" w:color="auto" w:fill="CCEEFF"/>
          </w:tcPr>
          <w:p>
            <w:pPr>
              <w:jc w:val="right"/>
              <w:ind w:right="59"/>
              <w:spacing w:after="0" w:line="117" w:lineRule="exact"/>
              <w:rPr>
                <w:sz w:val="20"/>
                <w:szCs w:val="20"/>
                <w:color w:val="auto"/>
              </w:rPr>
            </w:pPr>
            <w:r>
              <w:rPr>
                <w:rFonts w:ascii="Arial" w:cs="Arial" w:eastAsia="Arial" w:hAnsi="Arial"/>
                <w:sz w:val="12"/>
                <w:szCs w:val="12"/>
                <w:color w:val="auto"/>
                <w:w w:val="81"/>
              </w:rPr>
              <w:t>(1)</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ind w:left="540"/>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8"/>
              </w:rPr>
              <w:t>C$ 14.64</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8/30/2028</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ind w:left="300"/>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ind w:left="220"/>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50,000</w:t>
            </w:r>
          </w:p>
        </w:tc>
        <w:tc>
          <w:tcPr>
            <w:tcW w:w="240" w:type="dxa"/>
            <w:vAlign w:val="bottom"/>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w w:val="81"/>
              </w:rPr>
              <w:t>(2)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563,945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Executive Officer and Chairman</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w:t>
            </w:r>
          </w:p>
        </w:tc>
        <w:tc>
          <w:tcPr>
            <w:tcW w:w="16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5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128"/>
              <w:spacing w:after="0" w:line="130" w:lineRule="exact"/>
              <w:rPr>
                <w:sz w:val="20"/>
                <w:szCs w:val="20"/>
                <w:color w:val="auto"/>
              </w:rPr>
            </w:pPr>
            <w:r>
              <w:rPr>
                <w:rFonts w:ascii="Arial" w:cs="Arial" w:eastAsia="Arial" w:hAnsi="Arial"/>
                <w:sz w:val="14"/>
                <w:szCs w:val="14"/>
                <w:color w:val="auto"/>
                <w:w w:val="91"/>
              </w:rPr>
              <w:t>C$ 14.64</w:t>
            </w:r>
          </w:p>
        </w:tc>
        <w:tc>
          <w:tcPr>
            <w:tcW w:w="8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8/30/2028</w:t>
            </w:r>
          </w:p>
        </w:tc>
        <w:tc>
          <w:tcPr>
            <w:tcW w:w="200" w:type="dxa"/>
            <w:vAlign w:val="bottom"/>
          </w:tcPr>
          <w:p>
            <w:pPr>
              <w:spacing w:after="0"/>
              <w:rPr>
                <w:sz w:val="11"/>
                <w:szCs w:val="11"/>
                <w:color w:val="auto"/>
              </w:rPr>
            </w:pPr>
          </w:p>
        </w:tc>
        <w:tc>
          <w:tcPr>
            <w:tcW w:w="520" w:type="dxa"/>
            <w:vAlign w:val="bottom"/>
          </w:tcPr>
          <w:p>
            <w:pPr>
              <w:ind w:left="3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440" w:type="dxa"/>
            <w:vAlign w:val="bottom"/>
          </w:tcPr>
          <w:p>
            <w:pPr>
              <w:ind w:left="2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3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(2)</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563,945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 and Director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Jennifer Dooley,</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5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left="128"/>
              <w:spacing w:after="0" w:line="130" w:lineRule="exact"/>
              <w:rPr>
                <w:sz w:val="20"/>
                <w:szCs w:val="20"/>
                <w:color w:val="auto"/>
              </w:rPr>
            </w:pPr>
            <w:r>
              <w:rPr>
                <w:rFonts w:ascii="Arial" w:cs="Arial" w:eastAsia="Arial" w:hAnsi="Arial"/>
                <w:sz w:val="14"/>
                <w:szCs w:val="14"/>
                <w:color w:val="auto"/>
                <w:w w:val="91"/>
              </w:rPr>
              <w:t>C$ 14.64</w:t>
            </w:r>
          </w:p>
        </w:tc>
        <w:tc>
          <w:tcPr>
            <w:tcW w:w="8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8/30/2028</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563,945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Strategy Officer</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Peter Kadens,</w:t>
            </w:r>
          </w:p>
        </w:tc>
        <w:tc>
          <w:tcPr>
            <w:tcW w:w="16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120" w:type="dxa"/>
            <w:vAlign w:val="bottom"/>
            <w:gridSpan w:val="2"/>
          </w:tcPr>
          <w:p>
            <w:pPr>
              <w:jc w:val="right"/>
              <w:ind w:right="279"/>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C$  —</w:t>
            </w:r>
          </w:p>
        </w:tc>
        <w:tc>
          <w:tcPr>
            <w:tcW w:w="200" w:type="dxa"/>
            <w:vAlign w:val="bottom"/>
          </w:tcPr>
          <w:p>
            <w:pPr>
              <w:spacing w:after="0"/>
              <w:rPr>
                <w:sz w:val="11"/>
                <w:szCs w:val="11"/>
                <w:color w:val="auto"/>
              </w:rPr>
            </w:pPr>
          </w:p>
        </w:tc>
        <w:tc>
          <w:tcPr>
            <w:tcW w:w="680" w:type="dxa"/>
            <w:vAlign w:val="bottom"/>
          </w:tcPr>
          <w:p>
            <w:pPr>
              <w:jc w:val="right"/>
              <w:ind w:right="9"/>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20" w:type="dxa"/>
            <w:vAlign w:val="bottom"/>
          </w:tcPr>
          <w:p>
            <w:pPr>
              <w:ind w:left="3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440" w:type="dxa"/>
            <w:vAlign w:val="bottom"/>
          </w:tcPr>
          <w:p>
            <w:pPr>
              <w:ind w:left="22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59"/>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Former Chief Executive Officer</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640" w:right="20" w:hanging="436"/>
        <w:spacing w:after="0" w:line="227"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Benjamin Kovler, Anthony Georgiadis and Jennifer Dooley each received 50,000 Options on August 30, 2018, which had a strike price of C$14.64 and a three-year vesting schedule, with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first anniversary date of the grant,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second anniversary date of the grant and the remaining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third anniversary date of the grant.</w:t>
      </w:r>
    </w:p>
    <w:p>
      <w:pPr>
        <w:ind w:left="640" w:right="320" w:hanging="436"/>
        <w:spacing w:after="0" w:line="237"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Benjamin Kovler, Anthony Georgiadis and Jennifer Dooley each received 50,000 RSUs on August 30, 2018, which had a two-year vesting schedule, with 50% vesting on the first anniversary date of the grant and 50% vesting on the second anniversary date of the grant.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Retirement Benefit Plans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Effective August 1, 2019, each named executive officer other than Mr. Kadens is eligible to participate in the Vision Management Services, LLC 401(k) Plan (the “</w:t>
      </w:r>
      <w:r>
        <w:rPr>
          <w:rFonts w:ascii="Arial" w:cs="Arial" w:eastAsia="Arial" w:hAnsi="Arial"/>
          <w:sz w:val="18"/>
          <w:szCs w:val="18"/>
          <w:b w:val="1"/>
          <w:bCs w:val="1"/>
          <w:color w:val="auto"/>
        </w:rPr>
        <w:t>VMS 401(k) Plan</w:t>
      </w:r>
      <w:r>
        <w:rPr>
          <w:rFonts w:ascii="Arial" w:cs="Arial" w:eastAsia="Arial" w:hAnsi="Arial"/>
          <w:sz w:val="18"/>
          <w:szCs w:val="18"/>
          <w:color w:val="auto"/>
        </w:rPr>
        <w:t>”), a tax-qualified, defined contribution retirement plan. The VMS 401(k) Plan is generally available to eligible employees of GTI’s operating subsidiary, Vision Management Services, LLC (“</w:t>
      </w:r>
      <w:r>
        <w:rPr>
          <w:rFonts w:ascii="Arial" w:cs="Arial" w:eastAsia="Arial" w:hAnsi="Arial"/>
          <w:sz w:val="18"/>
          <w:szCs w:val="18"/>
          <w:b w:val="1"/>
          <w:bCs w:val="1"/>
          <w:color w:val="auto"/>
        </w:rPr>
        <w:t>VMS</w:t>
      </w:r>
      <w:r>
        <w:rPr>
          <w:rFonts w:ascii="Arial" w:cs="Arial" w:eastAsia="Arial" w:hAnsi="Arial"/>
          <w:sz w:val="18"/>
          <w:szCs w:val="18"/>
          <w:color w:val="auto"/>
        </w:rPr>
        <w:t>”), and other GTI subsidiaries that have elected to participate in the VMS 401(k) Plan. Participants in the VMS 401(k) Plan are eligible to make before-tax contributions and Roth contributions and, if VMS elects, to receive discretionary matching and/or profit-sharing contributions.</w:t>
      </w:r>
    </w:p>
    <w:p>
      <w:pPr>
        <w:spacing w:after="0" w:line="184" w:lineRule="exact"/>
        <w:rPr>
          <w:sz w:val="20"/>
          <w:szCs w:val="20"/>
          <w:color w:val="auto"/>
        </w:rPr>
      </w:pPr>
    </w:p>
    <w:p>
      <w:pPr>
        <w:ind w:left="200" w:right="100" w:firstLine="441"/>
        <w:spacing w:after="0" w:line="274" w:lineRule="auto"/>
        <w:rPr>
          <w:sz w:val="20"/>
          <w:szCs w:val="20"/>
          <w:color w:val="auto"/>
        </w:rPr>
      </w:pPr>
      <w:r>
        <w:rPr>
          <w:rFonts w:ascii="Arial" w:cs="Arial" w:eastAsia="Arial" w:hAnsi="Arial"/>
          <w:sz w:val="17"/>
          <w:szCs w:val="17"/>
          <w:color w:val="auto"/>
        </w:rPr>
        <w:t>From March 2017 through November 2018, another subsidiary of GTI, GTI-Clinic Illinois Holdings, LLC (“</w:t>
      </w:r>
      <w:r>
        <w:rPr>
          <w:rFonts w:ascii="Arial" w:cs="Arial" w:eastAsia="Arial" w:hAnsi="Arial"/>
          <w:sz w:val="17"/>
          <w:szCs w:val="17"/>
          <w:b w:val="1"/>
          <w:bCs w:val="1"/>
          <w:color w:val="auto"/>
        </w:rPr>
        <w:t>GTI-Clinic Illinois</w:t>
      </w:r>
      <w:r>
        <w:rPr>
          <w:rFonts w:ascii="Arial" w:cs="Arial" w:eastAsia="Arial" w:hAnsi="Arial"/>
          <w:sz w:val="17"/>
          <w:szCs w:val="17"/>
          <w:color w:val="auto"/>
        </w:rPr>
        <w:t>”), sponsored the GTI-Clinic Illinois Holdings 401(k) Plan (the “</w:t>
      </w:r>
      <w:r>
        <w:rPr>
          <w:rFonts w:ascii="Arial" w:cs="Arial" w:eastAsia="Arial" w:hAnsi="Arial"/>
          <w:sz w:val="17"/>
          <w:szCs w:val="17"/>
          <w:b w:val="1"/>
          <w:bCs w:val="1"/>
          <w:color w:val="auto"/>
        </w:rPr>
        <w:t>GTI-Clinic Illinois 401(k) Plan</w:t>
      </w:r>
      <w:r>
        <w:rPr>
          <w:rFonts w:ascii="Arial" w:cs="Arial" w:eastAsia="Arial" w:hAnsi="Arial"/>
          <w:sz w:val="17"/>
          <w:szCs w:val="17"/>
          <w:color w:val="auto"/>
        </w:rPr>
        <w:t>”), a tax-qualified, defined contribution retirement plan. The GTI-Clinic Illinois 401(k) Plan was generally available to eligible employees of GTI-Clinic Illinois. Of the named executive officers, only Mr. Kovler was eligible to participate in the GTI-Clinic Illinois 401(k) Plan. Participants in the GTI-Clinic 401(k) Plan were eligible to make before-tax contributions and Roth contributions and, if GTI-Clinic Illinois elected, to receive discretionary matching and/or profit-sharing contributions. For 2017 and 2018, GTI-Clinic Illinois made matching contributions to Mr. Kovler’s plan account equal to $10,408 and $953, respectively.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Termination and Change of Control Benefits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Except as described below, the Corporation does not have any contract, agreement, plan or arrangement that provides for payments to a named executive officer at, following or in connection with a termination (whether voluntary, involuntary or constructive), resignation, retirement, a change of control of the Corporation or a change in a named executive officer’s responsibilities. The services of each of Benjamin Kovler, Anthony Georgiadis and Jennifer Dooley are provided on an at-will basis.</w:t>
      </w:r>
    </w:p>
    <w:p>
      <w:pPr>
        <w:spacing w:after="0" w:line="183"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restricted stock unit and stock option awards granted pursuant to the Green Thumb Industries Inc. 2018 Stock and Incentive Plan (the “</w:t>
      </w:r>
      <w:r>
        <w:rPr>
          <w:rFonts w:ascii="Arial" w:cs="Arial" w:eastAsia="Arial" w:hAnsi="Arial"/>
          <w:sz w:val="17"/>
          <w:szCs w:val="17"/>
          <w:b w:val="1"/>
          <w:bCs w:val="1"/>
          <w:color w:val="auto"/>
        </w:rPr>
        <w:t>Stock</w:t>
      </w:r>
      <w:r>
        <w:rPr>
          <w:rFonts w:ascii="Arial" w:cs="Arial" w:eastAsia="Arial" w:hAnsi="Arial"/>
          <w:sz w:val="17"/>
          <w:szCs w:val="17"/>
          <w:color w:val="auto"/>
        </w:rPr>
        <w:t xml:space="preserve"> </w:t>
      </w:r>
      <w:r>
        <w:rPr>
          <w:rFonts w:ascii="Arial" w:cs="Arial" w:eastAsia="Arial" w:hAnsi="Arial"/>
          <w:sz w:val="17"/>
          <w:szCs w:val="17"/>
          <w:b w:val="1"/>
          <w:bCs w:val="1"/>
          <w:color w:val="auto"/>
        </w:rPr>
        <w:t>and Incentive Plan</w:t>
      </w:r>
      <w:r>
        <w:rPr>
          <w:rFonts w:ascii="Arial" w:cs="Arial" w:eastAsia="Arial" w:hAnsi="Arial"/>
          <w:sz w:val="17"/>
          <w:szCs w:val="17"/>
          <w:color w:val="auto"/>
        </w:rPr>
        <w:t>”), as amended, provide for full vesting in the event the awardee is terminated by the Corporation without cause (as defined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award agreements) within 12 months following a change of control (as defined in the applicable award agreements). Options that are vested due to such a termination are exercisable for the duration of the option’s original term. Further, the Corporation, acting through its Board or its Compensation Committee, has broad discretion in how to treat awards under the Stock and Incentive Plan in the event of a change of control. Such discretion includes the ability to fully vest and cash-out awards, arrange for awards to be assumed by a buyer, provide for economically equivalent replacement awards or eliminate future vesting or exercisability as of, or following, a change of control.</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all compensation paid to or earned by each non-employee director of the Corporation during fiscal year 2018.</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2"/>
              </w:rPr>
              <w:t>Fees Earned or</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6"/>
              </w:rPr>
              <w:t>Non-Equity</w:t>
            </w:r>
          </w:p>
        </w:tc>
        <w:tc>
          <w:tcPr>
            <w:tcW w:w="3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jc w:val="right"/>
              <w:ind w:right="437"/>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0"/>
              </w:rPr>
              <w:t>Paid in Cash</w:t>
            </w: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0" w:type="dxa"/>
            <w:vAlign w:val="bottom"/>
            <w:gridSpan w:val="3"/>
          </w:tcPr>
          <w:p>
            <w:pPr>
              <w:jc w:val="center"/>
              <w:ind w:left="222"/>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224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62"/>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00" w:type="dxa"/>
            <w:vAlign w:val="bottom"/>
          </w:tcPr>
          <w:p>
            <w:pPr>
              <w:spacing w:after="0"/>
              <w:rPr>
                <w:sz w:val="13"/>
                <w:szCs w:val="13"/>
                <w:color w:val="auto"/>
              </w:rPr>
            </w:pPr>
          </w:p>
        </w:tc>
        <w:tc>
          <w:tcPr>
            <w:tcW w:w="1040" w:type="dxa"/>
            <w:vAlign w:val="bottom"/>
            <w:gridSpan w:val="2"/>
          </w:tcPr>
          <w:p>
            <w:pPr>
              <w:jc w:val="right"/>
              <w:ind w:right="277"/>
              <w:spacing w:after="0" w:line="158" w:lineRule="exact"/>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4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400" w:type="dxa"/>
            <w:vAlign w:val="bottom"/>
            <w:gridSpan w:val="3"/>
          </w:tcPr>
          <w:p>
            <w:pPr>
              <w:jc w:val="center"/>
              <w:ind w:left="222"/>
              <w:spacing w:after="0" w:line="158"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320" w:type="dxa"/>
            <w:vAlign w:val="bottom"/>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Earnings ($)</w:t>
            </w:r>
          </w:p>
        </w:tc>
        <w:tc>
          <w:tcPr>
            <w:tcW w:w="1420" w:type="dxa"/>
            <w:vAlign w:val="bottom"/>
            <w:gridSpan w:val="3"/>
          </w:tcPr>
          <w:p>
            <w:pPr>
              <w:jc w:val="center"/>
              <w:ind w:left="222"/>
              <w:spacing w:after="0" w:line="158"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3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Wendy Berger</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$3,919,761</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75"/>
              </w:rPr>
              <w:t>(3)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center"/>
              <w:ind w:left="602"/>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center"/>
              <w:ind w:left="360"/>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center"/>
              <w:ind w:left="50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$3,944,761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Glen Senk</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25,000</w:t>
            </w:r>
          </w:p>
        </w:tc>
        <w:tc>
          <w:tcPr>
            <w:tcW w:w="1340" w:type="dxa"/>
            <w:vAlign w:val="bottom"/>
            <w:gridSpan w:val="3"/>
          </w:tcPr>
          <w:p>
            <w:pPr>
              <w:jc w:val="right"/>
              <w:ind w:right="97"/>
              <w:spacing w:after="0" w:line="202" w:lineRule="exact"/>
              <w:rPr>
                <w:sz w:val="20"/>
                <w:szCs w:val="20"/>
                <w:color w:val="auto"/>
              </w:rPr>
            </w:pPr>
            <w:r>
              <w:rPr>
                <w:rFonts w:ascii="Arial" w:cs="Arial" w:eastAsia="Arial" w:hAnsi="Arial"/>
                <w:sz w:val="14"/>
                <w:szCs w:val="14"/>
                <w:color w:val="auto"/>
              </w:rPr>
              <w:t>$1,549,217</w:t>
            </w:r>
            <w:r>
              <w:rPr>
                <w:rFonts w:ascii="Arial" w:cs="Arial" w:eastAsia="Arial" w:hAnsi="Arial"/>
                <w:sz w:val="23"/>
                <w:szCs w:val="23"/>
                <w:color w:val="auto"/>
                <w:vertAlign w:val="superscript"/>
              </w:rPr>
              <w:t>(4)</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center"/>
              <w:ind w:left="1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602"/>
              <w:spacing w:after="0"/>
              <w:rPr>
                <w:sz w:val="20"/>
                <w:szCs w:val="20"/>
                <w:color w:val="auto"/>
              </w:rPr>
            </w:pPr>
            <w:r>
              <w:rPr>
                <w:rFonts w:ascii="Arial" w:cs="Arial" w:eastAsia="Arial" w:hAnsi="Arial"/>
                <w:sz w:val="16"/>
                <w:szCs w:val="16"/>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left="360"/>
              <w:spacing w:after="0"/>
              <w:rPr>
                <w:sz w:val="20"/>
                <w:szCs w:val="20"/>
                <w:color w:val="auto"/>
              </w:rPr>
            </w:pPr>
            <w:r>
              <w:rPr>
                <w:rFonts w:ascii="Arial" w:cs="Arial" w:eastAsia="Arial" w:hAnsi="Arial"/>
                <w:sz w:val="16"/>
                <w:szCs w:val="16"/>
                <w:color w:val="auto"/>
                <w:w w:val="99"/>
              </w:rPr>
              <w:t>—</w:t>
            </w:r>
          </w:p>
        </w:tc>
        <w:tc>
          <w:tcPr>
            <w:tcW w:w="4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50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$1,574,217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Wes Moore</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340" w:type="dxa"/>
            <w:vAlign w:val="bottom"/>
            <w:gridSpan w:val="3"/>
            <w:shd w:val="clear" w:color="auto" w:fill="CCEEFF"/>
          </w:tcPr>
          <w:p>
            <w:pPr>
              <w:jc w:val="right"/>
              <w:ind w:right="97"/>
              <w:spacing w:after="0" w:line="202" w:lineRule="exact"/>
              <w:rPr>
                <w:sz w:val="20"/>
                <w:szCs w:val="20"/>
                <w:color w:val="auto"/>
              </w:rPr>
            </w:pPr>
            <w:r>
              <w:rPr>
                <w:rFonts w:ascii="Arial" w:cs="Arial" w:eastAsia="Arial" w:hAnsi="Arial"/>
                <w:sz w:val="14"/>
                <w:szCs w:val="14"/>
                <w:color w:val="auto"/>
              </w:rPr>
              <w:t>$1,610,666</w:t>
            </w:r>
            <w:r>
              <w:rPr>
                <w:rFonts w:ascii="Arial" w:cs="Arial" w:eastAsia="Arial" w:hAnsi="Arial"/>
                <w:sz w:val="23"/>
                <w:szCs w:val="23"/>
                <w:color w:val="auto"/>
                <w:vertAlign w:val="superscript"/>
              </w:rPr>
              <w:t>(5)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1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left="602"/>
              <w:spacing w:after="0"/>
              <w:rPr>
                <w:sz w:val="20"/>
                <w:szCs w:val="20"/>
                <w:color w:val="auto"/>
              </w:rPr>
            </w:pPr>
            <w:r>
              <w:rPr>
                <w:rFonts w:ascii="Arial" w:cs="Arial" w:eastAsia="Arial" w:hAnsi="Arial"/>
                <w:sz w:val="16"/>
                <w:szCs w:val="16"/>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center"/>
              <w:ind w:left="360"/>
              <w:spacing w:after="0"/>
              <w:rPr>
                <w:sz w:val="20"/>
                <w:szCs w:val="20"/>
                <w:color w:val="auto"/>
              </w:rPr>
            </w:pPr>
            <w:r>
              <w:rPr>
                <w:rFonts w:ascii="Arial" w:cs="Arial" w:eastAsia="Arial" w:hAnsi="Arial"/>
                <w:sz w:val="16"/>
                <w:szCs w:val="16"/>
                <w:color w:val="auto"/>
                <w:w w:val="99"/>
              </w:rPr>
              <w:t>—</w:t>
            </w:r>
          </w:p>
        </w:tc>
        <w:tc>
          <w:tcPr>
            <w:tcW w:w="4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center"/>
              <w:ind w:left="50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$1,635,666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tcPr>
          <w:p>
            <w:pPr>
              <w:spacing w:after="0" w:line="202" w:lineRule="exact"/>
              <w:rPr>
                <w:sz w:val="20"/>
                <w:szCs w:val="20"/>
                <w:color w:val="auto"/>
              </w:rPr>
            </w:pPr>
            <w:r>
              <w:rPr>
                <w:rFonts w:ascii="Arial" w:cs="Arial" w:eastAsia="Arial" w:hAnsi="Arial"/>
                <w:sz w:val="14"/>
                <w:szCs w:val="14"/>
                <w:color w:val="auto"/>
              </w:rPr>
              <w:t>William Gruver</w:t>
            </w:r>
            <w:r>
              <w:rPr>
                <w:rFonts w:ascii="Arial" w:cs="Arial" w:eastAsia="Arial" w:hAnsi="Arial"/>
                <w:sz w:val="23"/>
                <w:szCs w:val="23"/>
                <w:color w:val="auto"/>
                <w:vertAlign w:val="superscript"/>
              </w:rPr>
              <w:t>(1)</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7"/>
                <w:szCs w:val="17"/>
                <w:color w:val="auto"/>
              </w:rPr>
            </w:pPr>
          </w:p>
        </w:tc>
        <w:tc>
          <w:tcPr>
            <w:tcW w:w="1040" w:type="dxa"/>
            <w:vAlign w:val="bottom"/>
            <w:gridSpan w:val="2"/>
          </w:tcPr>
          <w:p>
            <w:pPr>
              <w:jc w:val="right"/>
              <w:ind w:right="257"/>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left="22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left="642"/>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left="40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left="54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Alejandro Yemenidjian</w:t>
            </w:r>
            <w:r>
              <w:rPr>
                <w:rFonts w:ascii="Arial" w:cs="Arial" w:eastAsia="Arial" w:hAnsi="Arial"/>
                <w:sz w:val="23"/>
                <w:szCs w:val="23"/>
                <w:color w:val="auto"/>
                <w:vertAlign w:val="superscript"/>
              </w:rPr>
              <w:t>(1)</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57"/>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N/A</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N/A</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400"/>
              <w:spacing w:after="0"/>
              <w:rPr>
                <w:sz w:val="20"/>
                <w:szCs w:val="20"/>
                <w:color w:val="auto"/>
              </w:rPr>
            </w:pPr>
            <w:r>
              <w:rPr>
                <w:rFonts w:ascii="Arial" w:cs="Arial" w:eastAsia="Arial" w:hAnsi="Arial"/>
                <w:sz w:val="16"/>
                <w:szCs w:val="16"/>
                <w:color w:val="auto"/>
              </w:rPr>
              <w:t>N/A</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540"/>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w:t>
      </w:r>
    </w:p>
    <w:p>
      <w:pPr>
        <w:spacing w:after="0" w:line="140"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William Gruver and Alejandro Yemenidjian were appointed to the Board in April 2019 and June 2019, respectively.</w:t>
      </w:r>
    </w:p>
    <w:p>
      <w:pPr>
        <w:spacing w:after="0" w:line="22" w:lineRule="exact"/>
        <w:rPr>
          <w:rFonts w:ascii="Arial" w:cs="Arial" w:eastAsia="Arial" w:hAnsi="Arial"/>
          <w:sz w:val="16"/>
          <w:szCs w:val="16"/>
          <w:color w:val="auto"/>
        </w:rPr>
      </w:pPr>
    </w:p>
    <w:p>
      <w:pPr>
        <w:ind w:left="640" w:hanging="436"/>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Director cash compensation during fiscal year 2018.</w:t>
      </w:r>
    </w:p>
    <w:p>
      <w:pPr>
        <w:spacing w:after="0" w:line="18" w:lineRule="exact"/>
        <w:rPr>
          <w:rFonts w:ascii="Arial" w:cs="Arial" w:eastAsia="Arial" w:hAnsi="Arial"/>
          <w:sz w:val="16"/>
          <w:szCs w:val="16"/>
          <w:color w:val="auto"/>
        </w:rPr>
      </w:pPr>
    </w:p>
    <w:p>
      <w:pPr>
        <w:ind w:left="640" w:right="180" w:hanging="436"/>
        <w:spacing w:after="0" w:line="264"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Wendy Berger was granted (i) 151,000 RSUs for her duties on the Board on June 29, 2018, which had a two-year vesting schedule, with 50% vesting on the first anniversary date of the grant and 50% vesting on the second anniversary date of the grant, (ii) 50,000 RSUs for consulting services rendered on behalf of the Corporation on August 30, 2018, which had a two-year vesting schedule, with 50% vesting on the first anniversary date of the grant and 50% vesting on the second anniversary date of the grant, and (iii) 236,000 RSUs for consulting services rendered on behalf of the Corporation on December 28, 2018, which vested after two months.</w:t>
      </w:r>
    </w:p>
    <w:p>
      <w:pPr>
        <w:ind w:left="640" w:right="660" w:hanging="436"/>
        <w:spacing w:after="0" w:line="264"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Glen Senk was granted 151,000 RSUs for his duties on the Board on June 29, 2018, which had a two-year vesting schedule, with 50% vesting on the first anniversary date of the grant and 50% vesting on the second anniversary date of the grant.</w:t>
      </w:r>
    </w:p>
    <w:p>
      <w:pPr>
        <w:ind w:left="640" w:right="620" w:hanging="436"/>
        <w:spacing w:after="0" w:line="288"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Wes Moore was granted 151,000 RSUs for his duties on the Board on July 10, 2018, which had a two-year vesting schedule, with 50% vesting on the first anniversary date of the grant and 50% vesting on the second anniversary date of the grant.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During fiscal 2018, Wendy Berger (Chair), Benjamin Kovler and Glen Senk served as members of the Compensation Committee. Mr. Kovler was also an officer of the Corporation during fiscal 2018 as the Chief Executive Officer. Additionally, Mr. Kovler and Ms. Berger have relationships requiring disclosure with respect to related party transactions. See Item 7—“Transactions with Related Persons” for further details.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None of the Corporation’s executive officers served as a member of the compensation committee (or other board committee performing equivalent functions or, in the absence of any such committee, the entire board of directors) of another entity, one of whose executive officers served as a director of the Corporation or on the Compensation Committee, during fiscal 2018. None of the Corporation’s executive officers served as a director of another entity, one of whose executive officers served on the Compensation Committee, during fiscal 2018.</w:t>
      </w:r>
    </w:p>
    <w:p>
      <w:pPr>
        <w:spacing w:after="0" w:line="167" w:lineRule="exact"/>
        <w:rPr>
          <w:sz w:val="20"/>
          <w:szCs w:val="20"/>
          <w:color w:val="auto"/>
        </w:rPr>
      </w:pPr>
    </w:p>
    <w:p>
      <w:pPr>
        <w:ind w:left="200" w:right="2640"/>
        <w:spacing w:after="0" w:line="378" w:lineRule="auto"/>
        <w:rPr>
          <w:sz w:val="20"/>
          <w:szCs w:val="20"/>
          <w:color w:val="auto"/>
        </w:rPr>
      </w:pPr>
      <w:r>
        <w:rPr>
          <w:rFonts w:ascii="Arial" w:cs="Arial" w:eastAsia="Arial" w:hAnsi="Arial"/>
          <w:sz w:val="18"/>
          <w:szCs w:val="18"/>
          <w:b w:val="1"/>
          <w:bCs w:val="1"/>
          <w:color w:val="auto"/>
        </w:rPr>
        <w:t>ITEM 7. CERTAIN RELATIONSHIPS AND RELATED TRANSACTIONS, DIRECTOR INDEPENDENCE Related Person Transaction Policy</w:t>
      </w:r>
    </w:p>
    <w:p>
      <w:pPr>
        <w:ind w:left="200" w:right="460" w:firstLine="441"/>
        <w:spacing w:after="0" w:line="308" w:lineRule="auto"/>
        <w:rPr>
          <w:sz w:val="20"/>
          <w:szCs w:val="20"/>
          <w:color w:val="auto"/>
        </w:rPr>
      </w:pPr>
      <w:r>
        <w:rPr>
          <w:rFonts w:ascii="Arial" w:cs="Arial" w:eastAsia="Arial" w:hAnsi="Arial"/>
          <w:sz w:val="17"/>
          <w:szCs w:val="17"/>
          <w:color w:val="auto"/>
        </w:rPr>
        <w:t>The Corporation’s Board has adopted a Related Party Transactions Policy, which requires that employees, officers and directors report to the General Counsel (or chief legal officer) any activity that would cause or appear to cause a conflict of interest on his or her part.</w:t>
      </w:r>
    </w:p>
    <w:p>
      <w:pPr>
        <w:spacing w:after="0" w:line="14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Under the Related Party Transactions Policy, a related party transaction includes any transaction, arrangement or relationship, or any series of similar transactions, arrangements or relationships, in which:</w:t>
      </w:r>
    </w:p>
    <w:p>
      <w:pPr>
        <w:spacing w:after="0" w:line="76"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or any of its subsidiaries is or will be a participant;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$120,000 in any fiscal year;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material interest.</w:t>
      </w:r>
    </w:p>
    <w:p>
      <w:pPr>
        <w:spacing w:after="0" w:line="225"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Related parties include any person who is or was (since the beginning of the last fiscal year, even if such person does not presently serve in that role) an executive officer, director or nominee for director of the Corporation, any shareholder owning more than 5% of any class of the Corporation’s voting securities or an immediate family member, as defined in the Related Party Transactions Policy, of any such person.</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Pursuant to the Related Party Transactions Policy, any potential related party transaction that requires approval will be reviewed by the Audit Committee,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the Corporation and its shareholders.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Lease Agreements. </w:t>
      </w:r>
      <w:r>
        <w:rPr>
          <w:rFonts w:ascii="Arial" w:cs="Arial" w:eastAsia="Arial" w:hAnsi="Arial"/>
          <w:sz w:val="16"/>
          <w:szCs w:val="16"/>
          <w:color w:val="auto"/>
        </w:rPr>
        <w:t>Since 2016, the Corporation has entered into several related party transactions with respect to lease agreements as follows:</w:t>
      </w:r>
    </w:p>
    <w:p>
      <w:pPr>
        <w:spacing w:after="0" w:line="154" w:lineRule="exact"/>
        <w:rPr>
          <w:sz w:val="20"/>
          <w:szCs w:val="20"/>
          <w:color w:val="auto"/>
        </w:rPr>
      </w:pPr>
    </w:p>
    <w:p>
      <w:pPr>
        <w:ind w:left="1180" w:hanging="436"/>
        <w:spacing w:after="0" w:line="289"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Mosaic Real Estate, LLC owns a building located at 7900 Fenton Street, Silver Spring, Maryland and leased to GTI Maryland, LLC, which operates a Rise dispensary in the building. The lease commenced on June 14, 2017 for a 7-year term, and rent payments were approximately $53,500, $216,500 and $220,500 for the years ended December 31, 2017, 2018 and 2019, respectively. Wendy Berger, a director of the Corporation, is a principal of WBS Equities, LLC, which is the Manager of Mosaic Real Estate, LLC. Additionally, Mosaic Real Estate, LLC is owned in part by Ms. Berger (through a revocable trust), Benjamin Kovler, the Chief Executive Officer and a director of the Corporation (through a wholly-owned entity), and Mr. Georgiadis, the Chief Financial Officer and a director of the Corporation (through a wholly-owned entity). The amount of each entity’s interest in such rent payments totaled approximately $158,200, $95,400 and $54,500, respectively. Ms. Berger also receives an annual loan guaranty fee based on the outstanding balance on the facility for the transaction. Such fees totaled $18,200 for the years ended December 31, 2017, 2018 and 2019 combined.</w:t>
      </w:r>
    </w:p>
    <w:p>
      <w:pPr>
        <w:spacing w:after="0" w:line="72" w:lineRule="exact"/>
        <w:rPr>
          <w:rFonts w:ascii="Arial" w:cs="Arial" w:eastAsia="Arial" w:hAnsi="Arial"/>
          <w:sz w:val="16"/>
          <w:szCs w:val="16"/>
          <w:color w:val="auto"/>
        </w:rPr>
      </w:pPr>
    </w:p>
    <w:p>
      <w:pPr>
        <w:jc w:val="both"/>
        <w:ind w:left="1180" w:right="10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Mosaic Real Estate Amherst, LLC owns a building located at 169 Meadow Street, Amherst, Massachusetts and leased to RISE Holdings, Inc., which operates a Rise dispensary in the building. The lease commenced on July 14, 2017 for a 15-year term, and rent payments were approximately $8,700,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302" w:lineRule="auto"/>
        <w:rPr>
          <w:sz w:val="20"/>
          <w:szCs w:val="20"/>
          <w:color w:val="auto"/>
        </w:rPr>
      </w:pPr>
      <w:r>
        <w:rPr>
          <w:rFonts w:ascii="Arial" w:cs="Arial" w:eastAsia="Arial" w:hAnsi="Arial"/>
          <w:sz w:val="16"/>
          <w:szCs w:val="16"/>
          <w:color w:val="auto"/>
        </w:rPr>
        <w:t>$67,600 and $68,900 for the years ended December 31, 2017, 2018 and 2019, respectively. Ms. Berger is a principal of WBS Equities, LLC, which is the Manager of Mosaic Real Estate Amherst, LLC. Additionally, Mosaic Real Estate Amherst, LLC is owned in part by Ms. Berger (through a revocable trust), Mr. Kovler (through a wholly-owned entity) and Mr. Georgiadis (through a wholly-owned entity). The amount of each entity’s interest in such rent payments totaled approximately $44,100, $31,800 and $15,700, respectively.</w:t>
      </w:r>
    </w:p>
    <w:p>
      <w:pPr>
        <w:spacing w:after="0" w:line="60" w:lineRule="exact"/>
        <w:rPr>
          <w:sz w:val="20"/>
          <w:szCs w:val="20"/>
          <w:color w:val="auto"/>
        </w:rPr>
      </w:pPr>
    </w:p>
    <w:p>
      <w:pPr>
        <w:ind w:left="1180" w:right="40" w:hanging="436"/>
        <w:spacing w:after="0" w:line="255"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Mosaic Real Estate Sparks, LLC owns a building located at 9650 Pyramid Highway, Sparks, Nevada and leased to JG Retail Services NV, LLC, an entity that has entered into a services agreement for GTI Nevada, LLC to operate a Rise dispensary in the building. The lease commenced on July 21, 2017 for a 15-year term, and rent payments were approximately $25,500, $231,000 and $235,600 for the years ended December 31, 2017, 2018 and 2019, respectively. Ms. Berger is a principal of WBS Equities, LLC, which is the Manager of Mosaic Real Estate Sparks, LLC. Additionally, Mosaic Real Estate Sparks, LLC is owned in part by Ms. Berger (through a revocable trust) and Mr. Georgiadis (through a wholly-owned entity). The amount of each entity’s interest in such rent payments totaled approximately $181,700 and $30,300, respectively.</w:t>
      </w:r>
    </w:p>
    <w:p>
      <w:pPr>
        <w:spacing w:after="0" w:line="94" w:lineRule="exact"/>
        <w:rPr>
          <w:rFonts w:ascii="Arial" w:cs="Arial" w:eastAsia="Arial" w:hAnsi="Arial"/>
          <w:sz w:val="18"/>
          <w:szCs w:val="18"/>
          <w:color w:val="auto"/>
        </w:rPr>
      </w:pPr>
    </w:p>
    <w:p>
      <w:pPr>
        <w:ind w:left="1180" w:right="60" w:hanging="436"/>
        <w:spacing w:after="0" w:line="297"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Mosaic Real Estate Joliet, LLC owns a building located at 2903 Colorado Avenue, Joliet, Illinois and leased to 3C Compassionate Care Center, LLC, which operates a dispensary in the building. The lease commenced on January 23, 2019 for a 15-year term, and rent payments were approximately $205,600 for the year ended December 31, 2019. Ms. Berger is a principal of South Creek 15, LLC, which is the Manager of Mosaic Real Estate Joliet, LLC. Additionally, Mosaic Real Estate Joliet, LLC is owned in part by Ms. Berger (through a revocable trust). The amount of such revocable trust’s interest in such rent payments totaled approximately $17,500.</w:t>
      </w:r>
    </w:p>
    <w:p>
      <w:pPr>
        <w:spacing w:after="0" w:line="63" w:lineRule="exact"/>
        <w:rPr>
          <w:rFonts w:ascii="Arial" w:cs="Arial" w:eastAsia="Arial" w:hAnsi="Arial"/>
          <w:sz w:val="16"/>
          <w:szCs w:val="16"/>
          <w:color w:val="auto"/>
        </w:rPr>
      </w:pPr>
    </w:p>
    <w:p>
      <w:pPr>
        <w:ind w:left="1180" w:hanging="436"/>
        <w:spacing w:after="0" w:line="276" w:lineRule="auto"/>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Mosaic Real Estate Ocala, LLC owns a building located at 5401 Northwest 44</w:t>
      </w:r>
      <w:r>
        <w:rPr>
          <w:rFonts w:ascii="Arial" w:cs="Arial" w:eastAsia="Arial" w:hAnsi="Arial"/>
          <w:sz w:val="14"/>
          <w:szCs w:val="14"/>
          <w:color w:val="auto"/>
        </w:rPr>
        <w:t>th</w:t>
      </w:r>
      <w:r>
        <w:rPr>
          <w:rFonts w:ascii="Arial" w:cs="Arial" w:eastAsia="Arial" w:hAnsi="Arial"/>
          <w:sz w:val="17"/>
          <w:szCs w:val="17"/>
          <w:color w:val="auto"/>
        </w:rPr>
        <w:t xml:space="preserve"> Avenue, Ocala, Florida and leased to GTI Florida, LLC, which anticipates operating a cultivation and processing facility in the building. The lease commenced on March 19, 2019 for a 15-year term, and rent payments were approximately $321,600 for the year ended December 31, 2019. Ms. Berger is a Co-Manager of Mosaic Real Estate Ocala, LLC. Additionally, Mosaic Real Estate Ocala, LLC is owned in part by Ms. Berger (through a revocable trust). The amount of such revocable trust’s interest in such rent payments totaled approximately $40,200.</w:t>
      </w:r>
    </w:p>
    <w:p>
      <w:pPr>
        <w:spacing w:after="0" w:line="77" w:lineRule="exact"/>
        <w:rPr>
          <w:rFonts w:ascii="Arial" w:cs="Arial" w:eastAsia="Arial" w:hAnsi="Arial"/>
          <w:sz w:val="17"/>
          <w:szCs w:val="17"/>
          <w:color w:val="auto"/>
        </w:rPr>
      </w:pPr>
    </w:p>
    <w:p>
      <w:pPr>
        <w:ind w:left="1180" w:right="60" w:hanging="436"/>
        <w:spacing w:after="0" w:line="297" w:lineRule="auto"/>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Durango Teco Partners, LLC owns a building located at 6410 South Durango Drive, Las Vegas, Nevada and leased to Essence Henderson, LLC, a subsidiary of Integral Associates, LLC, which anticipates operating an Essence dispensary in the building. Essence Henderson, LLC will pay $17,500 per month for rent during the first year, and the monthly rent will be increased each year thereafter by 2.5% for the remainder of the 10-year term. Armen Yemenidjian, the President of the Corporation, and Alejandro Yemenidjian, a director of the Corporation, each own 50% of Armenco Capital LLC, which owns 50% of Durango Teco Partners, LLC.</w:t>
      </w:r>
    </w:p>
    <w:p>
      <w:pPr>
        <w:spacing w:after="0" w:line="154" w:lineRule="exact"/>
        <w:rPr>
          <w:sz w:val="20"/>
          <w:szCs w:val="20"/>
          <w:color w:val="auto"/>
        </w:rPr>
      </w:pPr>
    </w:p>
    <w:p>
      <w:pPr>
        <w:ind w:left="200" w:right="320" w:firstLine="441"/>
        <w:spacing w:after="0" w:line="261" w:lineRule="auto"/>
        <w:rPr>
          <w:sz w:val="20"/>
          <w:szCs w:val="20"/>
          <w:color w:val="auto"/>
        </w:rPr>
      </w:pPr>
      <w:r>
        <w:rPr>
          <w:rFonts w:ascii="Arial" w:cs="Arial" w:eastAsia="Arial" w:hAnsi="Arial"/>
          <w:sz w:val="18"/>
          <w:szCs w:val="18"/>
          <w:i w:val="1"/>
          <w:iCs w:val="1"/>
          <w:color w:val="auto"/>
        </w:rPr>
        <w:t xml:space="preserve">Springbig, Inc. </w:t>
      </w:r>
      <w:r>
        <w:rPr>
          <w:rFonts w:ascii="Arial" w:cs="Arial" w:eastAsia="Arial" w:hAnsi="Arial"/>
          <w:sz w:val="18"/>
          <w:szCs w:val="18"/>
          <w:color w:val="auto"/>
        </w:rPr>
        <w:t>In June 2019, GTI Core, LLC entered into an agreement with Springbig, Inc. (“</w:t>
      </w:r>
      <w:r>
        <w:rPr>
          <w:rFonts w:ascii="Arial" w:cs="Arial" w:eastAsia="Arial" w:hAnsi="Arial"/>
          <w:sz w:val="18"/>
          <w:szCs w:val="18"/>
          <w:b w:val="1"/>
          <w:bCs w:val="1"/>
          <w:color w:val="auto"/>
        </w:rPr>
        <w:t>Springbig</w:t>
      </w:r>
      <w:r>
        <w:rPr>
          <w:rFonts w:ascii="Arial" w:cs="Arial" w:eastAsia="Arial" w:hAnsi="Arial"/>
          <w:sz w:val="18"/>
          <w:szCs w:val="18"/>
          <w:color w:val="auto"/>
        </w:rPr>
        <w:t>”) for Springbig’s loyalty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platform for retail organization. Payments to Springbig totaled approximately $2,800, $35,400 and $155,300 for the years ended December 31, 2017, 2018 and 2019, respectively. Springbig is owned in part by Mr. Kovler, Mr. Georgiadis and William Gruver, a director of the Corporation. Mr. Kovler is also a director of Springbig.</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Promoters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person or company has been at any time during the past five fiscal years a promoter of the Corporation.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purposes of this registration statement, the independence of our directors is determined under the corporate governance rules of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The independence rules of the NYSE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Corporation either directly or as a partner, shareholder or officer of an organization that has a relationship with the Corporation. It has been determined that three of our directors that we expect to be on the Board as of the Effective Date are independent persons under the independence rules of the NYSE: Glen Senk, Wes Moore and William Gruver.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LEGAL PROCEEDINGS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Corporation has no legal proceedings, pending or threatened, which would have a material impact on the operations or financial condition of the Corporation.</w:t>
      </w:r>
    </w:p>
    <w:p>
      <w:pPr>
        <w:spacing w:after="0" w:line="275" w:lineRule="exact"/>
        <w:rPr>
          <w:sz w:val="20"/>
          <w:szCs w:val="20"/>
          <w:color w:val="auto"/>
        </w:rPr>
      </w:pPr>
    </w:p>
    <w:p>
      <w:pPr>
        <w:ind w:left="200" w:right="500"/>
        <w:spacing w:after="0" w:line="282" w:lineRule="auto"/>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Price and Volume</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Subordinate Voting Shares of the Corporation are traded on the CSE under the symbol “GTII.” During fiscal 2018, the common shares of Bayswater traded on the TSXV under the symbol “BYU.H.”</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June 13, 2018, the date of their initial trading on the CSE), as quoted on the CSE.</w:t>
      </w:r>
      <w:r>
        <w:rPr>
          <w:rFonts w:ascii="Arial" w:cs="Arial" w:eastAsia="Arial" w:hAnsi="Arial"/>
          <w:sz w:val="15"/>
          <w:szCs w:val="15"/>
          <w:color w:val="auto"/>
        </w:rPr>
        <w:t>(1)</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Low Trading Price</w:t>
            </w:r>
          </w:p>
        </w:tc>
        <w:tc>
          <w:tcPr>
            <w:tcW w:w="2800" w:type="dxa"/>
            <w:vAlign w:val="bottom"/>
            <w:gridSpan w:val="4"/>
          </w:tcPr>
          <w:p>
            <w:pPr>
              <w:ind w:left="800"/>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Volume (#)</w:t>
            </w:r>
          </w:p>
        </w:tc>
        <w:tc>
          <w:tcPr>
            <w:tcW w:w="0" w:type="dxa"/>
            <w:vAlign w:val="bottom"/>
          </w:tcPr>
          <w:p>
            <w:pPr>
              <w:spacing w:after="0"/>
              <w:rPr>
                <w:sz w:val="1"/>
                <w:szCs w:val="1"/>
                <w:color w:val="auto"/>
              </w:rPr>
            </w:pPr>
          </w:p>
        </w:tc>
      </w:tr>
      <w:tr>
        <w:trPr>
          <w:trHeight w:val="158"/>
        </w:trPr>
        <w:tc>
          <w:tcPr>
            <w:tcW w:w="4100" w:type="dxa"/>
            <w:vAlign w:val="bottom"/>
            <w:gridSpan w:val="4"/>
            <w:vMerge w:val="continue"/>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74"/>
              <w:spacing w:after="0" w:line="158" w:lineRule="exact"/>
              <w:rPr>
                <w:sz w:val="20"/>
                <w:szCs w:val="20"/>
                <w:color w:val="auto"/>
              </w:rPr>
            </w:pPr>
            <w:r>
              <w:rPr>
                <w:rFonts w:ascii="Arial" w:cs="Arial" w:eastAsia="Arial" w:hAnsi="Arial"/>
                <w:sz w:val="14"/>
                <w:szCs w:val="14"/>
                <w:b w:val="1"/>
                <w:bCs w:val="1"/>
                <w:color w:val="auto"/>
              </w:rPr>
              <w:t>(C$)</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Nine Months Ended September 30, 2019</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10.55</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21.71</w:t>
            </w: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68,061,452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100" w:type="dxa"/>
            <w:vAlign w:val="bottom"/>
            <w:gridSpan w:val="4"/>
          </w:tcPr>
          <w:p>
            <w:pPr>
              <w:spacing w:after="0"/>
              <w:rPr>
                <w:sz w:val="20"/>
                <w:szCs w:val="20"/>
                <w:color w:val="auto"/>
              </w:rPr>
            </w:pPr>
            <w:r>
              <w:rPr>
                <w:rFonts w:ascii="Arial" w:cs="Arial" w:eastAsia="Arial" w:hAnsi="Arial"/>
                <w:sz w:val="18"/>
                <w:szCs w:val="18"/>
                <w:color w:val="auto"/>
              </w:rPr>
              <w:t>Year Ended December 31, 2018</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12,829,887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Third Quarter (September 30, 2018)</w:t>
            </w:r>
          </w:p>
        </w:tc>
        <w:tc>
          <w:tcPr>
            <w:tcW w:w="1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8.58</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30.01</w:t>
            </w:r>
          </w:p>
        </w:tc>
        <w:tc>
          <w:tcPr>
            <w:tcW w:w="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13,462,742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13, 2018—June 30, 2018</w:t>
            </w:r>
          </w:p>
        </w:tc>
        <w:tc>
          <w:tcPr>
            <w:tcW w:w="1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2,882,771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2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sets forth trading information for the pre-Transaction common shares of Bayswater for the periods indicated (until June 12, 2018, the date of their delisting on the TSXV), as quoted on the TSXV.</w:t>
      </w:r>
      <w:r>
        <w:rPr>
          <w:rFonts w:ascii="Arial" w:cs="Arial" w:eastAsia="Arial" w:hAnsi="Arial"/>
          <w:sz w:val="15"/>
          <w:szCs w:val="15"/>
          <w:color w:val="auto"/>
        </w:rPr>
        <w:t>(1)</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500" w:type="dxa"/>
            <w:vAlign w:val="bottom"/>
            <w:gridSpan w:val="3"/>
          </w:tcPr>
          <w:p>
            <w:pPr>
              <w:ind w:left="1320"/>
              <w:spacing w:after="0"/>
              <w:rPr>
                <w:sz w:val="20"/>
                <w:szCs w:val="20"/>
                <w:color w:val="auto"/>
              </w:rPr>
            </w:pPr>
            <w:r>
              <w:rPr>
                <w:rFonts w:ascii="Arial" w:cs="Arial" w:eastAsia="Arial" w:hAnsi="Arial"/>
                <w:sz w:val="14"/>
                <w:szCs w:val="14"/>
                <w:b w:val="1"/>
                <w:bCs w:val="1"/>
                <w:color w:val="auto"/>
                <w:w w:val="95"/>
              </w:rPr>
              <w:t>Low Trading Price</w:t>
            </w:r>
          </w:p>
        </w:tc>
        <w:tc>
          <w:tcPr>
            <w:tcW w:w="2060" w:type="dxa"/>
            <w:vAlign w:val="bottom"/>
            <w:gridSpan w:val="3"/>
          </w:tcPr>
          <w:p>
            <w:pPr>
              <w:ind w:left="860"/>
              <w:spacing w:after="0"/>
              <w:rPr>
                <w:sz w:val="20"/>
                <w:szCs w:val="20"/>
                <w:color w:val="auto"/>
              </w:rPr>
            </w:pPr>
            <w:r>
              <w:rPr>
                <w:rFonts w:ascii="Arial" w:cs="Arial" w:eastAsia="Arial" w:hAnsi="Arial"/>
                <w:sz w:val="14"/>
                <w:szCs w:val="14"/>
                <w:b w:val="1"/>
                <w:bCs w:val="1"/>
                <w:color w:val="auto"/>
                <w:w w:val="94"/>
              </w:rPr>
              <w:t>High Trading Price</w:t>
            </w:r>
          </w:p>
        </w:tc>
        <w:tc>
          <w:tcPr>
            <w:tcW w:w="160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w w:val="97"/>
              </w:rPr>
              <w:t>Volume (#)</w:t>
            </w:r>
          </w:p>
        </w:tc>
        <w:tc>
          <w:tcPr>
            <w:tcW w:w="0" w:type="dxa"/>
            <w:vAlign w:val="bottom"/>
          </w:tcPr>
          <w:p>
            <w:pPr>
              <w:spacing w:after="0"/>
              <w:rPr>
                <w:sz w:val="1"/>
                <w:szCs w:val="1"/>
                <w:color w:val="auto"/>
              </w:rPr>
            </w:pPr>
          </w:p>
        </w:tc>
      </w:tr>
      <w:tr>
        <w:trPr>
          <w:trHeight w:val="158"/>
        </w:trPr>
        <w:tc>
          <w:tcPr>
            <w:tcW w:w="398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73"/>
              <w:spacing w:after="0" w:line="158" w:lineRule="exact"/>
              <w:rPr>
                <w:sz w:val="20"/>
                <w:szCs w:val="20"/>
                <w:color w:val="auto"/>
              </w:rPr>
            </w:pPr>
            <w:r>
              <w:rPr>
                <w:rFonts w:ascii="Arial" w:cs="Arial" w:eastAsia="Arial" w:hAnsi="Arial"/>
                <w:sz w:val="14"/>
                <w:szCs w:val="14"/>
                <w:b w:val="1"/>
                <w:bCs w:val="1"/>
                <w:color w:val="auto"/>
              </w:rPr>
              <w:t>(C$)</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3"/>
              <w:spacing w:after="0" w:line="158" w:lineRule="exact"/>
              <w:rPr>
                <w:sz w:val="20"/>
                <w:szCs w:val="20"/>
                <w:color w:val="auto"/>
              </w:rPr>
            </w:pPr>
            <w:r>
              <w:rPr>
                <w:rFonts w:ascii="Arial" w:cs="Arial" w:eastAsia="Arial" w:hAnsi="Arial"/>
                <w:sz w:val="14"/>
                <w:szCs w:val="14"/>
                <w:b w:val="1"/>
                <w:bCs w:val="1"/>
                <w:color w:val="auto"/>
              </w:rPr>
              <w:t>(C$)</w:t>
            </w:r>
          </w:p>
        </w:tc>
        <w:tc>
          <w:tcPr>
            <w:tcW w:w="1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50" w:lineRule="exact"/>
              <w:rPr>
                <w:sz w:val="20"/>
                <w:szCs w:val="20"/>
                <w:color w:val="auto"/>
              </w:rPr>
            </w:pPr>
            <w:r>
              <w:rPr>
                <w:rFonts w:ascii="Arial" w:cs="Arial" w:eastAsia="Arial" w:hAnsi="Arial"/>
                <w:sz w:val="17"/>
                <w:szCs w:val="17"/>
                <w:color w:val="auto"/>
              </w:rPr>
              <w:t>Year Ended December 31, 2018</w:t>
            </w:r>
          </w:p>
        </w:tc>
        <w:tc>
          <w:tcPr>
            <w:tcW w:w="1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April 1, 2018—June 12, 2018</w:t>
            </w:r>
            <w:r>
              <w:rPr>
                <w:rFonts w:ascii="Arial" w:cs="Arial" w:eastAsia="Arial" w:hAnsi="Arial"/>
                <w:sz w:val="15"/>
                <w:szCs w:val="15"/>
                <w:color w:val="auto"/>
              </w:rPr>
              <w:t>(2)</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2018)</w:t>
            </w:r>
          </w:p>
        </w:tc>
        <w:tc>
          <w:tcPr>
            <w:tcW w:w="16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980" w:type="dxa"/>
            <w:vAlign w:val="bottom"/>
            <w:gridSpan w:val="4"/>
          </w:tcPr>
          <w:p>
            <w:pPr>
              <w:spacing w:after="0"/>
              <w:rPr>
                <w:sz w:val="20"/>
                <w:szCs w:val="20"/>
                <w:color w:val="auto"/>
              </w:rPr>
            </w:pPr>
            <w:r>
              <w:rPr>
                <w:rFonts w:ascii="Arial" w:cs="Arial" w:eastAsia="Arial" w:hAnsi="Arial"/>
                <w:sz w:val="18"/>
                <w:szCs w:val="18"/>
                <w:color w:val="auto"/>
              </w:rPr>
              <w:t>Year Ended December 31, 2017</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2017)</w:t>
            </w:r>
          </w:p>
        </w:tc>
        <w:tc>
          <w:tcPr>
            <w:tcW w:w="16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Third Quarter (September 30, 2017)</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18.40</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2017)</w:t>
            </w:r>
          </w:p>
        </w:tc>
        <w:tc>
          <w:tcPr>
            <w:tcW w:w="16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First Quarter (March 31, 2017)</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12.88</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19,845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40" w:hanging="436"/>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Bayswater common shares were halted from trading in connection with the Transaction and subsequently delisted from the TSXV on June 12, 2018.</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Subordinate Voting Shares of the Corporation are also traded on the OTCQX under the symbol “GTBIF.”</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July 9, 2018, the date of their initial trading on the OTCQX), as quoted on the OTCQX.</w:t>
      </w:r>
      <w:r>
        <w:rPr>
          <w:rFonts w:ascii="Arial" w:cs="Arial" w:eastAsia="Arial" w:hAnsi="Arial"/>
          <w:sz w:val="15"/>
          <w:szCs w:val="15"/>
          <w:color w:val="auto"/>
        </w:rPr>
        <w:t>(1)</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240" w:type="dxa"/>
            <w:vAlign w:val="bottom"/>
            <w:gridSpan w:val="3"/>
          </w:tcPr>
          <w:p>
            <w:pPr>
              <w:ind w:left="1080"/>
              <w:spacing w:after="0"/>
              <w:rPr>
                <w:sz w:val="20"/>
                <w:szCs w:val="20"/>
                <w:color w:val="auto"/>
              </w:rPr>
            </w:pPr>
            <w:r>
              <w:rPr>
                <w:rFonts w:ascii="Arial" w:cs="Arial" w:eastAsia="Arial" w:hAnsi="Arial"/>
                <w:sz w:val="14"/>
                <w:szCs w:val="14"/>
                <w:b w:val="1"/>
                <w:bCs w:val="1"/>
                <w:color w:val="auto"/>
                <w:w w:val="93"/>
              </w:rPr>
              <w:t>Low Trading Price</w:t>
            </w:r>
          </w:p>
        </w:tc>
        <w:tc>
          <w:tcPr>
            <w:tcW w:w="2960" w:type="dxa"/>
            <w:vAlign w:val="bottom"/>
            <w:gridSpan w:val="4"/>
          </w:tcPr>
          <w:p>
            <w:pPr>
              <w:ind w:left="880"/>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Volume (#)</w:t>
            </w:r>
          </w:p>
        </w:tc>
        <w:tc>
          <w:tcPr>
            <w:tcW w:w="0" w:type="dxa"/>
            <w:vAlign w:val="bottom"/>
          </w:tcPr>
          <w:p>
            <w:pPr>
              <w:spacing w:after="0"/>
              <w:rPr>
                <w:sz w:val="1"/>
                <w:szCs w:val="1"/>
                <w:color w:val="auto"/>
              </w:rPr>
            </w:pPr>
          </w:p>
        </w:tc>
      </w:tr>
      <w:tr>
        <w:trPr>
          <w:trHeight w:val="158"/>
        </w:trPr>
        <w:tc>
          <w:tcPr>
            <w:tcW w:w="402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434"/>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Nine Months Ended September 30, 2019</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7.99</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16.20</w:t>
            </w: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48,493,284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20" w:type="dxa"/>
            <w:vAlign w:val="bottom"/>
            <w:gridSpan w:val="4"/>
          </w:tcPr>
          <w:p>
            <w:pPr>
              <w:spacing w:after="0"/>
              <w:rPr>
                <w:sz w:val="20"/>
                <w:szCs w:val="20"/>
                <w:color w:val="auto"/>
              </w:rPr>
            </w:pPr>
            <w:r>
              <w:rPr>
                <w:rFonts w:ascii="Arial" w:cs="Arial" w:eastAsia="Arial" w:hAnsi="Arial"/>
                <w:sz w:val="18"/>
                <w:szCs w:val="18"/>
                <w:color w:val="auto"/>
              </w:rPr>
              <w:t>Year Ended December 31, 2018</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13,570,767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July 9, 2018—September 30, 2018</w:t>
            </w: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6.57</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23.16</w:t>
            </w:r>
          </w:p>
        </w:tc>
        <w:tc>
          <w:tcPr>
            <w:tcW w:w="8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16,519,410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5, 2019, there are 44,847 holders of record of our Subordinate Voting Shares.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Corporation has not declared distributions on Subordinate Voting Shares in the past. The Corporation currently intends to reinvest all future earnings to finance the development and growth of its business. As a result, the Corporation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Corporation is not bound or limited in any way to pay dividends in the event that the Board determines that a dividend is in the best interest of its shareholders.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shareholders and the Board approved the Stock and Incentive Plan on June 11, 2018, and the Board further amended the Stock and Incentive Plan effective August 30, 2019. The granting of awards under the Stock and Incentive Plan is intended to promote the interests of the Corporation and its shareholders by aiding the Corporation in attracting and retaining persons capable of assuring the future success of the Corporation, to offer such persons incentives to put forth maximum efforts for the success of the Corporation’s business and to compensate such persons through various stock and cash-based arrangements and provide them with opportunities for stock ownership in the Corporation, thereby aligning the interests of such persons with the Corporation’s shareholders. Eligible participants under the Stock and Incentive Plan include non-employee directors, officers (including the named executive officers), employees, consultants and advisors of the Corporation and its subsidiaries. The Stock and Incentive Plan will be administered by the Board or a committee thereof appointed by the Board (the “</w:t>
      </w:r>
      <w:r>
        <w:rPr>
          <w:rFonts w:ascii="Arial" w:cs="Arial" w:eastAsia="Arial" w:hAnsi="Arial"/>
          <w:sz w:val="16"/>
          <w:szCs w:val="16"/>
          <w:b w:val="1"/>
          <w:bCs w:val="1"/>
          <w:color w:val="auto"/>
        </w:rPr>
        <w:t>Stock and Incentive Plan Committee</w:t>
      </w:r>
      <w:r>
        <w:rPr>
          <w:rFonts w:ascii="Arial" w:cs="Arial" w:eastAsia="Arial" w:hAnsi="Arial"/>
          <w:sz w:val="16"/>
          <w:szCs w:val="16"/>
          <w:color w:val="auto"/>
        </w:rPr>
        <w:t>”).</w:t>
      </w:r>
    </w:p>
    <w:p>
      <w:pPr>
        <w:spacing w:after="0" w:line="166"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Pursuant to the Stock and Incentive Plan, the Corporation may issue equity-based compensation (denominated in Subordinate Voting Shares) in the form of stock options, stock appreciation rights, restricted stock awards, restricted stock units, performance shares, performance units and dividend equivalent awards to eligible participants. The Stock and Incentive Plan Committee or its permitted delegates has the power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88" w:lineRule="auto"/>
        <w:rPr>
          <w:sz w:val="20"/>
          <w:szCs w:val="20"/>
          <w:color w:val="auto"/>
        </w:rPr>
      </w:pPr>
      <w:r>
        <w:rPr>
          <w:rFonts w:ascii="Arial" w:cs="Arial" w:eastAsia="Arial" w:hAnsi="Arial"/>
          <w:sz w:val="16"/>
          <w:szCs w:val="16"/>
          <w:color w:val="auto"/>
        </w:rPr>
        <w:t>discretionary authority to determine the amount, terms and conditions of the Stock and Incentive Plan awards, including, without limitation, (i) the exercise price of any stock options or stock appreciation rights, (ii) the method of payment for shares purchased pursuant to any award, (iii) the method for satisfying any tax withholding obligation arising in connection with any award, including by net exercise or the withholding or delivery of shares,</w:t>
      </w:r>
    </w:p>
    <w:p>
      <w:pPr>
        <w:ind w:left="200" w:right="120" w:firstLine="4"/>
        <w:spacing w:after="0" w:line="252" w:lineRule="auto"/>
        <w:tabs>
          <w:tab w:leader="none" w:pos="5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terms and conditions of the exercisability, vesting or payout of any award or any shares acquired pursuant thereto, (v) the performance criteria, if any, applicable to any award and the extent to which such performance criteria have been attained, (vi) the time of the expiration of any award, (vii) the effect of the participant’s termination of service on any of the foregoing, and (viii) all other terms, conditions and restrictions applicable to any award or shares acquired pursuant thereto as the Board shall consider to be appropriate and not inconsistent with the terms of the Stock and Incentive Plan. A non-employee director may not be granted Stock and Incentive Plan awards that exceed in the aggregate $1,500,000 in any calendar year. The foregoing limit does not apply to any award made pursuant to any election by the director to receive an award in lieu of all or a portion of annual and committee retainers and meeting fees.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securities authorized for issuance under the Stock and Incentive Plan as of fiscal 2018-year end.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1"/>
              </w:rPr>
              <w:t>Number of securities</w:t>
            </w:r>
          </w:p>
        </w:tc>
        <w:tc>
          <w:tcPr>
            <w:tcW w:w="84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Weighted-average</w:t>
            </w:r>
          </w:p>
        </w:tc>
        <w:tc>
          <w:tcPr>
            <w:tcW w:w="220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8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840" w:type="dxa"/>
            <w:vAlign w:val="bottom"/>
          </w:tcPr>
          <w:p>
            <w:pPr>
              <w:spacing w:after="0"/>
              <w:rPr>
                <w:sz w:val="12"/>
                <w:szCs w:val="12"/>
                <w:color w:val="auto"/>
              </w:rPr>
            </w:pPr>
          </w:p>
        </w:tc>
        <w:tc>
          <w:tcPr>
            <w:tcW w:w="1260" w:type="dxa"/>
            <w:vAlign w:val="bottom"/>
            <w:gridSpan w:val="2"/>
          </w:tcPr>
          <w:p>
            <w:pPr>
              <w:jc w:val="right"/>
              <w:ind w:right="50"/>
              <w:spacing w:after="0" w:line="149" w:lineRule="exact"/>
              <w:rPr>
                <w:sz w:val="20"/>
                <w:szCs w:val="20"/>
                <w:color w:val="auto"/>
              </w:rPr>
            </w:pPr>
            <w:r>
              <w:rPr>
                <w:rFonts w:ascii="Arial" w:cs="Arial" w:eastAsia="Arial" w:hAnsi="Arial"/>
                <w:sz w:val="14"/>
                <w:szCs w:val="14"/>
                <w:b w:val="1"/>
                <w:bCs w:val="1"/>
                <w:color w:val="auto"/>
                <w:w w:val="99"/>
              </w:rPr>
              <w:t>exercise price of</w:t>
            </w:r>
          </w:p>
        </w:tc>
        <w:tc>
          <w:tcPr>
            <w:tcW w:w="86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100" w:type="dxa"/>
            <w:vAlign w:val="bottom"/>
            <w:gridSpan w:val="3"/>
          </w:tcPr>
          <w:p>
            <w:pPr>
              <w:ind w:left="8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86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warrant and rights</w:t>
            </w:r>
          </w:p>
        </w:tc>
        <w:tc>
          <w:tcPr>
            <w:tcW w:w="84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860" w:type="dxa"/>
            <w:vAlign w:val="bottom"/>
          </w:tcPr>
          <w:p>
            <w:pPr>
              <w:spacing w:after="0"/>
              <w:rPr>
                <w:sz w:val="13"/>
                <w:szCs w:val="13"/>
                <w:color w:val="auto"/>
              </w:rPr>
            </w:pP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Equity compensation plans approved by security holders</w:t>
            </w: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1,677,192</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13.23</w:t>
            </w:r>
          </w:p>
        </w:tc>
        <w:tc>
          <w:tcPr>
            <w:tcW w:w="8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13,732,851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Equity compensation plans not approved by security</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b w:val="1"/>
                <w:bCs w:val="1"/>
                <w:color w:val="auto"/>
              </w:rPr>
              <w:t>holders</w:t>
            </w:r>
          </w:p>
        </w:tc>
        <w:tc>
          <w:tcPr>
            <w:tcW w:w="56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C$</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1,677,192</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13,732,851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following information represents securities sold by the Corporation within the past three years through November 30, 2019 which were not registered under the Securities Act. Included are new issues, securities issued in exchange for property, services or other securities, securities issued upon conversion from other Corporation share classes and new securities resulting from the modification of outstanding securities. The Corporation sold all of the securities listed below pursuant to the exemption from registration provided by Section 4(a)(2) of the Securities Act, or Regulation D or Regulation S promulgated thereunder.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12, 2018, the Corporation issued 11,245,434 Subordinate Voting Shares as part of the approximately C$87 million SR Offering at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C$7.75. The financing was underwritten by GMP Securities L.P., Canaccord Genuity Corp., Beacon Securities Limited, Echelon Wealth Partners Inc.,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Eight Capital Corp.</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Beginning on July 3, 2018 and through December 31, 2018, the shareholders of the Corporation converted 195,606 Multiple Voting Shares into 19,560,600 Subordinate Voting Shares and, continuing through November 30, 2019, the shareholders of the Corporation converted an additional 357,104 Multiple Voting Shares into 35,710,400 Subordinate Voting Shares.</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On August 2, 2018, the Corporation issued 7,300,000 Subordinate Voting Shares as part of a C$80.3 million bought deal for a value of C$11.00 per share. The financing was underwritten by Canaccord Genuity Corp., GMP Securities L.P., Beacon Securities Limited, Echelon Wealth Partners Inc. and Eight Capital Corp.</w:t>
      </w:r>
    </w:p>
    <w:p>
      <w:pPr>
        <w:spacing w:after="0" w:line="181"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On September 7, 2018, September 13, 2018 and December 31, 2019, the holders of Compensation Options issued to underwriters of the Transaction financing exercised options, which converted into 268,088 Subordinate Voting Shares.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Between October 9, 2018 and through December 31, 2018, the Corporation issued, in total, 87,742 Subordinate Voting Shares for 100% of the membership interests or shares of privately held companies and, continuing through November 30, 2019, the Corporation issued, in total, an additional 12,462,174 Subordinate Voting Shares.</w:t>
      </w:r>
    </w:p>
    <w:p>
      <w:pPr>
        <w:spacing w:after="0" w:line="181"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On October 17, 2018, the Corporation issued 5,083,000 Subordinate Voting Shares as part of a C$101.7 million bought deal for a value of C$20.00 per share. The financing was underwritten by GMP Securities L.P., Beacon Securities Limited, Cormark Securities Inc., Echelon Wealth Partners Inc. and Eight Capital Corp.</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Between December 6, 2018 and through December 31, 2018, the Corporation issued 489,347 Subordinate Voting Shares to buyout the membership interests of joint venture partners pursuant to agreements between the parties and, continuing through December 31, 2019, the Corporation issued an additional 4,402,735 Subordinate Voting Shares.</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On February 11, 2019, the Corporation issued 6,539,746 Subordinate Voting Shares for 100% of the membership interest of Advanced Grow Labs, LLC.</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May 22, 2019 and May 24, 2019, the Corporation issued 19,875 Subordinate Voting Shares to the lead lender pursuant to the Corporation’s Note Purchase Agreement.</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On June 5, 2019, June 21, 2019 and August 12, 2019, the Corporation issued, in total, 24,665,193 Subordinate Voting Shares to the owners of Integral Associates, LLC and Integral Associates CA, LLC for 100% of the membership interest of both entities, as well as for certain achieved milestone payments earned pursuant to the Membership Interest Purchase Agreement.</w:t>
      </w:r>
    </w:p>
    <w:p>
      <w:pPr>
        <w:spacing w:after="0" w:line="181"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Between July 2, 2019 and November 19, 2019, the Corporation issued, in total, 1,165,630 Subordinate Voting Shares to holders of the Corporation’s restricted stock units, which vested over the same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On June 12, 2018, the Corporation issued 830,975 Multiple Voting Shares to prior holders of VCP membership interests pursuant to the Transaction.</w:t>
      </w:r>
    </w:p>
    <w:p>
      <w:pPr>
        <w:spacing w:after="0" w:line="17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Beginning on July 3, 2018 and through December 31, 2018, the shareholders of the Corporation converted 195,606 Multiple Voting Shares into 19,560,600 Subordinate Voting Shares and, continuing through November 30, 2019, the shareholders of the Corporation converted an additional 357,104 Multiple Voting Shares into 35,710,400 Subordinate Voting Shares.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November 7, 2018, the Corporation issued 32,965 Multiple Voting Shares in exchange for 3,296,500 subscription receipts held by the owners of a privately held company.</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Beginning on December 3, 2018 and through December 31, 2018, the shareholders of the Corporation converted 8,896 Super Voting Shares into 8,896 Multiple Voting Shares and, continuing through November 30, 2019, the shareholders of the Corporation converted an additional 22,224 Super Voting Shares into 22,224 Multiple Voting Shares.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January 8, 2019, the Corporation issued 31,000 Multiple Voting Shares to buyout the membership interest of a joint venture partner pursuant to an agreement between the parties.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June 12, 2018, the Corporation issued 433,409 Super Voting Shares to prior holders of VCP membership interests pursuant to the Transaction and prior holders of Bayswater.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Beginning on December 3, 2018 and through December 31, 2018, the shareholders of the Corporation converted 8,896 Super Voting Shares into 8,896 Multiple Voting Shares and, continuing through November 30, 2019, the shareholders of the Corporation converted an additional 22,224 Super Voting Shares into 22,224 Multiple Voting Shares.</w:t>
      </w:r>
    </w:p>
    <w:p>
      <w:pPr>
        <w:spacing w:after="0" w:line="285" w:lineRule="exact"/>
        <w:rPr>
          <w:sz w:val="20"/>
          <w:szCs w:val="20"/>
          <w:color w:val="auto"/>
        </w:rPr>
      </w:pPr>
    </w:p>
    <w:p>
      <w:pPr>
        <w:ind w:left="200" w:right="3920"/>
        <w:spacing w:after="0" w:line="378" w:lineRule="auto"/>
        <w:rPr>
          <w:sz w:val="20"/>
          <w:szCs w:val="20"/>
          <w:color w:val="auto"/>
        </w:rPr>
      </w:pPr>
      <w:r>
        <w:rPr>
          <w:rFonts w:ascii="Arial" w:cs="Arial" w:eastAsia="Arial" w:hAnsi="Arial"/>
          <w:sz w:val="18"/>
          <w:szCs w:val="18"/>
          <w:b w:val="1"/>
          <w:bCs w:val="1"/>
          <w:color w:val="auto"/>
        </w:rPr>
        <w:t>ITEM 11. DESCRIPTION OF THE REGISTRANT’S SECURITIES TO BE REGISTERED Description of the Corporation’s Securities</w:t>
      </w:r>
    </w:p>
    <w:p>
      <w:pPr>
        <w:ind w:left="200" w:right="100" w:firstLine="441"/>
        <w:spacing w:after="0" w:line="277" w:lineRule="auto"/>
        <w:rPr>
          <w:sz w:val="20"/>
          <w:szCs w:val="20"/>
          <w:color w:val="auto"/>
        </w:rPr>
      </w:pPr>
      <w:r>
        <w:rPr>
          <w:rFonts w:ascii="Arial" w:cs="Arial" w:eastAsia="Arial" w:hAnsi="Arial"/>
          <w:sz w:val="18"/>
          <w:szCs w:val="18"/>
          <w:color w:val="auto"/>
        </w:rPr>
        <w:t>The Corporation is authorized to issue an unlimited number of Subordinate Voting Shares, an unlimited number of Multiple Voting Shares and an unlimited number of Super Voting Shares.</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As of November 30, 2019, the issued and outstanding capital of the Corporation consisted of: (i) 128,662,112 Subordinate Voting Shares; (ii) 373,350 Multiple Voting Shares (which includes securities to be issued in connection with an acquisition); and (iii) 402,289 Super Voting Shares.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total number of equity shares assuming all are converted into Subordinate Voting Shares would be 206,226,012.</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Articles, which are attached to this registration statement, provide further information regarding our securities and qualify the summary under Item 11 of this registration statement in its entirety.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Subordinate Voting Shares </w:t>
      </w:r>
      <w:r>
        <w:rPr>
          <w:rFonts w:ascii="Arial" w:cs="Arial" w:eastAsia="Arial" w:hAnsi="Arial"/>
          <w:sz w:val="18"/>
          <w:szCs w:val="18"/>
          <w:color w:val="auto"/>
        </w:rPr>
        <w:t>(formerly post-consolidation common shares of Bayswater)</w:t>
      </w:r>
    </w:p>
    <w:p>
      <w:pPr>
        <w:spacing w:after="0" w:line="229"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i w:val="1"/>
          <w:iCs w:val="1"/>
          <w:color w:val="auto"/>
        </w:rPr>
        <w:t>Reclassification</w:t>
      </w:r>
      <w:r>
        <w:rPr>
          <w:rFonts w:ascii="Arial" w:cs="Arial" w:eastAsia="Arial" w:hAnsi="Arial"/>
          <w:sz w:val="18"/>
          <w:szCs w:val="18"/>
          <w:color w:val="auto"/>
        </w:rPr>
        <w:t>. Each post-consolidation common share held by a shareholder of the Corporation has been reclassified into one Subordinate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Share.</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Notice and Voting Rights</w:t>
      </w:r>
      <w:r>
        <w:rPr>
          <w:rFonts w:ascii="Arial" w:cs="Arial" w:eastAsia="Arial" w:hAnsi="Arial"/>
          <w:sz w:val="17"/>
          <w:szCs w:val="17"/>
          <w:color w:val="auto"/>
        </w:rPr>
        <w:t>. Holders of Subordinate Voting Shares are entitled to notice of and to attend at any meeting of the shareholders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except a meeting of which only holders of another particular class or series of shares of the Corporation have the right to vote. At each such meeting, holders of Subordinate Voting Shares are entitled to one vote in respect of each Subordinate Voting Share held.</w:t>
      </w:r>
    </w:p>
    <w:p>
      <w:pPr>
        <w:spacing w:after="0" w:line="166"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Class Rights</w:t>
      </w:r>
      <w:r>
        <w:rPr>
          <w:rFonts w:ascii="Arial" w:cs="Arial" w:eastAsia="Arial" w:hAnsi="Arial"/>
          <w:sz w:val="18"/>
          <w:szCs w:val="18"/>
          <w:color w:val="auto"/>
        </w:rPr>
        <w:t>. As long as any Subordinate Voting Shares remain outstanding, the Corporation will not, without the consent of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 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the Corporation.</w:t>
      </w:r>
    </w:p>
    <w:p>
      <w:pPr>
        <w:spacing w:after="0" w:line="18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assets of the Corporation among its shareholders for the purpose of winding up its affairs, the holders of Subordinate Voting Shares will, subject to the prior rights of the holders of any shares of the Corporation ranking in priority to the Subordinate Voting Shares, be entitled to participate rateably along with all other holders of Subordinate Voting Shares, Multiple Voting Shares (on an as-converted to Subordinate Voting Shares basis) and Super Voting Shares (on an as-converted to Subordinate Voting Shares basis).</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In the event that an offer is made to purchase Multiple Voting Shares and the offer is one which is required,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then in effect at any time while the offer is in effect until one day after the time prescribed by applicable securities legislation for the offeror to take up and pay for such shares as are to be acquired pursuant to the offer.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conversion right may only be exercised in respect of Subordinate Voting Shares for the purpose of depositing the resulting Multiple Voting Shares pursuant to the offer, and for no other reason. In such event, the Corporation’s transfer agent shall deposit the resulting Multiple Voting Shares on behalf of the 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the Corporation or on the part of the holder, into Subordinate Voting Shares at the Conversion Ratio then in effect.</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Subordinate Voting Shares are entitled to receive as and when declared by the directors of the Corporation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or property of the Corporation. No dividend will be declared or paid on the Subordinate Voting Shares unless the Corporation simultaneously declares or pays, as applicable, equivalent dividends (on an as-converted to Subordinate Voting Shares basis) on the Multiple Voting Shares and Super Voting Shares.</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Multiple Voting Shares are entitled to notice of and to attend any meeting of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except a meeting of which only holders of another particular class or series of shares of the Corporation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i w:val="1"/>
          <w:iCs w:val="1"/>
          <w:color w:val="auto"/>
        </w:rPr>
        <w:t xml:space="preserve">Class Rights. </w:t>
      </w:r>
      <w:r>
        <w:rPr>
          <w:rFonts w:ascii="Arial" w:cs="Arial" w:eastAsia="Arial" w:hAnsi="Arial"/>
          <w:sz w:val="18"/>
          <w:szCs w:val="18"/>
          <w:color w:val="auto"/>
        </w:rPr>
        <w:t>As long as any Multiple Voting Shares remain outstanding, the Resulting Issuer will not, without the consent of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Subordinate Voting Shares, or bonds, debentures or other securities of the Corporation.</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assets of the Corporation among its shareholders for the purpose of winding up its affairs, the holders of Multiple Voting Shares will, subject to the prior rights of the holders of any shares of the Corporation ranking in priority to the Multiple Voting Shares, be entitled to participate rateably along with all other holders of Multiple Voting Shares (on an as-converted to Subordinate Voting Share basis), Subordinate Voting Shares and Super Voting Shares (on an as-converted to Subordinate Voting Share basis).</w:t>
      </w:r>
    </w:p>
    <w:p>
      <w:pPr>
        <w:spacing w:after="0" w:line="16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The Multiple Voting Shares each have a restricted right to convert into 100 Subordinate Voting Shares (the “</w:t>
      </w:r>
      <w:r>
        <w:rPr>
          <w:rFonts w:ascii="Arial" w:cs="Arial" w:eastAsia="Arial" w:hAnsi="Arial"/>
          <w:sz w:val="17"/>
          <w:szCs w:val="17"/>
          <w:b w:val="1"/>
          <w:bCs w:val="1"/>
          <w:color w:val="auto"/>
        </w:rPr>
        <w:t>Conversion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Ratio</w:t>
      </w:r>
      <w:r>
        <w:rPr>
          <w:rFonts w:ascii="Arial" w:cs="Arial" w:eastAsia="Arial" w:hAnsi="Arial"/>
          <w:sz w:val="17"/>
          <w:szCs w:val="17"/>
          <w:color w:val="auto"/>
        </w:rPr>
        <w:t>”), subject to adjustments for certain customary corporate changes. The ability to convert the Multiple Voting Shares is subject to a restriction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number of Subordinate Voting Shares, Multiple Voting Shares and Super Voting Shares held of record, directly or indirectly, by residents of the United States (as determined in accordance with Rules 3b-4 and 12g3-2(a) under the Securities Exchange Act of 1934, as amended,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 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the part of the Corporation or on the part of the holder, into Multiple Voting Shares at the inverse of the Conversion Ratio then in effect.</w:t>
      </w:r>
    </w:p>
    <w:p>
      <w:pPr>
        <w:spacing w:after="0" w:line="17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The holders of the Multiple Voting Shares are entitled to receive such dividends as may be declared and paid to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Voting Shares in any financial year as the Board of the Corporation may by resolution determine, on an as-converted to Subordinate Voting Share basis. No dividend will be declared or paid on the Multiple Voting Shares unless the Corporation simultaneously declares or pays, as applicable, equivalent dividends (on an as-converted to Subordinate Voting Share basis) on the Subordinate Voting Shares and Super Voting Shares.</w:t>
      </w:r>
    </w:p>
    <w:p>
      <w:pPr>
        <w:spacing w:after="0" w:line="46"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Super Voting Shares are entitled to notice of and to attend at any meeting of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except a meeting of which only holders of another particular class or series of shares of the Corporation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 xml:space="preserve">Class Rights. </w:t>
      </w:r>
      <w:r>
        <w:rPr>
          <w:rFonts w:ascii="Arial" w:cs="Arial" w:eastAsia="Arial" w:hAnsi="Arial"/>
          <w:sz w:val="17"/>
          <w:szCs w:val="17"/>
          <w:color w:val="auto"/>
        </w:rPr>
        <w:t>As long as any Super Voting Shares remain outstanding, the Resulting Issue will not, without the consent of the holders of the Super</w:t>
      </w:r>
      <w:r>
        <w:rPr>
          <w:rFonts w:ascii="Arial" w:cs="Arial" w:eastAsia="Arial" w:hAnsi="Arial"/>
          <w:sz w:val="17"/>
          <w:szCs w:val="17"/>
          <w:i w:val="1"/>
          <w:iCs w:val="1"/>
          <w:color w:val="auto"/>
        </w:rPr>
        <w:t xml:space="preserve"> </w:t>
      </w:r>
      <w:r>
        <w:rPr>
          <w:rFonts w:ascii="Arial" w:cs="Arial" w:eastAsia="Arial" w:hAnsi="Arial"/>
          <w:sz w:val="17"/>
          <w:szCs w:val="17"/>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Subordinate Voting Shares, bonds, debentures or other securities of the Corporation not convertible into Super Voting Shares.</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assets of the Corporation among its shareholders for the purpose of winding up its affairs, the holders of Super Voting Shares will, subject to the prior rights of the holders of any shares of the Corporation ranking in priority to the Super Voting Shares, be entitled to participate rateably along with all other holders of Super Voting Shares (on an as-converted to Subordinate Voting Share basis), Subordinate Voting Shares and Multiple Voting Shares (on an as-converted to Subordinate Voting Share basis).</w:t>
      </w:r>
    </w:p>
    <w:p>
      <w:pPr>
        <w:spacing w:after="0" w:line="173"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Each Super Voting Share has a right to convert into 1 Multiple Voting Share subject to customary adjustments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changes.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Conversion at the Option of the Corporation. </w:t>
      </w:r>
      <w:r>
        <w:rPr>
          <w:rFonts w:ascii="Arial" w:cs="Arial" w:eastAsia="Arial" w:hAnsi="Arial"/>
          <w:sz w:val="16"/>
          <w:szCs w:val="16"/>
          <w:color w:val="auto"/>
        </w:rPr>
        <w:t>The Corporation has the right to convert all or some of the Super Voting Shares from a holder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Super Voting Shares into an equal number of Multiple Voting Shares subject to customary adjustments for certain corporate changes:</w:t>
      </w:r>
    </w:p>
    <w:p>
      <w:pPr>
        <w:spacing w:after="0" w:line="116" w:lineRule="exact"/>
        <w:rPr>
          <w:sz w:val="20"/>
          <w:szCs w:val="20"/>
          <w:color w:val="auto"/>
        </w:rPr>
      </w:pPr>
    </w:p>
    <w:p>
      <w:pPr>
        <w:jc w:val="both"/>
        <w:ind w:left="1180" w:right="60" w:hanging="544"/>
        <w:spacing w:after="0" w:line="25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the transfer by the holder thereof to anyone other than (i) an immediate family member of Benjamin Kovler, Peter Kadens, Anthony Georgiadis or Andrew Grossman (the “</w:t>
      </w:r>
      <w:r>
        <w:rPr>
          <w:rFonts w:ascii="Arial" w:cs="Arial" w:eastAsia="Arial" w:hAnsi="Arial"/>
          <w:sz w:val="18"/>
          <w:szCs w:val="18"/>
          <w:b w:val="1"/>
          <w:bCs w:val="1"/>
          <w:color w:val="auto"/>
        </w:rPr>
        <w:t>Initial Holders</w:t>
      </w:r>
      <w:r>
        <w:rPr>
          <w:rFonts w:ascii="Arial" w:cs="Arial" w:eastAsia="Arial" w:hAnsi="Arial"/>
          <w:sz w:val="18"/>
          <w:szCs w:val="18"/>
          <w:color w:val="auto"/>
        </w:rPr>
        <w:t>”)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Corporation (together with the Initial Holders, “</w:t>
      </w:r>
      <w:r>
        <w:rPr>
          <w:rFonts w:ascii="Arial" w:cs="Arial" w:eastAsia="Arial" w:hAnsi="Arial"/>
          <w:sz w:val="18"/>
          <w:szCs w:val="18"/>
          <w:b w:val="1"/>
          <w:bCs w:val="1"/>
          <w:color w:val="auto"/>
        </w:rPr>
        <w:t>Permitted Holders</w:t>
      </w:r>
      <w:r>
        <w:rPr>
          <w:rFonts w:ascii="Arial" w:cs="Arial" w:eastAsia="Arial" w:hAnsi="Arial"/>
          <w:sz w:val="18"/>
          <w:szCs w:val="18"/>
          <w:color w:val="auto"/>
        </w:rPr>
        <w:t>”); or</w:t>
      </w:r>
    </w:p>
    <w:p>
      <w:pPr>
        <w:spacing w:after="0" w:line="93" w:lineRule="exact"/>
        <w:rPr>
          <w:rFonts w:ascii="Arial" w:cs="Arial" w:eastAsia="Arial" w:hAnsi="Arial"/>
          <w:sz w:val="18"/>
          <w:szCs w:val="18"/>
          <w:color w:val="auto"/>
        </w:rPr>
      </w:pPr>
    </w:p>
    <w:p>
      <w:pPr>
        <w:ind w:left="1180" w:hanging="544"/>
        <w:spacing w:after="0" w:line="288"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is less than 50%. The Initial Holders of Super Voting Shares will, from time to time upon the request of the Corporation, provide to the Corporation evidence as to such Initial Holders’ direct and indirect beneficial ownership (and that of its permitted transferees and permitted successors) of Super Voting Shares to enable the Corporation to determine if its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61"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7"/>
          <w:szCs w:val="17"/>
          <w:color w:val="auto"/>
        </w:rPr>
        <w:t>The Corporation is not required to convert Super Voting Shares on a prorated basis among the holders of Super Voting Shares.</w:t>
      </w:r>
    </w:p>
    <w:p>
      <w:pPr>
        <w:spacing w:after="0" w:line="23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There are no transfer restrictions for the Super Voting Shares, subject to conversion rights at the option of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(see “</w:t>
      </w:r>
      <w:r>
        <w:rPr>
          <w:rFonts w:ascii="Arial" w:cs="Arial" w:eastAsia="Arial" w:hAnsi="Arial"/>
          <w:sz w:val="18"/>
          <w:szCs w:val="18"/>
          <w:i w:val="1"/>
          <w:iCs w:val="1"/>
          <w:color w:val="auto"/>
        </w:rPr>
        <w:t>Conversion at the Option of the Corporation</w:t>
      </w:r>
      <w:r>
        <w:rPr>
          <w:rFonts w:ascii="Arial" w:cs="Arial" w:eastAsia="Arial" w:hAnsi="Arial"/>
          <w:sz w:val="18"/>
          <w:szCs w:val="18"/>
          <w:color w:val="auto"/>
        </w:rPr>
        <w:t>” above).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The holders of the Super Voting Shares are entitled to receive such dividends as may be declared and paid to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Voting Shares in any financial year as the Board of the Corporation may by resolution determine, on an as-converted to Subordinate Voting Share basis. No dividend will be declared or paid on the Super Voting Shares unless the Corporation simultaneously declares or pays, as applicable, equivalent dividends (on an as-converted to Subordinate Voting Share basis) on the Multiple Voting Shares and Subordinate Voting Shares.</w:t>
      </w:r>
    </w:p>
    <w:p>
      <w:pPr>
        <w:spacing w:after="0" w:line="15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Corporation is subject to the provisions of Part 5, Division 5 of the BCBCA.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Section 160 of the BCBCA, we may, subject to Section 163 of the BCBCA:</w:t>
      </w:r>
    </w:p>
    <w:p>
      <w:pPr>
        <w:spacing w:after="0" w:line="131" w:lineRule="exact"/>
        <w:rPr>
          <w:sz w:val="20"/>
          <w:szCs w:val="20"/>
          <w:color w:val="auto"/>
        </w:rPr>
      </w:pPr>
    </w:p>
    <w:p>
      <w:pPr>
        <w:ind w:left="1180" w:hanging="54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indemnify an individual who:</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or was a director or officer of our company,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is or was a director or officer of another corporation (A) at a time when such corporation is or was an affiliate of our company; or</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(B) at our request, or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40" w:hanging="430"/>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our request, is or was, or holds or held a position equivalent to that of, a director or officer of a partnership, trust, joint venture or other unincorporated entity,</w:t>
      </w:r>
    </w:p>
    <w:p>
      <w:pPr>
        <w:spacing w:after="0" w:line="62" w:lineRule="exact"/>
        <w:rPr>
          <w:sz w:val="20"/>
          <w:szCs w:val="20"/>
          <w:color w:val="auto"/>
        </w:rPr>
      </w:pPr>
    </w:p>
    <w:p>
      <w:pPr>
        <w:ind w:left="1200" w:right="380"/>
        <w:spacing w:after="0" w:line="308" w:lineRule="auto"/>
        <w:rPr>
          <w:sz w:val="20"/>
          <w:szCs w:val="20"/>
          <w:color w:val="auto"/>
        </w:rPr>
      </w:pPr>
      <w:r>
        <w:rPr>
          <w:rFonts w:ascii="Arial" w:cs="Arial" w:eastAsia="Arial" w:hAnsi="Arial"/>
          <w:sz w:val="17"/>
          <w:szCs w:val="17"/>
          <w:color w:val="auto"/>
        </w:rPr>
        <w:t>including, subject to certain limited exceptions, the heirs and personal or other legal representatives of that individual (collectively, an “eligible party”), against all eligible penalties, defined below, to which the eligible party is or may be liable; and</w:t>
      </w:r>
    </w:p>
    <w:p>
      <w:pPr>
        <w:spacing w:after="0" w:line="52" w:lineRule="exact"/>
        <w:rPr>
          <w:sz w:val="20"/>
          <w:szCs w:val="20"/>
          <w:color w:val="auto"/>
        </w:rPr>
      </w:pPr>
    </w:p>
    <w:p>
      <w:pPr>
        <w:ind w:left="1180" w:right="28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after final disposition of an eligible proceeding, pay the expenses actually and reasonably incurred by an eligible party in respect of that proceeding, where:</w:t>
      </w:r>
    </w:p>
    <w:p>
      <w:pPr>
        <w:spacing w:after="0" w:line="75" w:lineRule="exact"/>
        <w:rPr>
          <w:rFonts w:ascii="Arial" w:cs="Arial" w:eastAsia="Arial" w:hAnsi="Arial"/>
          <w:sz w:val="18"/>
          <w:szCs w:val="18"/>
          <w:color w:val="auto"/>
        </w:rPr>
      </w:pPr>
    </w:p>
    <w:p>
      <w:pPr>
        <w:ind w:left="1620" w:right="740" w:hanging="430"/>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“eligible penalty” means a judgment, penalty or fine awarded or imposed in, or an amount paid in settlement of, an eligible proceeding,</w:t>
      </w:r>
    </w:p>
    <w:p>
      <w:pPr>
        <w:spacing w:after="0" w:line="75" w:lineRule="exact"/>
        <w:rPr>
          <w:rFonts w:ascii="Arial" w:cs="Arial" w:eastAsia="Arial" w:hAnsi="Arial"/>
          <w:sz w:val="18"/>
          <w:szCs w:val="18"/>
          <w:color w:val="auto"/>
        </w:rPr>
      </w:pPr>
    </w:p>
    <w:p>
      <w:pPr>
        <w:ind w:left="1620" w:right="60" w:hanging="430"/>
        <w:spacing w:after="0" w:line="30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our company or an associated corporation (A) is or may be joined as a party, or (B) is or may be liable for or in respect of a judgment, penalty or fine in, or expenses related to, the proceeding,</w:t>
      </w:r>
    </w:p>
    <w:p>
      <w:pPr>
        <w:spacing w:after="0" w:line="59" w:lineRule="exact"/>
        <w:rPr>
          <w:rFonts w:ascii="Arial" w:cs="Arial" w:eastAsia="Arial" w:hAnsi="Arial"/>
          <w:sz w:val="16"/>
          <w:szCs w:val="16"/>
          <w:color w:val="auto"/>
        </w:rPr>
      </w:pPr>
    </w:p>
    <w:p>
      <w:pPr>
        <w:ind w:left="1620" w:right="180" w:hanging="430"/>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“expenses” includes costs, charges and expenses, including legal and other fees, but does not include judgments, penalties, fines or amounts paid in settlement of a proceeding,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“proceeding” includes any legal proceeding or investigative action, whether current, threatened, pending or completed.</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Under Section 161 of the BCBCA, and subject to Section 163 of the BCBCA, we must, after the final disposition of an eligible proceeding, pay the expenses actually and reasonably incurred by an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Under Section 162 of the BCBCA, and subject to Section 163 of the BCBCA, we may pay, as they are incurred in advance of the final disposition of an eligible proceeding, the expenses actually and reasonably incurred by an eligible party in respect of the proceeding, provided that we must not make such payments unless we first receive from the eligible party a written undertaking that, if it is ultimately determined that the payment of expenses is prohibited under Section 163 of the BCBCA, the eligible party will repay the amounts advanced.</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Section 163 of the BCBCA, we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87" w:lineRule="exact"/>
        <w:rPr>
          <w:sz w:val="20"/>
          <w:szCs w:val="20"/>
          <w:color w:val="auto"/>
        </w:rPr>
      </w:pPr>
    </w:p>
    <w:p>
      <w:pPr>
        <w:ind w:left="1180" w:right="500" w:hanging="544"/>
        <w:spacing w:after="0" w:line="264"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we were prohibited from giving the indemnity or paying the expenses by our memorandum or Articles;</w:t>
      </w:r>
    </w:p>
    <w:p>
      <w:pPr>
        <w:spacing w:after="0" w:line="86" w:lineRule="exact"/>
        <w:rPr>
          <w:rFonts w:ascii="Arial" w:cs="Arial" w:eastAsia="Arial" w:hAnsi="Arial"/>
          <w:sz w:val="18"/>
          <w:szCs w:val="18"/>
          <w:color w:val="auto"/>
        </w:rPr>
      </w:pPr>
    </w:p>
    <w:p>
      <w:pPr>
        <w:jc w:val="both"/>
        <w:ind w:left="1180" w:right="460" w:hanging="544"/>
        <w:spacing w:after="0" w:line="342"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we are prohibited from giving the indemnity or paying the expenses by our memorandum or Articles;</w:t>
      </w:r>
    </w:p>
    <w:p>
      <w:pPr>
        <w:spacing w:after="0" w:line="29" w:lineRule="exact"/>
        <w:rPr>
          <w:rFonts w:ascii="Arial" w:cs="Arial" w:eastAsia="Arial" w:hAnsi="Arial"/>
          <w:sz w:val="16"/>
          <w:szCs w:val="16"/>
          <w:color w:val="auto"/>
        </w:rPr>
      </w:pPr>
    </w:p>
    <w:p>
      <w:pPr>
        <w:ind w:left="118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in relation to the subject matter of the eligible proceeding, the eligible party did not act honestly and in good faith with a view to the best interests of our company or the associated corporation, as the case may be; or</w:t>
      </w:r>
    </w:p>
    <w:p>
      <w:pPr>
        <w:spacing w:after="0" w:line="75"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an eligible proceeding is brought against an eligible party by or on behalf of our company or by or on behalf of an associated corporation, we must not either indemnify the eligible party under Section 160(a) of the BCBCA against eligible penalties to which the eligible party is or may be liable, or pay the expenses of the eligible party under Sections 160(b), 161 or 162 of the BCBCA, as the case may be, in respect of the proceeding.</w:t>
      </w:r>
    </w:p>
    <w:p>
      <w:pPr>
        <w:spacing w:after="0" w:line="14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Under Section 164 of the BCBCA, and despite any other provision of Part 5, Division 5 of the BCBCA and whether or not payment of expenses or indemnification has been sought, authorized or declined under Part 5, Division 5 of the BCBCA, on application of our company or an eligible party, the court may do one or more of the following:</w:t>
      </w:r>
    </w:p>
    <w:p>
      <w:pPr>
        <w:spacing w:after="0" w:line="87" w:lineRule="exact"/>
        <w:rPr>
          <w:sz w:val="20"/>
          <w:szCs w:val="20"/>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order us to indemnify an eligible party against any liability incurred by the eligible party in respect of an eligible proceeding;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order us to pay some or all of the expenses incurred by an eligible party in respect of an eligible proceeding;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order the enforcement of, or any payment under, an agreement of indemnification entered into by us;</w:t>
      </w:r>
    </w:p>
    <w:p>
      <w:pPr>
        <w:spacing w:after="0" w:line="130"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order us to pay some or all of the expenses actually and reasonably incurred by any person in obtaining an order under Section 164 of the BCBCA;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other order the court considers appropriate.</w:t>
      </w:r>
    </w:p>
    <w:p>
      <w:pPr>
        <w:spacing w:after="0" w:line="225"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Section 165 of the BCBCA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our company or an associated corporation.</w:t>
      </w:r>
    </w:p>
    <w:p>
      <w:pPr>
        <w:spacing w:after="0" w:line="14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Under Part 21.2 of our Articles, and subject to the BCBCA,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the Corporation on the terms of the indemnity contained in our Articles.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Part 21.3 of our Articles, and subject to any restrictions in the BCBCA, we may indemnify any person.</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indemnification agreements, each director and executive officer is entitled, subject to the terms and conditions thereof, to the right of indemnification and contribution for certain expenses to the fullest extent permitted by applicable law. We believe that these indemnification agreements are necessary to attract and retain qualified individuals to serve as directors and executive officers.</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Part 21.4 of our Articles, the failure of an eligible party to comply with the BCBCA or our Articles does not invalidate any indemnity to which he or she is entitled under our Articles.</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Under Part 21.5 of our Articles, we may purchase and maintain insurance for the benefit of any person (or his or her heirs or legal personal representatives) who: (1) is or was a director, alternate director, officer, employee or agent of the Corporation; (2) is or was a director, alternate director, officer, employee or agent of a corporation at a time when the corporation is or was an affiliate of the Corporation; (3) at the request of the Corporation, is or was a director, alternate director, officer, employee or agent of a corporation or of a partnership, trust, joint venture or other unincorporated entity; or (4) at the request of the Corporation, holds or held a position equivalent to that of a director, alternate director or officer of a partnership, trust, joint venture or other unincorporated entity, against any liability incurred by him or her by reason of having been a director, alternate director, officer, employee or agent or person who holds or held such equivalent position.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an insurance policy covering our directors and officers, within the limits and subject to the limitations of the policy, with respect to certain liabilities arising out of claims based on acts or omissions in their capacities as directors or officers.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financial statements required to be included in this registration statement appear immediately following the signature page to this registration statement beginning on page F-1.</w:t>
      </w:r>
    </w:p>
    <w:p>
      <w:pPr>
        <w:spacing w:after="0" w:line="275" w:lineRule="exact"/>
        <w:rPr>
          <w:sz w:val="20"/>
          <w:szCs w:val="20"/>
          <w:color w:val="auto"/>
        </w:rPr>
      </w:pPr>
    </w:p>
    <w:p>
      <w:pPr>
        <w:ind w:left="200" w:right="1140"/>
        <w:spacing w:after="0" w:line="375" w:lineRule="auto"/>
        <w:rPr>
          <w:sz w:val="20"/>
          <w:szCs w:val="20"/>
          <w:color w:val="auto"/>
        </w:rPr>
      </w:pPr>
      <w:r>
        <w:rPr>
          <w:rFonts w:ascii="Arial" w:cs="Arial" w:eastAsia="Arial" w:hAnsi="Arial"/>
          <w:sz w:val="18"/>
          <w:szCs w:val="18"/>
          <w:b w:val="1"/>
          <w:bCs w:val="1"/>
          <w:color w:val="auto"/>
        </w:rPr>
        <w:t>ITEM 14. CHANGES IN AND DISAGREEMENTS WITH AUDITORS ON ACCOUNTING AND FINANCIAL DISCLOSURE Prior Independent Registered Accounting Firm</w:t>
      </w:r>
    </w:p>
    <w:p>
      <w:pPr>
        <w:spacing w:after="0" w:line="1" w:lineRule="exact"/>
        <w:rPr>
          <w:sz w:val="20"/>
          <w:szCs w:val="20"/>
          <w:color w:val="auto"/>
        </w:rPr>
      </w:pPr>
    </w:p>
    <w:p>
      <w:pPr>
        <w:ind w:left="200" w:right="80" w:firstLine="441"/>
        <w:spacing w:after="0" w:line="261" w:lineRule="auto"/>
        <w:rPr>
          <w:sz w:val="20"/>
          <w:szCs w:val="20"/>
          <w:color w:val="auto"/>
        </w:rPr>
      </w:pPr>
      <w:r>
        <w:rPr>
          <w:rFonts w:ascii="Arial" w:cs="Arial" w:eastAsia="Arial" w:hAnsi="Arial"/>
          <w:sz w:val="18"/>
          <w:szCs w:val="18"/>
          <w:color w:val="auto"/>
        </w:rPr>
        <w:t>Following the Transaction, the independent registered public accounting firm of the Corporation was MNP LLP (“</w:t>
      </w:r>
      <w:r>
        <w:rPr>
          <w:rFonts w:ascii="Arial" w:cs="Arial" w:eastAsia="Arial" w:hAnsi="Arial"/>
          <w:sz w:val="18"/>
          <w:szCs w:val="18"/>
          <w:b w:val="1"/>
          <w:bCs w:val="1"/>
          <w:color w:val="auto"/>
        </w:rPr>
        <w:t>MNP</w:t>
      </w:r>
      <w:r>
        <w:rPr>
          <w:rFonts w:ascii="Arial" w:cs="Arial" w:eastAsia="Arial" w:hAnsi="Arial"/>
          <w:sz w:val="18"/>
          <w:szCs w:val="18"/>
          <w:color w:val="auto"/>
        </w:rPr>
        <w:t>”) located at 111 Richmond Street W, Suite 300, Toronto, Ontario M5H 2G4, Canada. The Corporation engaged MNP on February 21, 2019, and MNP completed an audit of the Corporation for the year ended December 31, 2018. MNP resigned as the Corporation’s auditor effective October 15, 2019. The resignation of MNP was approved by the Audit Committee and the Board.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year ended December 31, 2018 and the subsequent period through October 15, 2019, the date of MNP’s resignation, there were no</w:t>
      </w:r>
    </w:p>
    <w:p>
      <w:pPr>
        <w:spacing w:after="0" w:line="46" w:lineRule="exact"/>
        <w:rPr>
          <w:sz w:val="20"/>
          <w:szCs w:val="20"/>
          <w:color w:val="auto"/>
        </w:rPr>
      </w:pPr>
    </w:p>
    <w:p>
      <w:pPr>
        <w:ind w:left="200" w:firstLine="4"/>
        <w:spacing w:after="0" w:line="302" w:lineRule="auto"/>
        <w:tabs>
          <w:tab w:leader="none" w:pos="4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disagreements with MNP on any matter of accounting principles or practices, financial statement disclosure or auditing scope or procedure, which, if not resolved to MNP’s satisfaction, would have caused MNP to make reference thereto in its report on the consolidated financial statements of the Corporation (as described in Item 304(a)(1)(iv) of Regulation S-K) or (2) reportable events (as described in Item 304(a)(1)(v) of Regulation S-K).</w:t>
      </w:r>
    </w:p>
    <w:p>
      <w:pPr>
        <w:spacing w:after="0" w:line="155"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MNP’s report on the consolidated financial statements of the Corporation for the year ended December 31, 2018 did not contain an adverse opinion or a disclaimer of opinion and was not qualified or modified as to uncertainty, audit scope or accounting principles.</w:t>
      </w:r>
    </w:p>
    <w:p>
      <w:pPr>
        <w:spacing w:after="0" w:line="14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have provided MNP with a copy of the foregoing disclosures and requested that MNP furnish us with a letter addressed to the SEC stating whether MNP agrees with the statements made herein and, if not, stating the respects in which it does not agree. A copy of the letter is filed as Exhibit 16.1 to this registration statement.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Engagement of Macias Gini &amp; O’Connell LLP</w:t>
      </w:r>
    </w:p>
    <w:p>
      <w:pPr>
        <w:spacing w:after="0" w:line="117" w:lineRule="exact"/>
        <w:rPr>
          <w:sz w:val="20"/>
          <w:szCs w:val="20"/>
          <w:color w:val="auto"/>
        </w:rPr>
      </w:pPr>
    </w:p>
    <w:p>
      <w:pPr>
        <w:ind w:left="200" w:right="20" w:firstLine="441"/>
        <w:spacing w:after="0" w:line="281" w:lineRule="auto"/>
        <w:rPr>
          <w:sz w:val="20"/>
          <w:szCs w:val="20"/>
          <w:color w:val="auto"/>
        </w:rPr>
      </w:pPr>
      <w:r>
        <w:rPr>
          <w:rFonts w:ascii="Arial" w:cs="Arial" w:eastAsia="Arial" w:hAnsi="Arial"/>
          <w:sz w:val="17"/>
          <w:szCs w:val="17"/>
          <w:color w:val="auto"/>
        </w:rPr>
        <w:t>The Corporation appointed Macias Gini &amp; O’Connell LLP (“</w:t>
      </w:r>
      <w:r>
        <w:rPr>
          <w:rFonts w:ascii="Arial" w:cs="Arial" w:eastAsia="Arial" w:hAnsi="Arial"/>
          <w:sz w:val="17"/>
          <w:szCs w:val="17"/>
          <w:b w:val="1"/>
          <w:bCs w:val="1"/>
          <w:color w:val="auto"/>
        </w:rPr>
        <w:t>MGO</w:t>
      </w:r>
      <w:r>
        <w:rPr>
          <w:rFonts w:ascii="Arial" w:cs="Arial" w:eastAsia="Arial" w:hAnsi="Arial"/>
          <w:sz w:val="17"/>
          <w:szCs w:val="17"/>
          <w:color w:val="auto"/>
        </w:rPr>
        <w:t>”) located at 2029 Century Park East, Suite 1500, Los Angeles, California 90067 as its independent registered public accounting firm effective October 17, 2019. The engagement of MGO was approved by the Audit Committee and the Board. MGO will complete an audit of the Corporation for the year ended December 31, 2019. Additionally, in connection with this registration statement on Form 10, MGO provided audits of the Corporation for the years ended December 31, 2016 and 2017.</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period from October 17, 2019 through November 30, 2019, the Corporation did not consult with MGO regarding any of the following:</w:t>
      </w:r>
    </w:p>
    <w:p>
      <w:pPr>
        <w:spacing w:after="0" w:line="154" w:lineRule="exact"/>
        <w:rPr>
          <w:sz w:val="20"/>
          <w:szCs w:val="20"/>
          <w:color w:val="auto"/>
        </w:rPr>
      </w:pPr>
    </w:p>
    <w:p>
      <w:pPr>
        <w:jc w:val="both"/>
        <w:ind w:left="1180" w:hanging="436"/>
        <w:spacing w:after="0" w:line="259"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application of accounting principles to a specified transaction, either completed or proposed, or the type of audit opinion that might be rendered on the Corporation’s financial statements, and neither a written report nor oral advice was provided to the Corporation that MGO concluded was an important factor considered by the Corporation in reaching a decision as to an accounting, auditing or financial reporting issue;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(as described in Item 304(a)(1)(iv) of Regulation S-K) or a reportable event (as described in Item 304(a)(1)(v) of Regulation S-K).</w:t>
      </w:r>
    </w:p>
    <w:p>
      <w:pPr>
        <w:spacing w:after="0" w:line="62"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MGO’s reports on the combined financial statements of the Corporation for the years ended December 31, 2016 and 2017 did not contain an adverse opinion or a disclaimer of opinion and were not qualified or modified as to uncertainty, audit scope or accounting principle.</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20"/>
          </w:cols>
          <w:pgMar w:left="240" w:top="459" w:right="7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256" w:lineRule="exact"/>
        <w:rPr>
          <w:sz w:val="20"/>
          <w:szCs w:val="20"/>
          <w:color w:val="auto"/>
        </w:rPr>
      </w:pPr>
    </w:p>
    <w:p>
      <w:pPr>
        <w:ind w:left="640" w:right="540" w:hanging="436"/>
        <w:spacing w:after="0" w:line="277"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Green Thumb Industries Inc. Consolidated and Combined Financial Statements as of December 31, 2018 and 2017 and for the Two Years Ended December 31, 2018</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40" w:type="dxa"/>
            <w:vAlign w:val="bottom"/>
            <w:tcBorders>
              <w:bottom w:val="single" w:sz="8" w:color="0000EE"/>
            </w:tcBorders>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Report of Independent Registered Public Accounting Firm</w:t>
              </w:r>
            </w:hyperlink>
          </w:p>
        </w:tc>
        <w:tc>
          <w:tcPr>
            <w:tcW w:w="5360" w:type="dxa"/>
            <w:vAlign w:val="bottom"/>
            <w:gridSpan w:val="5"/>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88"/>
              </w:rPr>
              <w:t>F-1</w:t>
            </w:r>
          </w:p>
        </w:tc>
      </w:tr>
      <w:tr>
        <w:trPr>
          <w:trHeight w:val="304"/>
        </w:trPr>
        <w:tc>
          <w:tcPr>
            <w:tcW w:w="960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Consolidated and Combined Balance Sheets as of December 31, 2018 and 2017</w:t>
              </w:r>
            </w:hyperlink>
          </w:p>
        </w:tc>
        <w:tc>
          <w:tcPr>
            <w:tcW w:w="780" w:type="dxa"/>
            <w:vAlign w:val="bottom"/>
          </w:tcPr>
          <w:p>
            <w:pPr>
              <w:ind w:left="520"/>
              <w:spacing w:after="0"/>
              <w:rPr>
                <w:sz w:val="20"/>
                <w:szCs w:val="20"/>
                <w:color w:val="auto"/>
              </w:rPr>
            </w:pPr>
            <w:r>
              <w:rPr>
                <w:rFonts w:ascii="Arial" w:cs="Arial" w:eastAsia="Arial" w:hAnsi="Arial"/>
                <w:sz w:val="18"/>
                <w:szCs w:val="18"/>
                <w:color w:val="auto"/>
                <w:w w:val="88"/>
              </w:rPr>
              <w:t>F-2</w:t>
            </w:r>
          </w:p>
        </w:tc>
      </w:tr>
      <w:tr>
        <w:trPr>
          <w:trHeight w:val="20"/>
        </w:trPr>
        <w:tc>
          <w:tcPr>
            <w:tcW w:w="4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7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Consolidated and Combined Statements of Operations for the years ended December 31, 2018 and 2017</w:t>
              </w:r>
            </w:hyperlink>
          </w:p>
        </w:tc>
        <w:tc>
          <w:tcPr>
            <w:tcW w:w="2100" w:type="dxa"/>
            <w:vAlign w:val="bottom"/>
            <w:gridSpan w:val="3"/>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88"/>
              </w:rPr>
              <w:t>F-3</w:t>
            </w:r>
          </w:p>
        </w:tc>
      </w:tr>
      <w:tr>
        <w:trPr>
          <w:trHeight w:val="304"/>
        </w:trPr>
        <w:tc>
          <w:tcPr>
            <w:tcW w:w="9600" w:type="dxa"/>
            <w:vAlign w:val="bottom"/>
            <w:gridSpan w:val="6"/>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Consolidated and Combined Statements of Changes in Shareholders’ Equity for the years ended December 31, 2018 and 2017</w:t>
              </w:r>
            </w:hyperlink>
          </w:p>
        </w:tc>
        <w:tc>
          <w:tcPr>
            <w:tcW w:w="780" w:type="dxa"/>
            <w:vAlign w:val="bottom"/>
          </w:tcPr>
          <w:p>
            <w:pPr>
              <w:ind w:left="520"/>
              <w:spacing w:after="0"/>
              <w:rPr>
                <w:sz w:val="20"/>
                <w:szCs w:val="20"/>
                <w:color w:val="auto"/>
              </w:rPr>
            </w:pPr>
            <w:r>
              <w:rPr>
                <w:rFonts w:ascii="Arial" w:cs="Arial" w:eastAsia="Arial" w:hAnsi="Arial"/>
                <w:sz w:val="18"/>
                <w:szCs w:val="18"/>
                <w:color w:val="auto"/>
                <w:w w:val="88"/>
              </w:rPr>
              <w:t>F-4</w:t>
            </w:r>
          </w:p>
        </w:tc>
      </w:tr>
      <w:tr>
        <w:trPr>
          <w:trHeight w:val="304"/>
        </w:trPr>
        <w:tc>
          <w:tcPr>
            <w:tcW w:w="7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Consolidated and Combined Statements of Cash Flows for the years ended December 31, 2018 and 2017</w:t>
              </w:r>
            </w:hyperlink>
          </w:p>
        </w:tc>
        <w:tc>
          <w:tcPr>
            <w:tcW w:w="15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88"/>
              </w:rPr>
              <w:t>F-5</w:t>
            </w:r>
          </w:p>
        </w:tc>
      </w:tr>
      <w:tr>
        <w:trPr>
          <w:trHeight w:val="304"/>
        </w:trPr>
        <w:tc>
          <w:tcPr>
            <w:tcW w:w="9600" w:type="dxa"/>
            <w:vAlign w:val="bottom"/>
            <w:gridSpan w:val="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Notes to Consolidated and Combined Financial Statements</w:t>
              </w:r>
            </w:hyperlink>
          </w:p>
        </w:tc>
        <w:tc>
          <w:tcPr>
            <w:tcW w:w="780" w:type="dxa"/>
            <w:vAlign w:val="bottom"/>
          </w:tcPr>
          <w:p>
            <w:pPr>
              <w:ind w:left="520"/>
              <w:spacing w:after="0"/>
              <w:rPr>
                <w:sz w:val="20"/>
                <w:szCs w:val="20"/>
                <w:color w:val="auto"/>
              </w:rPr>
            </w:pPr>
            <w:r>
              <w:rPr>
                <w:rFonts w:ascii="Arial" w:cs="Arial" w:eastAsia="Arial" w:hAnsi="Arial"/>
                <w:sz w:val="18"/>
                <w:szCs w:val="18"/>
                <w:color w:val="auto"/>
                <w:w w:val="88"/>
              </w:rPr>
              <w:t>F-7</w:t>
            </w:r>
          </w:p>
        </w:tc>
      </w:tr>
      <w:tr>
        <w:trPr>
          <w:trHeight w:val="20"/>
        </w:trPr>
        <w:tc>
          <w:tcPr>
            <w:tcW w:w="4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1340" w:hanging="436"/>
        <w:spacing w:after="0" w:line="277"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Green Thumb Industries Inc. Combined Financial Statements as of December 31, 2017 and 2016 and for the Two Years Ended December 31, 2017</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Report of Independent Registered Public Accounting Firm</w:t>
              </w:r>
            </w:hyperlink>
          </w:p>
        </w:tc>
        <w:tc>
          <w:tcPr>
            <w:tcW w:w="4740" w:type="dxa"/>
            <w:vAlign w:val="bottom"/>
            <w:gridSpan w:val="5"/>
          </w:tcPr>
          <w:p>
            <w:pPr>
              <w:spacing w:after="0"/>
              <w:rPr>
                <w:sz w:val="17"/>
                <w:szCs w:val="17"/>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F-47</w:t>
            </w:r>
          </w:p>
        </w:tc>
      </w:tr>
      <w:tr>
        <w:trPr>
          <w:trHeight w:val="304"/>
        </w:trPr>
        <w:tc>
          <w:tcPr>
            <w:tcW w:w="8960" w:type="dxa"/>
            <w:vAlign w:val="bottom"/>
            <w:gridSpan w:val="7"/>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Combined Balance Sheets as of December 31, 2017 and 2016</w:t>
              </w:r>
            </w:hyperlink>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F-48</w:t>
            </w:r>
          </w:p>
        </w:tc>
      </w:tr>
      <w:tr>
        <w:trPr>
          <w:trHeight w:val="20"/>
        </w:trPr>
        <w:tc>
          <w:tcPr>
            <w:tcW w:w="29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62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58">
              <w:r>
                <w:rPr>
                  <w:rFonts w:ascii="Arial" w:cs="Arial" w:eastAsia="Arial" w:hAnsi="Arial"/>
                  <w:sz w:val="18"/>
                  <w:szCs w:val="18"/>
                  <w:color w:val="0000EE"/>
                  <w:w w:val="88"/>
                </w:rPr>
                <w:t>Combined Statements of Operations for the years ended December 31, 2017 and 2016</w:t>
              </w:r>
            </w:hyperlink>
          </w:p>
        </w:tc>
        <w:tc>
          <w:tcPr>
            <w:tcW w:w="2760" w:type="dxa"/>
            <w:vAlign w:val="bottom"/>
            <w:gridSpan w:val="3"/>
          </w:tcPr>
          <w:p>
            <w:pPr>
              <w:spacing w:after="0"/>
              <w:rPr>
                <w:sz w:val="24"/>
                <w:szCs w:val="24"/>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F-49</w:t>
            </w:r>
          </w:p>
        </w:tc>
      </w:tr>
      <w:tr>
        <w:trPr>
          <w:trHeight w:val="304"/>
        </w:trPr>
        <w:tc>
          <w:tcPr>
            <w:tcW w:w="8960" w:type="dxa"/>
            <w:vAlign w:val="bottom"/>
            <w:gridSpan w:val="7"/>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Combined Statements of Changes in Shareholders’ Equity for the years ended December 31, 2017 and 2016</w:t>
              </w:r>
            </w:hyperlink>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F-50</w:t>
            </w:r>
          </w:p>
        </w:tc>
      </w:tr>
      <w:tr>
        <w:trPr>
          <w:trHeight w:val="304"/>
        </w:trPr>
        <w:tc>
          <w:tcPr>
            <w:tcW w:w="6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60">
              <w:r>
                <w:rPr>
                  <w:rFonts w:ascii="Arial" w:cs="Arial" w:eastAsia="Arial" w:hAnsi="Arial"/>
                  <w:sz w:val="18"/>
                  <w:szCs w:val="18"/>
                  <w:color w:val="0000EE"/>
                  <w:w w:val="89"/>
                </w:rPr>
                <w:t>Combined Statements of Cash Flows for the years ended December 31, 2017 and 2016</w:t>
              </w:r>
            </w:hyperlink>
          </w:p>
        </w:tc>
        <w:tc>
          <w:tcPr>
            <w:tcW w:w="152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F-51</w:t>
            </w:r>
          </w:p>
        </w:tc>
      </w:tr>
      <w:tr>
        <w:trPr>
          <w:trHeight w:val="304"/>
        </w:trPr>
        <w:tc>
          <w:tcPr>
            <w:tcW w:w="8960" w:type="dxa"/>
            <w:vAlign w:val="bottom"/>
            <w:gridSpan w:val="7"/>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Notes to Combined Financial Statements</w:t>
              </w:r>
            </w:hyperlink>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F-53</w:t>
            </w:r>
          </w:p>
        </w:tc>
      </w:tr>
      <w:tr>
        <w:trPr>
          <w:trHeight w:val="20"/>
        </w:trPr>
        <w:tc>
          <w:tcPr>
            <w:tcW w:w="29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560" w:hanging="436"/>
        <w:spacing w:after="0" w:line="277"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Integral Associates, LLC Combined Financial Statements as of December 31, 2018 and 2017 and for the Two Years Ended December 31, 2018</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7">
              <w:r>
                <w:rPr>
                  <w:rFonts w:ascii="Arial" w:cs="Arial" w:eastAsia="Arial" w:hAnsi="Arial"/>
                  <w:sz w:val="18"/>
                  <w:szCs w:val="18"/>
                  <w:color w:val="0000EE"/>
                  <w:w w:val="91"/>
                </w:rPr>
                <w:t>Report of Independent Registered Public Accounting Firm</w:t>
              </w:r>
            </w:hyperlink>
          </w:p>
        </w:tc>
        <w:tc>
          <w:tcPr>
            <w:tcW w:w="4600" w:type="dxa"/>
            <w:vAlign w:val="bottom"/>
            <w:gridSpan w:val="5"/>
          </w:tcPr>
          <w:p>
            <w:pPr>
              <w:spacing w:after="0"/>
              <w:rPr>
                <w:sz w:val="18"/>
                <w:szCs w:val="18"/>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F-78</w:t>
            </w: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Combined Balance Sheets as of December 31, 2018 and 2017</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F-79</w:t>
            </w:r>
          </w:p>
        </w:tc>
      </w:tr>
      <w:tr>
        <w:trPr>
          <w:trHeight w:val="20"/>
        </w:trPr>
        <w:tc>
          <w:tcPr>
            <w:tcW w:w="29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Combined Income Statement for the years ended December 31, 2018 and 2017</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F-80</w:t>
            </w:r>
          </w:p>
        </w:tc>
      </w:tr>
      <w:tr>
        <w:trPr>
          <w:trHeight w:val="20"/>
        </w:trPr>
        <w:tc>
          <w:tcPr>
            <w:tcW w:w="29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Combined Statements of Changes in Members’ Equity for the years ended December 31, 2018 and 2017</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F-81</w:t>
            </w:r>
          </w:p>
        </w:tc>
      </w:tr>
      <w:tr>
        <w:trPr>
          <w:trHeight w:val="304"/>
        </w:trPr>
        <w:tc>
          <w:tcPr>
            <w:tcW w:w="6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91">
              <w:r>
                <w:rPr>
                  <w:rFonts w:ascii="Arial" w:cs="Arial" w:eastAsia="Arial" w:hAnsi="Arial"/>
                  <w:sz w:val="18"/>
                  <w:szCs w:val="18"/>
                  <w:color w:val="0000EE"/>
                  <w:w w:val="89"/>
                </w:rPr>
                <w:t>Combined Statements of Cash Flows for the years ended December 31, 2018 and 2017</w:t>
              </w:r>
            </w:hyperlink>
          </w:p>
        </w:tc>
        <w:tc>
          <w:tcPr>
            <w:tcW w:w="1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F-82</w:t>
            </w: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Notes to Combined Financial Statements</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F-83</w:t>
            </w:r>
          </w:p>
        </w:tc>
      </w:tr>
      <w:tr>
        <w:trPr>
          <w:trHeight w:val="20"/>
        </w:trPr>
        <w:tc>
          <w:tcPr>
            <w:tcW w:w="29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Advanced Grow Labs, LLC Consolidated Financial Statements as of December 31, 2018 and for the Year Ended December 31, 2018</w:t>
      </w:r>
    </w:p>
    <w:p>
      <w:pPr>
        <w:spacing w:after="0" w:line="11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02">
              <w:r>
                <w:rPr>
                  <w:rFonts w:ascii="Arial" w:cs="Arial" w:eastAsia="Arial" w:hAnsi="Arial"/>
                  <w:sz w:val="18"/>
                  <w:szCs w:val="18"/>
                  <w:color w:val="0000EE"/>
                  <w:w w:val="91"/>
                </w:rPr>
                <w:t>Report of Independent Registered Public Accounting Firm</w:t>
              </w:r>
            </w:hyperlink>
          </w:p>
        </w:tc>
        <w:tc>
          <w:tcPr>
            <w:tcW w:w="4320" w:type="dxa"/>
            <w:vAlign w:val="bottom"/>
            <w:gridSpan w:val="4"/>
          </w:tcPr>
          <w:p>
            <w:pPr>
              <w:spacing w:after="0"/>
              <w:rPr>
                <w:sz w:val="18"/>
                <w:szCs w:val="18"/>
                <w:color w:val="auto"/>
              </w:rPr>
            </w:pPr>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F-93</w:t>
            </w:r>
          </w:p>
        </w:tc>
      </w:tr>
      <w:tr>
        <w:trPr>
          <w:trHeight w:val="304"/>
        </w:trPr>
        <w:tc>
          <w:tcPr>
            <w:tcW w:w="39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03">
              <w:r>
                <w:rPr>
                  <w:rFonts w:ascii="Arial" w:cs="Arial" w:eastAsia="Arial" w:hAnsi="Arial"/>
                  <w:sz w:val="18"/>
                  <w:szCs w:val="18"/>
                  <w:color w:val="0000EE"/>
                  <w:w w:val="88"/>
                </w:rPr>
                <w:t>Consolidated Balance Sheets as of December 31, 2018</w:t>
              </w:r>
            </w:hyperlink>
          </w:p>
        </w:tc>
        <w:tc>
          <w:tcPr>
            <w:tcW w:w="4600" w:type="dxa"/>
            <w:vAlign w:val="bottom"/>
            <w:gridSpan w:val="5"/>
          </w:tcPr>
          <w:p>
            <w:pPr>
              <w:spacing w:after="0"/>
              <w:rPr>
                <w:sz w:val="24"/>
                <w:szCs w:val="24"/>
                <w:color w:val="auto"/>
              </w:rPr>
            </w:pPr>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F-94</w:t>
            </w:r>
          </w:p>
        </w:tc>
      </w:tr>
      <w:tr>
        <w:trPr>
          <w:trHeight w:val="304"/>
        </w:trPr>
        <w:tc>
          <w:tcPr>
            <w:tcW w:w="8540" w:type="dxa"/>
            <w:vAlign w:val="bottom"/>
            <w:gridSpan w:val="7"/>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Consolidated Income Statement for the year ended December 31, 2018</w:t>
              </w:r>
            </w:hyperlink>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F-95</w:t>
            </w:r>
          </w:p>
        </w:tc>
      </w:tr>
      <w:tr>
        <w:trPr>
          <w:trHeight w:val="20"/>
        </w:trPr>
        <w:tc>
          <w:tcPr>
            <w:tcW w:w="314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8540" w:type="dxa"/>
            <w:vAlign w:val="bottom"/>
            <w:gridSpan w:val="7"/>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Consolidated Statements of Changes in Members’ Equity for the year ended December 31, 2018</w:t>
              </w:r>
            </w:hyperlink>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F-96</w:t>
            </w:r>
          </w:p>
        </w:tc>
      </w:tr>
      <w:tr>
        <w:trPr>
          <w:trHeight w:val="304"/>
        </w:trPr>
        <w:tc>
          <w:tcPr>
            <w:tcW w:w="5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06">
              <w:r>
                <w:rPr>
                  <w:rFonts w:ascii="Arial" w:cs="Arial" w:eastAsia="Arial" w:hAnsi="Arial"/>
                  <w:sz w:val="18"/>
                  <w:szCs w:val="18"/>
                  <w:color w:val="0000EE"/>
                  <w:w w:val="89"/>
                </w:rPr>
                <w:t>Consolidated Statements of Cash Flows for the year ended December 31, 2018</w:t>
              </w:r>
            </w:hyperlink>
          </w:p>
        </w:tc>
        <w:tc>
          <w:tcPr>
            <w:tcW w:w="126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F-97</w:t>
            </w:r>
          </w:p>
        </w:tc>
      </w:tr>
      <w:tr>
        <w:trPr>
          <w:trHeight w:val="304"/>
        </w:trPr>
        <w:tc>
          <w:tcPr>
            <w:tcW w:w="8540" w:type="dxa"/>
            <w:vAlign w:val="bottom"/>
            <w:gridSpan w:val="7"/>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Notes to Consolidated Financial Statements</w:t>
              </w:r>
            </w:hyperlink>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F-98</w:t>
            </w:r>
          </w:p>
        </w:tc>
      </w:tr>
      <w:tr>
        <w:trPr>
          <w:trHeight w:val="385"/>
        </w:trPr>
        <w:tc>
          <w:tcPr>
            <w:tcW w:w="3140" w:type="dxa"/>
            <w:vAlign w:val="bottom"/>
            <w:tcBorders>
              <w:top w:val="single" w:sz="8" w:color="0000EE"/>
            </w:tcBorders>
          </w:tcPr>
          <w:p>
            <w:pPr>
              <w:spacing w:after="0"/>
              <w:rPr>
                <w:sz w:val="24"/>
                <w:szCs w:val="24"/>
                <w:color w:val="auto"/>
              </w:rPr>
            </w:pPr>
          </w:p>
        </w:tc>
        <w:tc>
          <w:tcPr>
            <w:tcW w:w="2540" w:type="dxa"/>
            <w:vAlign w:val="bottom"/>
            <w:gridSpan w:val="4"/>
          </w:tcPr>
          <w:p>
            <w:pPr>
              <w:jc w:val="right"/>
              <w:ind w:right="520"/>
              <w:spacing w:after="0"/>
              <w:rPr>
                <w:sz w:val="20"/>
                <w:szCs w:val="20"/>
                <w:color w:val="auto"/>
              </w:rPr>
            </w:pPr>
            <w:r>
              <w:rPr>
                <w:rFonts w:ascii="Arial" w:cs="Arial" w:eastAsia="Arial" w:hAnsi="Arial"/>
                <w:sz w:val="18"/>
                <w:szCs w:val="18"/>
                <w:color w:val="auto"/>
              </w:rPr>
              <w:t>98</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40" w:right="980" w:hanging="436"/>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Green Thumb Industries Inc. Unaudited Interim Condensed Consolidated Financial Statements as of September 30, 2019 and for the Nine Months Ended September 30, 2019 and 2018</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9800" w:type="dxa"/>
            <w:vAlign w:val="bottom"/>
            <w:gridSpan w:val="7"/>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Unaudited Interim Condensed Consolidated Balance Sheet as of September 30, 2019</w:t>
              </w:r>
            </w:hyperlink>
          </w:p>
        </w:tc>
        <w:tc>
          <w:tcPr>
            <w:tcW w:w="540" w:type="dxa"/>
            <w:vAlign w:val="bottom"/>
          </w:tcPr>
          <w:p>
            <w:pPr>
              <w:ind w:left="160"/>
              <w:spacing w:after="0"/>
              <w:rPr>
                <w:sz w:val="20"/>
                <w:szCs w:val="20"/>
                <w:color w:val="auto"/>
              </w:rPr>
            </w:pPr>
            <w:r>
              <w:rPr>
                <w:rFonts w:ascii="Arial" w:cs="Arial" w:eastAsia="Arial" w:hAnsi="Arial"/>
                <w:sz w:val="18"/>
                <w:szCs w:val="18"/>
                <w:color w:val="auto"/>
                <w:w w:val="87"/>
              </w:rPr>
              <w:t>FQ-1</w:t>
            </w:r>
          </w:p>
        </w:tc>
      </w:tr>
      <w:tr>
        <w:trPr>
          <w:trHeight w:val="20"/>
        </w:trPr>
        <w:tc>
          <w:tcPr>
            <w:tcW w:w="106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9800" w:type="dxa"/>
            <w:vAlign w:val="bottom"/>
            <w:gridSpan w:val="7"/>
          </w:tcPr>
          <w:p>
            <w:pPr>
              <w:spacing w:after="0"/>
              <w:rPr>
                <w:rFonts w:ascii="Arial" w:cs="Arial" w:eastAsia="Arial" w:hAnsi="Arial"/>
                <w:sz w:val="18"/>
                <w:szCs w:val="18"/>
                <w:color w:val="0000EE"/>
                <w:w w:val="95"/>
              </w:rPr>
            </w:pPr>
            <w:hyperlink w:anchor="page219">
              <w:r>
                <w:rPr>
                  <w:rFonts w:ascii="Arial" w:cs="Arial" w:eastAsia="Arial" w:hAnsi="Arial"/>
                  <w:sz w:val="18"/>
                  <w:szCs w:val="18"/>
                  <w:color w:val="0000EE"/>
                  <w:w w:val="95"/>
                </w:rPr>
                <w:t>Unaudited Interim Condensed Consolidated Statements of Operations for the nine months ended September 30, 2019 and 2018</w:t>
              </w:r>
            </w:hyperlink>
          </w:p>
        </w:tc>
        <w:tc>
          <w:tcPr>
            <w:tcW w:w="540" w:type="dxa"/>
            <w:vAlign w:val="bottom"/>
          </w:tcPr>
          <w:p>
            <w:pPr>
              <w:ind w:left="160"/>
              <w:spacing w:after="0"/>
              <w:rPr>
                <w:sz w:val="20"/>
                <w:szCs w:val="20"/>
                <w:color w:val="auto"/>
              </w:rPr>
            </w:pPr>
            <w:r>
              <w:rPr>
                <w:rFonts w:ascii="Arial" w:cs="Arial" w:eastAsia="Arial" w:hAnsi="Arial"/>
                <w:sz w:val="18"/>
                <w:szCs w:val="18"/>
                <w:color w:val="auto"/>
                <w:w w:val="87"/>
              </w:rPr>
              <w:t>FQ-2</w:t>
            </w:r>
          </w:p>
        </w:tc>
      </w:tr>
      <w:tr>
        <w:trPr>
          <w:trHeight w:val="20"/>
        </w:trPr>
        <w:tc>
          <w:tcPr>
            <w:tcW w:w="106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96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20">
              <w:r>
                <w:rPr>
                  <w:rFonts w:ascii="Arial" w:cs="Arial" w:eastAsia="Arial" w:hAnsi="Arial"/>
                  <w:sz w:val="18"/>
                  <w:szCs w:val="18"/>
                  <w:color w:val="0000EE"/>
                  <w:w w:val="89"/>
                </w:rPr>
                <w:t>Unaudited Interim Condensed Consolidated Statements of Changes in Shareholders’ Equity for the nine months ended September 30,</w:t>
              </w:r>
            </w:hyperlink>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9800" w:type="dxa"/>
            <w:vAlign w:val="bottom"/>
            <w:gridSpan w:val="7"/>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2019 and 2018</w:t>
              </w:r>
            </w:hyperlink>
          </w:p>
        </w:tc>
        <w:tc>
          <w:tcPr>
            <w:tcW w:w="540" w:type="dxa"/>
            <w:vAlign w:val="bottom"/>
          </w:tcPr>
          <w:p>
            <w:pPr>
              <w:ind w:left="160"/>
              <w:spacing w:after="0" w:line="196" w:lineRule="exact"/>
              <w:rPr>
                <w:sz w:val="20"/>
                <w:szCs w:val="20"/>
                <w:color w:val="auto"/>
              </w:rPr>
            </w:pPr>
            <w:r>
              <w:rPr>
                <w:rFonts w:ascii="Arial" w:cs="Arial" w:eastAsia="Arial" w:hAnsi="Arial"/>
                <w:sz w:val="18"/>
                <w:szCs w:val="18"/>
                <w:color w:val="auto"/>
                <w:w w:val="87"/>
              </w:rPr>
              <w:t>FQ-3</w:t>
            </w:r>
          </w:p>
        </w:tc>
      </w:tr>
      <w:tr>
        <w:trPr>
          <w:trHeight w:val="20"/>
        </w:trPr>
        <w:tc>
          <w:tcPr>
            <w:tcW w:w="10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9800" w:type="dxa"/>
            <w:vAlign w:val="bottom"/>
            <w:gridSpan w:val="7"/>
          </w:tcPr>
          <w:p>
            <w:pPr>
              <w:spacing w:after="0"/>
              <w:rPr>
                <w:rFonts w:ascii="Arial" w:cs="Arial" w:eastAsia="Arial" w:hAnsi="Arial"/>
                <w:sz w:val="18"/>
                <w:szCs w:val="18"/>
                <w:color w:val="0000EE"/>
                <w:w w:val="95"/>
              </w:rPr>
            </w:pPr>
            <w:hyperlink w:anchor="page221">
              <w:r>
                <w:rPr>
                  <w:rFonts w:ascii="Arial" w:cs="Arial" w:eastAsia="Arial" w:hAnsi="Arial"/>
                  <w:sz w:val="18"/>
                  <w:szCs w:val="18"/>
                  <w:color w:val="0000EE"/>
                  <w:w w:val="95"/>
                </w:rPr>
                <w:t>Unaudited Interim Condensed Consolidated Statements of Cash Flows for the nine months ended September 30, 2019 and 2018</w:t>
              </w:r>
            </w:hyperlink>
          </w:p>
        </w:tc>
        <w:tc>
          <w:tcPr>
            <w:tcW w:w="540" w:type="dxa"/>
            <w:vAlign w:val="bottom"/>
          </w:tcPr>
          <w:p>
            <w:pPr>
              <w:ind w:left="160"/>
              <w:spacing w:after="0"/>
              <w:rPr>
                <w:sz w:val="20"/>
                <w:szCs w:val="20"/>
                <w:color w:val="auto"/>
              </w:rPr>
            </w:pPr>
            <w:r>
              <w:rPr>
                <w:rFonts w:ascii="Arial" w:cs="Arial" w:eastAsia="Arial" w:hAnsi="Arial"/>
                <w:sz w:val="18"/>
                <w:szCs w:val="18"/>
                <w:color w:val="auto"/>
                <w:w w:val="87"/>
              </w:rPr>
              <w:t>FQ-4</w:t>
            </w:r>
          </w:p>
        </w:tc>
      </w:tr>
      <w:tr>
        <w:trPr>
          <w:trHeight w:val="304"/>
        </w:trPr>
        <w:tc>
          <w:tcPr>
            <w:tcW w:w="5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24">
              <w:r>
                <w:rPr>
                  <w:rFonts w:ascii="Arial" w:cs="Arial" w:eastAsia="Arial" w:hAnsi="Arial"/>
                  <w:sz w:val="18"/>
                  <w:szCs w:val="18"/>
                  <w:color w:val="0000EE"/>
                  <w:w w:val="89"/>
                </w:rPr>
                <w:t>Notes to Unaudited Interim Condensed Consolidated Financial Statements</w:t>
              </w:r>
            </w:hyperlink>
          </w:p>
        </w:tc>
        <w:tc>
          <w:tcPr>
            <w:tcW w:w="3840" w:type="dxa"/>
            <w:vAlign w:val="bottom"/>
            <w:tcBorders>
              <w:top w:val="single" w:sz="8" w:color="0000EE"/>
            </w:tcBorders>
            <w:gridSpan w:val="3"/>
          </w:tcPr>
          <w:p>
            <w:pPr>
              <w:spacing w:after="0"/>
              <w:rPr>
                <w:sz w:val="24"/>
                <w:szCs w:val="24"/>
                <w:color w:val="auto"/>
              </w:rPr>
            </w:pPr>
          </w:p>
        </w:tc>
        <w:tc>
          <w:tcPr>
            <w:tcW w:w="600" w:type="dxa"/>
            <w:vAlign w:val="bottom"/>
            <w:gridSpan w:val="2"/>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87"/>
              </w:rPr>
              <w:t>FQ-7</w:t>
            </w:r>
          </w:p>
        </w:tc>
      </w:tr>
    </w:tbl>
    <w:p>
      <w:pPr>
        <w:spacing w:after="0" w:line="121" w:lineRule="exact"/>
        <w:rPr>
          <w:sz w:val="20"/>
          <w:szCs w:val="20"/>
          <w:color w:val="auto"/>
        </w:rPr>
      </w:pPr>
    </w:p>
    <w:p>
      <w:pPr>
        <w:ind w:left="640" w:right="1300" w:hanging="436"/>
        <w:spacing w:after="0" w:line="27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Integral Associates, LLC Unaudited Interim Condensed Combined Financial Statements as of March 31, 2019 and for the Three Months Ended March 31, 2019 and 2018</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9840" w:type="dxa"/>
            <w:vAlign w:val="bottom"/>
            <w:gridSpan w:val="6"/>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Unaudited Interim Condensed Combined Balance Sheet as of March 31, 2019</w:t>
              </w:r>
            </w:hyperlink>
          </w:p>
        </w:tc>
        <w:tc>
          <w:tcPr>
            <w:tcW w:w="680" w:type="dxa"/>
            <w:vAlign w:val="bottom"/>
          </w:tcPr>
          <w:p>
            <w:pPr>
              <w:ind w:left="200"/>
              <w:spacing w:after="0"/>
              <w:rPr>
                <w:sz w:val="20"/>
                <w:szCs w:val="20"/>
                <w:color w:val="auto"/>
              </w:rPr>
            </w:pPr>
            <w:r>
              <w:rPr>
                <w:rFonts w:ascii="Arial" w:cs="Arial" w:eastAsia="Arial" w:hAnsi="Arial"/>
                <w:sz w:val="18"/>
                <w:szCs w:val="18"/>
                <w:color w:val="auto"/>
                <w:w w:val="90"/>
              </w:rPr>
              <w:t>FQ-40</w:t>
            </w:r>
          </w:p>
        </w:tc>
      </w:tr>
      <w:tr>
        <w:trPr>
          <w:trHeight w:val="20"/>
        </w:trPr>
        <w:tc>
          <w:tcPr>
            <w:tcW w:w="5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9840" w:type="dxa"/>
            <w:vAlign w:val="bottom"/>
            <w:gridSpan w:val="6"/>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Unaudited Interim Condensed Combined Statements of Income for the three months ended March 31, 2019 and 2018</w:t>
              </w:r>
            </w:hyperlink>
          </w:p>
        </w:tc>
        <w:tc>
          <w:tcPr>
            <w:tcW w:w="680" w:type="dxa"/>
            <w:vAlign w:val="bottom"/>
          </w:tcPr>
          <w:p>
            <w:pPr>
              <w:ind w:left="200"/>
              <w:spacing w:after="0"/>
              <w:rPr>
                <w:sz w:val="20"/>
                <w:szCs w:val="20"/>
                <w:color w:val="auto"/>
              </w:rPr>
            </w:pPr>
            <w:r>
              <w:rPr>
                <w:rFonts w:ascii="Arial" w:cs="Arial" w:eastAsia="Arial" w:hAnsi="Arial"/>
                <w:sz w:val="18"/>
                <w:szCs w:val="18"/>
                <w:color w:val="auto"/>
                <w:w w:val="90"/>
              </w:rPr>
              <w:t>FQ-41</w:t>
            </w:r>
          </w:p>
        </w:tc>
      </w:tr>
      <w:tr>
        <w:trPr>
          <w:trHeight w:val="20"/>
        </w:trPr>
        <w:tc>
          <w:tcPr>
            <w:tcW w:w="516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9840" w:type="dxa"/>
            <w:vAlign w:val="bottom"/>
            <w:gridSpan w:val="6"/>
          </w:tcPr>
          <w:p>
            <w:pPr>
              <w:spacing w:after="0"/>
              <w:rPr>
                <w:rFonts w:ascii="Arial" w:cs="Arial" w:eastAsia="Arial" w:hAnsi="Arial"/>
                <w:sz w:val="18"/>
                <w:szCs w:val="18"/>
                <w:color w:val="0000EE"/>
                <w:w w:val="92"/>
              </w:rPr>
            </w:pPr>
            <w:hyperlink w:anchor="page259">
              <w:r>
                <w:rPr>
                  <w:rFonts w:ascii="Arial" w:cs="Arial" w:eastAsia="Arial" w:hAnsi="Arial"/>
                  <w:sz w:val="18"/>
                  <w:szCs w:val="18"/>
                  <w:color w:val="0000EE"/>
                  <w:w w:val="92"/>
                </w:rPr>
                <w:t xml:space="preserve">Unaudited Interim Condensed Combined Statements of Changes in Members’ Equity for the three months ended </w:t>
              </w:r>
            </w:hyperlink>
            <w:r>
              <w:rPr>
                <w:rFonts w:ascii="Arial" w:cs="Arial" w:eastAsia="Arial" w:hAnsi="Arial"/>
                <w:sz w:val="18"/>
                <w:szCs w:val="18"/>
                <w:color w:val="000000"/>
                <w:w w:val="92"/>
              </w:rPr>
              <w:t>March</w:t>
            </w:r>
            <w:r>
              <w:rPr>
                <w:rFonts w:ascii="Arial" w:cs="Arial" w:eastAsia="Arial" w:hAnsi="Arial"/>
                <w:sz w:val="18"/>
                <w:szCs w:val="18"/>
                <w:color w:val="0000EE"/>
                <w:w w:val="92"/>
              </w:rPr>
              <w:t xml:space="preserve"> </w:t>
            </w:r>
            <w:r>
              <w:rPr>
                <w:rFonts w:ascii="Arial" w:cs="Arial" w:eastAsia="Arial" w:hAnsi="Arial"/>
                <w:sz w:val="18"/>
                <w:szCs w:val="18"/>
                <w:color w:val="000000"/>
                <w:w w:val="92"/>
              </w:rPr>
              <w:t>31, 2019 and</w:t>
            </w:r>
          </w:p>
        </w:tc>
        <w:tc>
          <w:tcPr>
            <w:tcW w:w="680" w:type="dxa"/>
            <w:vAlign w:val="bottom"/>
          </w:tcPr>
          <w:p>
            <w:pPr>
              <w:spacing w:after="0"/>
              <w:rPr>
                <w:sz w:val="24"/>
                <w:szCs w:val="24"/>
                <w:color w:val="auto"/>
              </w:rPr>
            </w:pPr>
          </w:p>
        </w:tc>
      </w:tr>
      <w:tr>
        <w:trPr>
          <w:trHeight w:val="237"/>
        </w:trPr>
        <w:tc>
          <w:tcPr>
            <w:tcW w:w="51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2018</w:t>
            </w:r>
          </w:p>
        </w:tc>
        <w:tc>
          <w:tcPr>
            <w:tcW w:w="440" w:type="dxa"/>
            <w:vAlign w:val="bottom"/>
            <w:tcBorders>
              <w:top w:val="single" w:sz="8" w:color="0000EE"/>
            </w:tcBorders>
          </w:tcPr>
          <w:p>
            <w:pPr>
              <w:spacing w:after="0"/>
              <w:rPr>
                <w:sz w:val="20"/>
                <w:szCs w:val="20"/>
                <w:color w:val="auto"/>
              </w:rPr>
            </w:pPr>
          </w:p>
        </w:tc>
        <w:tc>
          <w:tcPr>
            <w:tcW w:w="252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w w:val="90"/>
              </w:rPr>
              <w:t>FQ-42</w:t>
            </w:r>
          </w:p>
        </w:tc>
      </w:tr>
      <w:tr>
        <w:trPr>
          <w:trHeight w:val="284"/>
        </w:trPr>
        <w:tc>
          <w:tcPr>
            <w:tcW w:w="87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60">
              <w:r>
                <w:rPr>
                  <w:rFonts w:ascii="Arial" w:cs="Arial" w:eastAsia="Arial" w:hAnsi="Arial"/>
                  <w:sz w:val="18"/>
                  <w:szCs w:val="18"/>
                  <w:color w:val="0000EE"/>
                  <w:w w:val="89"/>
                </w:rPr>
                <w:t>Unaudited Interim Condensed Combined Statements of Cash Flows for the three months ended March 31, 2019 and 2018</w:t>
              </w:r>
            </w:hyperlink>
          </w:p>
        </w:tc>
        <w:tc>
          <w:tcPr>
            <w:tcW w:w="108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w w:val="90"/>
              </w:rPr>
              <w:t>FQ-43</w:t>
            </w:r>
          </w:p>
        </w:tc>
      </w:tr>
      <w:tr>
        <w:trPr>
          <w:trHeight w:val="304"/>
        </w:trPr>
        <w:tc>
          <w:tcPr>
            <w:tcW w:w="9840" w:type="dxa"/>
            <w:vAlign w:val="bottom"/>
            <w:gridSpan w:val="6"/>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Notes to Unaudited Interim Condensed Combined Financial Statements</w:t>
              </w:r>
            </w:hyperlink>
          </w:p>
        </w:tc>
        <w:tc>
          <w:tcPr>
            <w:tcW w:w="680" w:type="dxa"/>
            <w:vAlign w:val="bottom"/>
          </w:tcPr>
          <w:p>
            <w:pPr>
              <w:ind w:left="200"/>
              <w:spacing w:after="0"/>
              <w:rPr>
                <w:sz w:val="20"/>
                <w:szCs w:val="20"/>
                <w:color w:val="auto"/>
              </w:rPr>
            </w:pPr>
            <w:r>
              <w:rPr>
                <w:rFonts w:ascii="Arial" w:cs="Arial" w:eastAsia="Arial" w:hAnsi="Arial"/>
                <w:sz w:val="18"/>
                <w:szCs w:val="18"/>
                <w:color w:val="auto"/>
                <w:w w:val="90"/>
              </w:rPr>
              <w:t>FQ-44</w:t>
            </w:r>
          </w:p>
        </w:tc>
      </w:tr>
      <w:tr>
        <w:trPr>
          <w:trHeight w:val="20"/>
        </w:trPr>
        <w:tc>
          <w:tcPr>
            <w:tcW w:w="5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0220" w:type="dxa"/>
            <w:vAlign w:val="bottom"/>
            <w:gridSpan w:val="9"/>
          </w:tcPr>
          <w:p>
            <w:pPr>
              <w:spacing w:after="0"/>
              <w:rPr>
                <w:sz w:val="20"/>
                <w:szCs w:val="20"/>
                <w:color w:val="auto"/>
              </w:rPr>
            </w:pPr>
            <w:r>
              <w:rPr>
                <w:rFonts w:ascii="Arial" w:cs="Arial" w:eastAsia="Arial" w:hAnsi="Arial"/>
                <w:sz w:val="18"/>
                <w:szCs w:val="18"/>
                <w:color w:val="auto"/>
              </w:rPr>
              <w:t>(g)   Unaudited Pro Forma Condensed Combined Financial Statements</w:t>
            </w:r>
          </w:p>
        </w:tc>
        <w:tc>
          <w:tcPr>
            <w:tcW w:w="540" w:type="dxa"/>
            <w:vAlign w:val="bottom"/>
          </w:tcPr>
          <w:p>
            <w:pPr>
              <w:spacing w:after="0"/>
              <w:rPr>
                <w:sz w:val="20"/>
                <w:szCs w:val="20"/>
                <w:color w:val="auto"/>
              </w:rPr>
            </w:pPr>
          </w:p>
        </w:tc>
      </w:tr>
      <w:tr>
        <w:trPr>
          <w:trHeight w:val="284"/>
        </w:trPr>
        <w:tc>
          <w:tcPr>
            <w:tcW w:w="440" w:type="dxa"/>
            <w:vAlign w:val="bottom"/>
          </w:tcPr>
          <w:p>
            <w:pPr>
              <w:spacing w:after="0"/>
              <w:rPr>
                <w:sz w:val="24"/>
                <w:szCs w:val="24"/>
                <w:color w:val="auto"/>
              </w:rPr>
            </w:pPr>
          </w:p>
        </w:tc>
        <w:tc>
          <w:tcPr>
            <w:tcW w:w="9780" w:type="dxa"/>
            <w:vAlign w:val="bottom"/>
            <w:gridSpan w:val="8"/>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Introduction to Unaudited Pro Forma Condensed Combined Financial Statements</w:t>
              </w:r>
            </w:hyperlink>
          </w:p>
        </w:tc>
        <w:tc>
          <w:tcPr>
            <w:tcW w:w="540" w:type="dxa"/>
            <w:vAlign w:val="bottom"/>
          </w:tcPr>
          <w:p>
            <w:pPr>
              <w:ind w:left="180"/>
              <w:spacing w:after="0"/>
              <w:rPr>
                <w:sz w:val="20"/>
                <w:szCs w:val="20"/>
                <w:color w:val="auto"/>
              </w:rPr>
            </w:pPr>
            <w:r>
              <w:rPr>
                <w:rFonts w:ascii="Arial" w:cs="Arial" w:eastAsia="Arial" w:hAnsi="Arial"/>
                <w:sz w:val="18"/>
                <w:szCs w:val="18"/>
                <w:color w:val="auto"/>
                <w:w w:val="87"/>
              </w:rPr>
              <w:t>PF-1</w:t>
            </w:r>
          </w:p>
        </w:tc>
      </w:tr>
      <w:tr>
        <w:trPr>
          <w:trHeight w:val="20"/>
        </w:trPr>
        <w:tc>
          <w:tcPr>
            <w:tcW w:w="440" w:type="dxa"/>
            <w:vAlign w:val="bottom"/>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7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71">
              <w:r>
                <w:rPr>
                  <w:rFonts w:ascii="Arial" w:cs="Arial" w:eastAsia="Arial" w:hAnsi="Arial"/>
                  <w:sz w:val="18"/>
                  <w:szCs w:val="18"/>
                  <w:color w:val="0000EE"/>
                  <w:w w:val="90"/>
                </w:rPr>
                <w:t>Unaudited Pro Forma Condensed Combined Balance Sheets of Green Thumb Industries Inc. and Integral Associates, LLC as of March</w:t>
              </w:r>
            </w:hyperlink>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95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71">
              <w:r>
                <w:rPr>
                  <w:rFonts w:ascii="Arial" w:cs="Arial" w:eastAsia="Arial" w:hAnsi="Arial"/>
                  <w:sz w:val="18"/>
                  <w:szCs w:val="18"/>
                  <w:color w:val="0000EE"/>
                  <w:w w:val="90"/>
                </w:rPr>
                <w:t>31, 2019 and Unaudited Pro Forma Condensed Combined Balance Sheets of Green Thumb Industries Inc., Integral Associates, LLC</w:t>
              </w:r>
            </w:hyperlink>
          </w:p>
        </w:tc>
        <w:tc>
          <w:tcPr>
            <w:tcW w:w="2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9780" w:type="dxa"/>
            <w:vAlign w:val="bottom"/>
            <w:gridSpan w:val="8"/>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and Advanced Grow Labs, LLC as of December 31, 2018 and 2017</w:t>
              </w:r>
            </w:hyperlink>
          </w:p>
        </w:tc>
        <w:tc>
          <w:tcPr>
            <w:tcW w:w="540" w:type="dxa"/>
            <w:vAlign w:val="bottom"/>
          </w:tcPr>
          <w:p>
            <w:pPr>
              <w:ind w:left="180"/>
              <w:spacing w:after="0" w:line="196" w:lineRule="exact"/>
              <w:rPr>
                <w:sz w:val="20"/>
                <w:szCs w:val="20"/>
                <w:color w:val="auto"/>
              </w:rPr>
            </w:pPr>
            <w:r>
              <w:rPr>
                <w:rFonts w:ascii="Arial" w:cs="Arial" w:eastAsia="Arial" w:hAnsi="Arial"/>
                <w:sz w:val="18"/>
                <w:szCs w:val="18"/>
                <w:color w:val="auto"/>
                <w:w w:val="87"/>
              </w:rPr>
              <w:t>PF-2</w:t>
            </w:r>
          </w:p>
        </w:tc>
      </w:tr>
      <w:tr>
        <w:trPr>
          <w:trHeight w:val="20"/>
        </w:trPr>
        <w:tc>
          <w:tcPr>
            <w:tcW w:w="440" w:type="dxa"/>
            <w:vAlign w:val="bottom"/>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7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74">
              <w:r>
                <w:rPr>
                  <w:rFonts w:ascii="Arial" w:cs="Arial" w:eastAsia="Arial" w:hAnsi="Arial"/>
                  <w:sz w:val="18"/>
                  <w:szCs w:val="18"/>
                  <w:color w:val="0000EE"/>
                  <w:w w:val="90"/>
                </w:rPr>
                <w:t>Unaudited Pro Forma Condensed Combined Statements of Operations of Green Thumb Industries Inc. and Integral Associates, LLC for</w:t>
              </w:r>
            </w:hyperlink>
          </w:p>
        </w:tc>
        <w:tc>
          <w:tcPr>
            <w:tcW w:w="5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9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74">
              <w:r>
                <w:rPr>
                  <w:rFonts w:ascii="Arial" w:cs="Arial" w:eastAsia="Arial" w:hAnsi="Arial"/>
                  <w:sz w:val="18"/>
                  <w:szCs w:val="18"/>
                  <w:color w:val="0000EE"/>
                  <w:w w:val="89"/>
                </w:rPr>
                <w:t>the three months ended March 31, 2019 and Unaudited Pro Forma Condensed Combined Statements of Operations of Green Thumb</w:t>
              </w:r>
            </w:hyperlink>
          </w:p>
        </w:tc>
        <w:tc>
          <w:tcPr>
            <w:tcW w:w="2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9780" w:type="dxa"/>
            <w:vAlign w:val="bottom"/>
            <w:gridSpan w:val="8"/>
          </w:tcPr>
          <w:p>
            <w:pPr>
              <w:spacing w:after="0" w:line="196" w:lineRule="exact"/>
              <w:rPr>
                <w:rFonts w:ascii="Arial" w:cs="Arial" w:eastAsia="Arial" w:hAnsi="Arial"/>
                <w:sz w:val="18"/>
                <w:szCs w:val="18"/>
                <w:color w:val="0000EE"/>
              </w:rPr>
            </w:pPr>
            <w:hyperlink w:anchor="page274">
              <w:r>
                <w:rPr>
                  <w:rFonts w:ascii="Arial" w:cs="Arial" w:eastAsia="Arial" w:hAnsi="Arial"/>
                  <w:sz w:val="18"/>
                  <w:szCs w:val="18"/>
                  <w:color w:val="0000EE"/>
                </w:rPr>
                <w:t>Industries Inc., Integral Associates, LLC and Advanced Grow Labs, LLC for the years ended December 31, 2018 and 2017</w:t>
              </w:r>
            </w:hyperlink>
          </w:p>
        </w:tc>
        <w:tc>
          <w:tcPr>
            <w:tcW w:w="540" w:type="dxa"/>
            <w:vAlign w:val="bottom"/>
          </w:tcPr>
          <w:p>
            <w:pPr>
              <w:ind w:left="180"/>
              <w:spacing w:after="0" w:line="196" w:lineRule="exact"/>
              <w:rPr>
                <w:sz w:val="20"/>
                <w:szCs w:val="20"/>
                <w:color w:val="auto"/>
              </w:rPr>
            </w:pPr>
            <w:r>
              <w:rPr>
                <w:rFonts w:ascii="Arial" w:cs="Arial" w:eastAsia="Arial" w:hAnsi="Arial"/>
                <w:sz w:val="18"/>
                <w:szCs w:val="18"/>
                <w:color w:val="auto"/>
                <w:w w:val="87"/>
              </w:rPr>
              <w:t>PF-5</w:t>
            </w:r>
          </w:p>
        </w:tc>
      </w:tr>
      <w:tr>
        <w:trPr>
          <w:trHeight w:val="304"/>
        </w:trPr>
        <w:tc>
          <w:tcPr>
            <w:tcW w:w="440" w:type="dxa"/>
            <w:vAlign w:val="bottom"/>
          </w:tcPr>
          <w:p>
            <w:pPr>
              <w:spacing w:after="0"/>
              <w:rPr>
                <w:sz w:val="24"/>
                <w:szCs w:val="24"/>
                <w:color w:val="auto"/>
              </w:rPr>
            </w:pPr>
          </w:p>
        </w:tc>
        <w:tc>
          <w:tcPr>
            <w:tcW w:w="54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77">
              <w:r>
                <w:rPr>
                  <w:rFonts w:ascii="Arial" w:cs="Arial" w:eastAsia="Arial" w:hAnsi="Arial"/>
                  <w:sz w:val="18"/>
                  <w:szCs w:val="18"/>
                  <w:color w:val="0000EE"/>
                  <w:w w:val="89"/>
                </w:rPr>
                <w:t>Notes to Unaudited Pro Forma Condensed Combined Financial Statements</w:t>
              </w:r>
            </w:hyperlink>
          </w:p>
        </w:tc>
        <w:tc>
          <w:tcPr>
            <w:tcW w:w="3460" w:type="dxa"/>
            <w:vAlign w:val="bottom"/>
            <w:tcBorders>
              <w:top w:val="single" w:sz="8" w:color="0000EE"/>
            </w:tcBorders>
            <w:gridSpan w:val="2"/>
          </w:tcPr>
          <w:p>
            <w:pPr>
              <w:spacing w:after="0"/>
              <w:rPr>
                <w:sz w:val="24"/>
                <w:szCs w:val="24"/>
                <w:color w:val="auto"/>
              </w:rPr>
            </w:pPr>
          </w:p>
        </w:tc>
        <w:tc>
          <w:tcPr>
            <w:tcW w:w="920" w:type="dxa"/>
            <w:vAlign w:val="bottom"/>
            <w:gridSpan w:val="4"/>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w w:val="87"/>
              </w:rPr>
              <w:t>PF-8</w:t>
            </w:r>
          </w:p>
        </w:tc>
      </w:tr>
    </w:tbl>
    <w:p>
      <w:pPr>
        <w:spacing w:after="0" w:line="121" w:lineRule="exact"/>
        <w:rPr>
          <w:sz w:val="20"/>
          <w:szCs w:val="20"/>
          <w:color w:val="auto"/>
        </w:rPr>
      </w:pPr>
    </w:p>
    <w:p>
      <w:pPr>
        <w:ind w:left="640" w:right="820" w:hanging="436"/>
        <w:spacing w:after="0" w:line="277"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list of exhibits filed with this registration statement is included in the Exhibit Index immediately preceding the signature page to this registration statement and is incorporated herein by reference.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60"/>
          </w:cols>
          <w:pgMar w:left="24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List of Licenses of Green Thumb Industries Inc.</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California</w:t>
      </w:r>
    </w:p>
    <w:p>
      <w:pPr>
        <w:spacing w:after="0" w:line="23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380" w:type="dxa"/>
            <w:vAlign w:val="bottom"/>
          </w:tcPr>
          <w:p>
            <w:pPr>
              <w:jc w:val="center"/>
              <w:ind w:right="808"/>
              <w:spacing w:after="0"/>
              <w:rPr>
                <w:sz w:val="20"/>
                <w:szCs w:val="20"/>
                <w:color w:val="auto"/>
              </w:rPr>
            </w:pPr>
            <w:r>
              <w:rPr>
                <w:rFonts w:ascii="Arial" w:cs="Arial" w:eastAsia="Arial" w:hAnsi="Arial"/>
                <w:sz w:val="14"/>
                <w:szCs w:val="14"/>
                <w:b w:val="1"/>
                <w:bCs w:val="1"/>
                <w:color w:val="auto"/>
                <w:w w:val="95"/>
              </w:rPr>
              <w:t>Holding</w:t>
            </w:r>
          </w:p>
        </w:tc>
        <w:tc>
          <w:tcPr>
            <w:tcW w:w="26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Permit/License</w:t>
            </w:r>
          </w:p>
        </w:tc>
        <w:tc>
          <w:tcPr>
            <w:tcW w:w="16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City</w:t>
            </w:r>
          </w:p>
        </w:tc>
        <w:tc>
          <w:tcPr>
            <w:tcW w:w="1420" w:type="dxa"/>
            <w:vAlign w:val="bottom"/>
          </w:tcPr>
          <w:p>
            <w:pPr>
              <w:ind w:left="580"/>
              <w:spacing w:after="0"/>
              <w:rPr>
                <w:sz w:val="20"/>
                <w:szCs w:val="20"/>
                <w:color w:val="auto"/>
              </w:rPr>
            </w:pPr>
            <w:r>
              <w:rPr>
                <w:rFonts w:ascii="Arial" w:cs="Arial" w:eastAsia="Arial" w:hAnsi="Arial"/>
                <w:sz w:val="14"/>
                <w:szCs w:val="14"/>
                <w:b w:val="1"/>
                <w:bCs w:val="1"/>
                <w:color w:val="auto"/>
                <w:w w:val="90"/>
              </w:rPr>
              <w:t>Renewal Date</w:t>
            </w:r>
          </w:p>
        </w:tc>
        <w:tc>
          <w:tcPr>
            <w:tcW w:w="0" w:type="dxa"/>
            <w:vAlign w:val="bottom"/>
          </w:tcPr>
          <w:p>
            <w:pPr>
              <w:spacing w:after="0"/>
              <w:rPr>
                <w:sz w:val="1"/>
                <w:szCs w:val="1"/>
                <w:color w:val="auto"/>
              </w:rPr>
            </w:pPr>
          </w:p>
        </w:tc>
      </w:tr>
      <w:tr>
        <w:trPr>
          <w:trHeight w:val="186"/>
        </w:trPr>
        <w:tc>
          <w:tcPr>
            <w:tcW w:w="1380" w:type="dxa"/>
            <w:vAlign w:val="bottom"/>
          </w:tcPr>
          <w:p>
            <w:pPr>
              <w:jc w:val="center"/>
              <w:ind w:right="808"/>
              <w:spacing w:after="0"/>
              <w:rPr>
                <w:sz w:val="20"/>
                <w:szCs w:val="20"/>
                <w:color w:val="auto"/>
              </w:rPr>
            </w:pPr>
            <w:r>
              <w:rPr>
                <w:rFonts w:ascii="Arial" w:cs="Arial" w:eastAsia="Arial" w:hAnsi="Arial"/>
                <w:sz w:val="14"/>
                <w:szCs w:val="14"/>
                <w:b w:val="1"/>
                <w:bCs w:val="1"/>
                <w:color w:val="auto"/>
                <w:w w:val="97"/>
              </w:rPr>
              <w:t>Entity</w:t>
            </w:r>
          </w:p>
        </w:tc>
        <w:tc>
          <w:tcPr>
            <w:tcW w:w="26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52571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15240</wp:posOffset>
            </wp:positionV>
            <wp:extent cx="16725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8840" w:space="720"/>
            <w:col w:w="1660"/>
          </w:cols>
          <w:pgMar w:left="240" w:top="459" w:right="439" w:bottom="1440" w:gutter="0" w:footer="0" w:header="0"/>
        </w:sectPr>
      </w:pPr>
    </w:p>
    <w:p>
      <w:pPr>
        <w:spacing w:after="0" w:line="32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ESSENCE CC,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ESSENCE WEHO, LLC</w:t>
      </w: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INTEGRAL ASSOCIATES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LLC</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INTEGRAL ASSOCIATES DENA.</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Licenses in the State of Connecticut</w:t>
      </w:r>
    </w:p>
    <w:p>
      <w:pPr>
        <w:spacing w:after="0" w:line="267"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ADVANCED GROW LABS, LLC</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BLUEPOINT WELLNESS OF</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CONNECTICUT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BLUEPOINT WELLNESS OF</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WESTPORT, LLC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Florida</w:t>
      </w:r>
    </w:p>
    <w:p>
      <w:pPr>
        <w:spacing w:after="0" w:line="244"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Customer Number 508318</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Culver City,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32"/>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Conditional License</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West Hollywood,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29"/>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Conditional License</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Culver City,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16"/>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Conditional License</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Pasadena,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33"/>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MMPR.0000001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West Haven, CT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02/06/2021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MMDF.0000002</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Branford, CT</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04/10/2020*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MMDF.0000029</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Westport, CT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12/17/2020</w:t>
            </w:r>
          </w:p>
        </w:tc>
        <w:tc>
          <w:tcPr>
            <w:tcW w:w="0" w:type="dxa"/>
            <w:vAlign w:val="bottom"/>
          </w:tcPr>
          <w:p>
            <w:pPr>
              <w:spacing w:after="0"/>
              <w:rPr>
                <w:sz w:val="1"/>
                <w:szCs w:val="1"/>
                <w:color w:val="auto"/>
              </w:rPr>
            </w:pPr>
          </w:p>
        </w:tc>
      </w:tr>
      <w:tr>
        <w:trPr>
          <w:trHeight w:val="1017"/>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left="120" w:right="380"/>
        <w:spacing w:after="0" w:line="301" w:lineRule="auto"/>
        <w:rPr>
          <w:sz w:val="20"/>
          <w:szCs w:val="20"/>
          <w:color w:val="auto"/>
        </w:rPr>
      </w:pPr>
      <w:r>
        <w:rPr>
          <w:rFonts w:ascii="Arial" w:cs="Arial" w:eastAsia="Arial" w:hAnsi="Arial"/>
          <w:sz w:val="16"/>
          <w:szCs w:val="16"/>
          <w:color w:val="auto"/>
        </w:rPr>
        <w:t>Medicinal Dispensary, Adult Use Retail Store and Home Delivery Conditional Licenses</w:t>
      </w:r>
    </w:p>
    <w:p>
      <w:pPr>
        <w:spacing w:after="0" w:line="7" w:lineRule="exact"/>
        <w:rPr>
          <w:sz w:val="20"/>
          <w:szCs w:val="20"/>
          <w:color w:val="auto"/>
        </w:rPr>
      </w:pPr>
    </w:p>
    <w:p>
      <w:pPr>
        <w:jc w:val="center"/>
        <w:ind w:left="80" w:right="400"/>
        <w:spacing w:after="0" w:line="279" w:lineRule="auto"/>
        <w:rPr>
          <w:sz w:val="20"/>
          <w:szCs w:val="20"/>
          <w:color w:val="auto"/>
        </w:rPr>
      </w:pPr>
      <w:r>
        <w:rPr>
          <w:rFonts w:ascii="Arial" w:cs="Arial" w:eastAsia="Arial" w:hAnsi="Arial"/>
          <w:sz w:val="17"/>
          <w:szCs w:val="17"/>
          <w:color w:val="auto"/>
        </w:rPr>
        <w:t>Adult Use Retail Store, Home Delivery and Consumption Conditional License</w:t>
      </w:r>
    </w:p>
    <w:p>
      <w:pPr>
        <w:spacing w:after="0" w:line="3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Distribution and Delivery</w:t>
      </w:r>
    </w:p>
    <w:p>
      <w:pPr>
        <w:spacing w:after="0" w:line="3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Conditional License</w:t>
      </w:r>
    </w:p>
    <w:p>
      <w:pPr>
        <w:spacing w:after="0" w:line="62" w:lineRule="exact"/>
        <w:rPr>
          <w:sz w:val="20"/>
          <w:szCs w:val="20"/>
          <w:color w:val="auto"/>
        </w:rPr>
      </w:pPr>
    </w:p>
    <w:p>
      <w:pPr>
        <w:jc w:val="center"/>
        <w:ind w:left="120" w:right="380"/>
        <w:spacing w:after="0" w:line="302" w:lineRule="auto"/>
        <w:rPr>
          <w:sz w:val="20"/>
          <w:szCs w:val="20"/>
          <w:color w:val="auto"/>
        </w:rPr>
      </w:pPr>
      <w:r>
        <w:rPr>
          <w:rFonts w:ascii="Arial" w:cs="Arial" w:eastAsia="Arial" w:hAnsi="Arial"/>
          <w:sz w:val="16"/>
          <w:szCs w:val="16"/>
          <w:color w:val="auto"/>
        </w:rPr>
        <w:t>Medicinal Dispensary, Adult Use Retail Store and Home Delivery Conditional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15240</wp:posOffset>
            </wp:positionV>
            <wp:extent cx="1672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15240</wp:posOffset>
            </wp:positionV>
            <wp:extent cx="16725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License to</w:t>
      </w:r>
    </w:p>
    <w:p>
      <w:pPr>
        <w:spacing w:after="0" w:line="21" w:lineRule="exact"/>
        <w:rPr>
          <w:sz w:val="20"/>
          <w:szCs w:val="20"/>
          <w:color w:val="auto"/>
        </w:rPr>
      </w:pPr>
    </w:p>
    <w:p>
      <w:pPr>
        <w:sectPr>
          <w:pgSz w:w="11900" w:h="16838" w:orient="portrait"/>
          <w:cols w:equalWidth="0" w:num="3">
            <w:col w:w="2880" w:space="220"/>
            <w:col w:w="5380" w:space="500"/>
            <w:col w:w="2240"/>
          </w:cols>
          <w:pgMar w:left="240" w:top="459" w:right="439" w:bottom="1440" w:gutter="0" w:footer="0" w:header="0"/>
          <w:type w:val="continuous"/>
        </w:sectPr>
      </w:pP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KSGNF, LLC</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MMTC</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Homestead, FL</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02/28/2020*</w:t>
            </w:r>
          </w:p>
        </w:tc>
        <w:tc>
          <w:tcPr>
            <w:tcW w:w="0" w:type="dxa"/>
            <w:vAlign w:val="bottom"/>
          </w:tcPr>
          <w:p>
            <w:pPr>
              <w:spacing w:after="0"/>
              <w:rPr>
                <w:sz w:val="1"/>
                <w:szCs w:val="1"/>
                <w:color w:val="auto"/>
              </w:rPr>
            </w:pPr>
          </w:p>
        </w:tc>
      </w:tr>
      <w:tr>
        <w:trPr>
          <w:trHeight w:val="864"/>
        </w:trPr>
        <w:tc>
          <w:tcPr>
            <w:tcW w:w="2900" w:type="dxa"/>
            <w:vAlign w:val="bottom"/>
            <w:gridSpan w:val="3"/>
          </w:tcPr>
          <w:p>
            <w:pPr>
              <w:spacing w:after="0"/>
              <w:rPr>
                <w:sz w:val="20"/>
                <w:szCs w:val="20"/>
                <w:color w:val="auto"/>
              </w:rPr>
            </w:pPr>
            <w:r>
              <w:rPr>
                <w:rFonts w:ascii="Arial" w:cs="Arial" w:eastAsia="Arial" w:hAnsi="Arial"/>
                <w:sz w:val="18"/>
                <w:szCs w:val="18"/>
                <w:i w:val="1"/>
                <w:iCs w:val="1"/>
                <w:color w:val="auto"/>
              </w:rPr>
              <w:t>Licenses in the State of Illinois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Holding</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2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Pr>
          <w:p>
            <w:pPr>
              <w:jc w:val="center"/>
              <w:spacing w:after="0" w:line="195" w:lineRule="exact"/>
              <w:rPr>
                <w:sz w:val="20"/>
                <w:szCs w:val="20"/>
                <w:color w:val="auto"/>
              </w:rPr>
            </w:pPr>
            <w:r>
              <w:rPr>
                <w:rFonts w:ascii="Arial" w:cs="Arial" w:eastAsia="Arial" w:hAnsi="Arial"/>
                <w:sz w:val="18"/>
                <w:szCs w:val="18"/>
                <w:color w:val="auto"/>
                <w:w w:val="97"/>
              </w:rPr>
              <w:t>NH MEDICINAL DISPENSARIES,</w:t>
            </w:r>
          </w:p>
        </w:tc>
        <w:tc>
          <w:tcPr>
            <w:tcW w:w="120" w:type="dxa"/>
            <w:vAlign w:val="bottom"/>
          </w:tcPr>
          <w:p>
            <w:pPr>
              <w:spacing w:after="0"/>
              <w:rPr>
                <w:sz w:val="16"/>
                <w:szCs w:val="16"/>
                <w:color w:val="auto"/>
              </w:rPr>
            </w:pPr>
          </w:p>
        </w:tc>
        <w:tc>
          <w:tcPr>
            <w:tcW w:w="2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DISP.00042</w:t>
            </w:r>
          </w:p>
        </w:tc>
        <w:tc>
          <w:tcPr>
            <w:tcW w:w="22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6"/>
              </w:rPr>
              <w:t>Effingham, IL</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08/22/2020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vMerge w:val="restart"/>
          </w:tcPr>
          <w:p>
            <w:pPr>
              <w:ind w:left="1280"/>
              <w:spacing w:after="0"/>
              <w:rPr>
                <w:sz w:val="20"/>
                <w:szCs w:val="20"/>
                <w:color w:val="auto"/>
              </w:rPr>
            </w:pPr>
            <w:r>
              <w:rPr>
                <w:rFonts w:ascii="Arial" w:cs="Arial" w:eastAsia="Arial" w:hAnsi="Arial"/>
                <w:sz w:val="18"/>
                <w:szCs w:val="18"/>
                <w:color w:val="auto"/>
              </w:rPr>
              <w:t>LLC</w:t>
            </w:r>
          </w:p>
        </w:tc>
        <w:tc>
          <w:tcPr>
            <w:tcW w:w="2100" w:type="dxa"/>
            <w:vAlign w:val="bottom"/>
            <w:gridSpan w:val="2"/>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NH MEDICINAL DISPENSARIES,</w:t>
            </w:r>
          </w:p>
        </w:tc>
        <w:tc>
          <w:tcPr>
            <w:tcW w:w="2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AUDO.000004</w:t>
            </w:r>
          </w:p>
        </w:tc>
        <w:tc>
          <w:tcPr>
            <w:tcW w:w="22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6"/>
              </w:rPr>
              <w:t>Effingham, IL</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03/31/2021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vMerge w:val="restart"/>
          </w:tcPr>
          <w:p>
            <w:pPr>
              <w:ind w:left="1280"/>
              <w:spacing w:after="0"/>
              <w:rPr>
                <w:sz w:val="20"/>
                <w:szCs w:val="20"/>
                <w:color w:val="auto"/>
              </w:rPr>
            </w:pPr>
            <w:r>
              <w:rPr>
                <w:rFonts w:ascii="Arial" w:cs="Arial" w:eastAsia="Arial" w:hAnsi="Arial"/>
                <w:sz w:val="18"/>
                <w:szCs w:val="18"/>
                <w:color w:val="auto"/>
              </w:rPr>
              <w:t>LLC</w:t>
            </w:r>
          </w:p>
        </w:tc>
        <w:tc>
          <w:tcPr>
            <w:tcW w:w="2100" w:type="dxa"/>
            <w:vAlign w:val="bottom"/>
            <w:gridSpan w:val="2"/>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35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560"/>
        <w:spacing w:after="0" w:line="255" w:lineRule="auto"/>
        <w:rPr>
          <w:sz w:val="20"/>
          <w:szCs w:val="20"/>
          <w:color w:val="auto"/>
        </w:rPr>
      </w:pPr>
      <w:r>
        <w:rPr>
          <w:rFonts w:ascii="Arial" w:cs="Arial" w:eastAsia="Arial" w:hAnsi="Arial"/>
          <w:sz w:val="18"/>
          <w:szCs w:val="18"/>
          <w:color w:val="auto"/>
        </w:rPr>
        <w:t>Operate a Medical Marijuana Treatment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15240</wp:posOffset>
            </wp:positionV>
            <wp:extent cx="16725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Dispensary License</w:t>
      </w:r>
    </w:p>
    <w:p>
      <w:pPr>
        <w:spacing w:after="0" w:line="7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Dispensary License</w:t>
      </w:r>
    </w:p>
    <w:p>
      <w:pPr>
        <w:sectPr>
          <w:pgSz w:w="11900" w:h="16838" w:orient="portrait"/>
          <w:cols w:equalWidth="0" w:num="2">
            <w:col w:w="8480" w:space="660"/>
            <w:col w:w="2080"/>
          </w:cols>
          <w:pgMar w:left="240" w:top="459" w:right="4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GTI OGLESBY,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GTI OGLESBY,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GTI ROCK ISLAND, LLC</w:t>
      </w: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GTI ROCK ISLAND, LLC</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GTI MUNDELEIN, LLC</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GTI MUNDELEIN, LLC</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GTI MUNDELEIN, LLC</w:t>
      </w:r>
    </w:p>
    <w:p>
      <w:pPr>
        <w:spacing w:after="0" w:line="185" w:lineRule="exact"/>
        <w:rPr>
          <w:sz w:val="20"/>
          <w:szCs w:val="20"/>
          <w:color w:val="auto"/>
        </w:rPr>
      </w:pPr>
    </w:p>
    <w:p>
      <w:pPr>
        <w:jc w:val="right"/>
        <w:ind w:left="720" w:right="400"/>
        <w:spacing w:after="0" w:line="306" w:lineRule="auto"/>
        <w:rPr>
          <w:sz w:val="20"/>
          <w:szCs w:val="20"/>
          <w:color w:val="auto"/>
        </w:rPr>
      </w:pPr>
      <w:r>
        <w:rPr>
          <w:rFonts w:ascii="Arial" w:cs="Arial" w:eastAsia="Arial" w:hAnsi="Arial"/>
          <w:sz w:val="17"/>
          <w:szCs w:val="17"/>
          <w:color w:val="auto"/>
        </w:rPr>
        <w:t>3C COMPASSIONATE CARE CENTER, LLC</w:t>
      </w:r>
    </w:p>
    <w:p>
      <w:pPr>
        <w:spacing w:after="0" w:line="1" w:lineRule="exact"/>
        <w:rPr>
          <w:sz w:val="20"/>
          <w:szCs w:val="20"/>
          <w:color w:val="auto"/>
        </w:rPr>
      </w:pPr>
    </w:p>
    <w:p>
      <w:pPr>
        <w:jc w:val="right"/>
        <w:ind w:left="720" w:right="400"/>
        <w:spacing w:after="0" w:line="306" w:lineRule="auto"/>
        <w:rPr>
          <w:sz w:val="20"/>
          <w:szCs w:val="20"/>
          <w:color w:val="auto"/>
        </w:rPr>
      </w:pPr>
      <w:r>
        <w:rPr>
          <w:rFonts w:ascii="Arial" w:cs="Arial" w:eastAsia="Arial" w:hAnsi="Arial"/>
          <w:sz w:val="17"/>
          <w:szCs w:val="17"/>
          <w:color w:val="auto"/>
        </w:rPr>
        <w:t>3C COMPASSIONATE CARE CENTER, LLC</w:t>
      </w:r>
    </w:p>
    <w:p>
      <w:pPr>
        <w:spacing w:after="0" w:line="1" w:lineRule="exact"/>
        <w:rPr>
          <w:sz w:val="20"/>
          <w:szCs w:val="20"/>
          <w:color w:val="auto"/>
        </w:rPr>
      </w:pPr>
    </w:p>
    <w:p>
      <w:pPr>
        <w:jc w:val="right"/>
        <w:ind w:left="720" w:right="400"/>
        <w:spacing w:after="0" w:line="306" w:lineRule="auto"/>
        <w:rPr>
          <w:sz w:val="20"/>
          <w:szCs w:val="20"/>
          <w:color w:val="auto"/>
        </w:rPr>
      </w:pPr>
      <w:r>
        <w:rPr>
          <w:rFonts w:ascii="Arial" w:cs="Arial" w:eastAsia="Arial" w:hAnsi="Arial"/>
          <w:sz w:val="17"/>
          <w:szCs w:val="17"/>
          <w:color w:val="auto"/>
        </w:rPr>
        <w:t>3C COMPASSIONATE CARE CENTER, LLC</w:t>
      </w:r>
    </w:p>
    <w:p>
      <w:pPr>
        <w:spacing w:after="0" w:line="1" w:lineRule="exact"/>
        <w:rPr>
          <w:sz w:val="20"/>
          <w:szCs w:val="20"/>
          <w:color w:val="auto"/>
        </w:rPr>
      </w:pPr>
    </w:p>
    <w:p>
      <w:pPr>
        <w:jc w:val="right"/>
        <w:ind w:left="720" w:right="400"/>
        <w:spacing w:after="0" w:line="308" w:lineRule="auto"/>
        <w:rPr>
          <w:sz w:val="20"/>
          <w:szCs w:val="20"/>
          <w:color w:val="auto"/>
        </w:rPr>
      </w:pPr>
      <w:r>
        <w:rPr>
          <w:rFonts w:ascii="Arial" w:cs="Arial" w:eastAsia="Arial" w:hAnsi="Arial"/>
          <w:sz w:val="17"/>
          <w:szCs w:val="17"/>
          <w:color w:val="auto"/>
        </w:rPr>
        <w:t>3C COMPASSIONATE CARE CENTER, LLC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EVERGREEN DISPENSARY, LLC</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EVERGREEN DISPENSARY, LLC</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EVERGREEN DISPENSARY, LLC</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Maryland</w:t>
      </w:r>
    </w:p>
    <w:p>
      <w:pPr>
        <w:spacing w:after="0" w:line="24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CHESAPEAKE</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ALTERNATIVES, LLC</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CHESAPEAKE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ALTERNATIVES, LLC</w:t>
      </w:r>
    </w:p>
    <w:p>
      <w:pPr>
        <w:spacing w:after="0" w:line="17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GTI MARYLAND, LLC</w:t>
      </w:r>
    </w:p>
    <w:p>
      <w:pPr>
        <w:spacing w:after="0" w:line="29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GTI MARYLAND, LLC</w:t>
      </w:r>
    </w:p>
    <w:p>
      <w:pPr>
        <w:spacing w:after="0" w:line="29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MESHOW,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480"/>
        </w:trPr>
        <w:tc>
          <w:tcPr>
            <w:tcW w:w="1980" w:type="dxa"/>
            <w:vAlign w:val="bottom"/>
          </w:tcPr>
          <w:p>
            <w:pPr>
              <w:jc w:val="center"/>
              <w:spacing w:after="0"/>
              <w:rPr>
                <w:sz w:val="20"/>
                <w:szCs w:val="20"/>
                <w:color w:val="auto"/>
              </w:rPr>
            </w:pPr>
            <w:r>
              <w:rPr>
                <w:rFonts w:ascii="Arial" w:cs="Arial" w:eastAsia="Arial" w:hAnsi="Arial"/>
                <w:sz w:val="18"/>
                <w:szCs w:val="18"/>
                <w:color w:val="auto"/>
                <w:w w:val="89"/>
              </w:rPr>
              <w:t>1503060648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Oglesby, IL</w:t>
            </w:r>
          </w:p>
        </w:tc>
        <w:tc>
          <w:tcPr>
            <w:tcW w:w="1080" w:type="dxa"/>
            <w:vAlign w:val="bottom"/>
          </w:tcPr>
          <w:p>
            <w:pPr>
              <w:ind w:left="120"/>
              <w:spacing w:after="0"/>
              <w:rPr>
                <w:sz w:val="20"/>
                <w:szCs w:val="20"/>
                <w:color w:val="auto"/>
              </w:rPr>
            </w:pPr>
            <w:r>
              <w:rPr>
                <w:rFonts w:ascii="Arial" w:cs="Arial" w:eastAsia="Arial" w:hAnsi="Arial"/>
                <w:sz w:val="18"/>
                <w:szCs w:val="18"/>
                <w:color w:val="auto"/>
              </w:rPr>
              <w:t>03/09/2021</w:t>
            </w:r>
          </w:p>
        </w:tc>
        <w:tc>
          <w:tcPr>
            <w:tcW w:w="0" w:type="dxa"/>
            <w:vAlign w:val="bottom"/>
          </w:tcPr>
          <w:p>
            <w:pPr>
              <w:spacing w:after="0"/>
              <w:rPr>
                <w:sz w:val="1"/>
                <w:szCs w:val="1"/>
                <w:color w:val="auto"/>
              </w:rPr>
            </w:pPr>
          </w:p>
        </w:tc>
      </w:tr>
      <w:tr>
        <w:trPr>
          <w:trHeight w:val="608"/>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1503060648-EA</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Oglesby, IL</w:t>
            </w:r>
          </w:p>
        </w:tc>
        <w:tc>
          <w:tcPr>
            <w:tcW w:w="1080" w:type="dxa"/>
            <w:vAlign w:val="bottom"/>
          </w:tcPr>
          <w:p>
            <w:pPr>
              <w:ind w:left="120"/>
              <w:spacing w:after="0"/>
              <w:rPr>
                <w:sz w:val="20"/>
                <w:szCs w:val="20"/>
                <w:color w:val="auto"/>
              </w:rPr>
            </w:pPr>
            <w:r>
              <w:rPr>
                <w:rFonts w:ascii="Arial" w:cs="Arial" w:eastAsia="Arial" w:hAnsi="Arial"/>
                <w:sz w:val="18"/>
                <w:szCs w:val="18"/>
                <w:color w:val="auto"/>
              </w:rPr>
              <w:t>03/21/2021</w:t>
            </w:r>
          </w:p>
        </w:tc>
        <w:tc>
          <w:tcPr>
            <w:tcW w:w="0" w:type="dxa"/>
            <w:vAlign w:val="bottom"/>
          </w:tcPr>
          <w:p>
            <w:pPr>
              <w:spacing w:after="0"/>
              <w:rPr>
                <w:sz w:val="1"/>
                <w:szCs w:val="1"/>
                <w:color w:val="auto"/>
              </w:rPr>
            </w:pPr>
          </w:p>
        </w:tc>
      </w:tr>
      <w:tr>
        <w:trPr>
          <w:trHeight w:val="608"/>
        </w:trPr>
        <w:tc>
          <w:tcPr>
            <w:tcW w:w="1980" w:type="dxa"/>
            <w:vAlign w:val="bottom"/>
          </w:tcPr>
          <w:p>
            <w:pPr>
              <w:jc w:val="center"/>
              <w:spacing w:after="0"/>
              <w:rPr>
                <w:sz w:val="20"/>
                <w:szCs w:val="20"/>
                <w:color w:val="auto"/>
              </w:rPr>
            </w:pPr>
            <w:r>
              <w:rPr>
                <w:rFonts w:ascii="Arial" w:cs="Arial" w:eastAsia="Arial" w:hAnsi="Arial"/>
                <w:sz w:val="18"/>
                <w:szCs w:val="18"/>
                <w:color w:val="auto"/>
                <w:w w:val="89"/>
              </w:rPr>
              <w:t>1503060649</w:t>
            </w:r>
          </w:p>
        </w:tc>
        <w:tc>
          <w:tcPr>
            <w:tcW w:w="120" w:type="dxa"/>
            <w:vAlign w:val="bottom"/>
          </w:tcPr>
          <w:p>
            <w:pPr>
              <w:spacing w:after="0"/>
              <w:rPr>
                <w:sz w:val="24"/>
                <w:szCs w:val="2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Rock Island, IL</w:t>
            </w:r>
          </w:p>
        </w:tc>
        <w:tc>
          <w:tcPr>
            <w:tcW w:w="1080" w:type="dxa"/>
            <w:vAlign w:val="bottom"/>
          </w:tcPr>
          <w:p>
            <w:pPr>
              <w:ind w:left="120"/>
              <w:spacing w:after="0"/>
              <w:rPr>
                <w:sz w:val="20"/>
                <w:szCs w:val="20"/>
                <w:color w:val="auto"/>
              </w:rPr>
            </w:pPr>
            <w:r>
              <w:rPr>
                <w:rFonts w:ascii="Arial" w:cs="Arial" w:eastAsia="Arial" w:hAnsi="Arial"/>
                <w:sz w:val="18"/>
                <w:szCs w:val="18"/>
                <w:color w:val="auto"/>
              </w:rPr>
              <w:t>03/09/2021</w:t>
            </w:r>
          </w:p>
        </w:tc>
        <w:tc>
          <w:tcPr>
            <w:tcW w:w="0" w:type="dxa"/>
            <w:vAlign w:val="bottom"/>
          </w:tcPr>
          <w:p>
            <w:pPr>
              <w:spacing w:after="0"/>
              <w:rPr>
                <w:sz w:val="1"/>
                <w:szCs w:val="1"/>
                <w:color w:val="auto"/>
              </w:rPr>
            </w:pPr>
          </w:p>
        </w:tc>
      </w:tr>
      <w:tr>
        <w:trPr>
          <w:trHeight w:val="608"/>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1503060649-EA</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Rock Island, IL</w:t>
            </w:r>
          </w:p>
        </w:tc>
        <w:tc>
          <w:tcPr>
            <w:tcW w:w="1080" w:type="dxa"/>
            <w:vAlign w:val="bottom"/>
          </w:tcPr>
          <w:p>
            <w:pPr>
              <w:ind w:left="120"/>
              <w:spacing w:after="0"/>
              <w:rPr>
                <w:sz w:val="20"/>
                <w:szCs w:val="20"/>
                <w:color w:val="auto"/>
              </w:rPr>
            </w:pPr>
            <w:r>
              <w:rPr>
                <w:rFonts w:ascii="Arial" w:cs="Arial" w:eastAsia="Arial" w:hAnsi="Arial"/>
                <w:sz w:val="18"/>
                <w:szCs w:val="18"/>
                <w:color w:val="auto"/>
              </w:rPr>
              <w:t>03/21/2021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DISP.00002</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Mundelein, IL</w:t>
            </w:r>
          </w:p>
        </w:tc>
        <w:tc>
          <w:tcPr>
            <w:tcW w:w="1080" w:type="dxa"/>
            <w:vAlign w:val="bottom"/>
          </w:tcPr>
          <w:p>
            <w:pPr>
              <w:ind w:left="120"/>
              <w:spacing w:after="0"/>
              <w:rPr>
                <w:sz w:val="20"/>
                <w:szCs w:val="20"/>
                <w:color w:val="auto"/>
              </w:rPr>
            </w:pPr>
            <w:r>
              <w:rPr>
                <w:rFonts w:ascii="Arial" w:cs="Arial" w:eastAsia="Arial" w:hAnsi="Arial"/>
                <w:sz w:val="18"/>
                <w:szCs w:val="18"/>
                <w:color w:val="auto"/>
              </w:rPr>
              <w:t>09/17/2020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AUDO.000001</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Mundelein,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AUDO.000044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Joliet,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DISP.000027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Naperville, IL</w:t>
            </w:r>
          </w:p>
        </w:tc>
        <w:tc>
          <w:tcPr>
            <w:tcW w:w="1080" w:type="dxa"/>
            <w:vAlign w:val="bottom"/>
          </w:tcPr>
          <w:p>
            <w:pPr>
              <w:ind w:left="120"/>
              <w:spacing w:after="0"/>
              <w:rPr>
                <w:sz w:val="20"/>
                <w:szCs w:val="20"/>
                <w:color w:val="auto"/>
              </w:rPr>
            </w:pPr>
            <w:r>
              <w:rPr>
                <w:rFonts w:ascii="Arial" w:cs="Arial" w:eastAsia="Arial" w:hAnsi="Arial"/>
                <w:sz w:val="18"/>
                <w:szCs w:val="18"/>
                <w:color w:val="auto"/>
              </w:rPr>
              <w:t>01/29/2021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AUDO.000003</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Naperville,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DISP.000011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Joliet, IL</w:t>
            </w:r>
          </w:p>
        </w:tc>
        <w:tc>
          <w:tcPr>
            <w:tcW w:w="1080" w:type="dxa"/>
            <w:vAlign w:val="bottom"/>
          </w:tcPr>
          <w:p>
            <w:pPr>
              <w:ind w:left="120"/>
              <w:spacing w:after="0"/>
              <w:rPr>
                <w:sz w:val="20"/>
                <w:szCs w:val="20"/>
                <w:color w:val="auto"/>
              </w:rPr>
            </w:pPr>
            <w:r>
              <w:rPr>
                <w:rFonts w:ascii="Arial" w:cs="Arial" w:eastAsia="Arial" w:hAnsi="Arial"/>
                <w:sz w:val="18"/>
                <w:szCs w:val="18"/>
                <w:color w:val="auto"/>
              </w:rPr>
              <w:t>11/19/2020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AUDO.000002</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Joliet,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DISP.000003</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Canton, IL</w:t>
            </w:r>
          </w:p>
        </w:tc>
        <w:tc>
          <w:tcPr>
            <w:tcW w:w="1080" w:type="dxa"/>
            <w:vAlign w:val="bottom"/>
          </w:tcPr>
          <w:p>
            <w:pPr>
              <w:ind w:left="120"/>
              <w:spacing w:after="0"/>
              <w:rPr>
                <w:sz w:val="20"/>
                <w:szCs w:val="20"/>
                <w:color w:val="auto"/>
              </w:rPr>
            </w:pPr>
            <w:r>
              <w:rPr>
                <w:rFonts w:ascii="Arial" w:cs="Arial" w:eastAsia="Arial" w:hAnsi="Arial"/>
                <w:sz w:val="18"/>
                <w:szCs w:val="18"/>
                <w:color w:val="auto"/>
              </w:rPr>
              <w:t>09/18/2020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AUDO.000005</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Canton,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AUDO.000047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Quincy,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-5384800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P-17-00005</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Centreville, MD</w:t>
            </w:r>
          </w:p>
        </w:tc>
        <w:tc>
          <w:tcPr>
            <w:tcW w:w="1080" w:type="dxa"/>
            <w:vAlign w:val="bottom"/>
          </w:tcPr>
          <w:p>
            <w:pPr>
              <w:ind w:left="120"/>
              <w:spacing w:after="0"/>
              <w:rPr>
                <w:sz w:val="20"/>
                <w:szCs w:val="20"/>
                <w:color w:val="auto"/>
              </w:rPr>
            </w:pPr>
            <w:r>
              <w:rPr>
                <w:rFonts w:ascii="Arial" w:cs="Arial" w:eastAsia="Arial" w:hAnsi="Arial"/>
                <w:sz w:val="18"/>
                <w:szCs w:val="18"/>
                <w:color w:val="auto"/>
              </w:rPr>
              <w:t>08/28/2023</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D-17-00010</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Bethesda, MD</w:t>
            </w:r>
          </w:p>
        </w:tc>
        <w:tc>
          <w:tcPr>
            <w:tcW w:w="1080" w:type="dxa"/>
            <w:vAlign w:val="bottom"/>
          </w:tcPr>
          <w:p>
            <w:pPr>
              <w:ind w:left="120"/>
              <w:spacing w:after="0"/>
              <w:rPr>
                <w:sz w:val="20"/>
                <w:szCs w:val="20"/>
                <w:color w:val="auto"/>
              </w:rPr>
            </w:pPr>
            <w:r>
              <w:rPr>
                <w:rFonts w:ascii="Arial" w:cs="Arial" w:eastAsia="Arial" w:hAnsi="Arial"/>
                <w:sz w:val="18"/>
                <w:szCs w:val="18"/>
                <w:color w:val="auto"/>
              </w:rPr>
              <w:t>11/20/2023</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G-19-00001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Centreville, MD</w:t>
            </w:r>
          </w:p>
        </w:tc>
        <w:tc>
          <w:tcPr>
            <w:tcW w:w="1080" w:type="dxa"/>
            <w:vAlign w:val="bottom"/>
          </w:tcPr>
          <w:p>
            <w:pPr>
              <w:ind w:left="120"/>
              <w:spacing w:after="0"/>
              <w:rPr>
                <w:sz w:val="20"/>
                <w:szCs w:val="20"/>
                <w:color w:val="auto"/>
              </w:rPr>
            </w:pPr>
            <w:r>
              <w:rPr>
                <w:rFonts w:ascii="Arial" w:cs="Arial" w:eastAsia="Arial" w:hAnsi="Arial"/>
                <w:sz w:val="18"/>
                <w:szCs w:val="18"/>
                <w:color w:val="auto"/>
              </w:rPr>
              <w:t>06/27/2025</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D-17-00007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Silver Spring, MD</w:t>
            </w:r>
          </w:p>
        </w:tc>
        <w:tc>
          <w:tcPr>
            <w:tcW w:w="1080" w:type="dxa"/>
            <w:vAlign w:val="bottom"/>
          </w:tcPr>
          <w:p>
            <w:pPr>
              <w:ind w:left="120"/>
              <w:spacing w:after="0"/>
              <w:rPr>
                <w:sz w:val="20"/>
                <w:szCs w:val="20"/>
                <w:color w:val="auto"/>
              </w:rPr>
            </w:pPr>
            <w:r>
              <w:rPr>
                <w:rFonts w:ascii="Arial" w:cs="Arial" w:eastAsia="Arial" w:hAnsi="Arial"/>
                <w:sz w:val="18"/>
                <w:szCs w:val="18"/>
                <w:color w:val="auto"/>
              </w:rPr>
              <w:t>11/20/2023</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D-18-00021</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Joppa, MD</w:t>
            </w:r>
          </w:p>
        </w:tc>
        <w:tc>
          <w:tcPr>
            <w:tcW w:w="1080" w:type="dxa"/>
            <w:vAlign w:val="bottom"/>
          </w:tcPr>
          <w:p>
            <w:pPr>
              <w:ind w:left="120"/>
              <w:spacing w:after="0"/>
              <w:rPr>
                <w:sz w:val="20"/>
                <w:szCs w:val="20"/>
                <w:color w:val="auto"/>
              </w:rPr>
            </w:pPr>
            <w:r>
              <w:rPr>
                <w:rFonts w:ascii="Arial" w:cs="Arial" w:eastAsia="Arial" w:hAnsi="Arial"/>
                <w:sz w:val="18"/>
                <w:szCs w:val="18"/>
                <w:color w:val="auto"/>
              </w:rPr>
              <w:t>04/10/2024</w:t>
            </w:r>
          </w:p>
        </w:tc>
        <w:tc>
          <w:tcPr>
            <w:tcW w:w="0" w:type="dxa"/>
            <w:vAlign w:val="bottom"/>
          </w:tcPr>
          <w:p>
            <w:pPr>
              <w:spacing w:after="0"/>
              <w:rPr>
                <w:sz w:val="1"/>
                <w:szCs w:val="1"/>
                <w:color w:val="auto"/>
              </w:rPr>
            </w:pPr>
          </w:p>
        </w:tc>
      </w:tr>
      <w:tr>
        <w:trPr>
          <w:trHeight w:val="473"/>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35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15240</wp:posOffset>
            </wp:positionV>
            <wp:extent cx="16725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Cultivation/Processing Operation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Cultivation Center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Cultivation/Processing Operation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Cultivation Center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Provisional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15240</wp:posOffset>
            </wp:positionV>
            <wp:extent cx="16725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Processing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Cultivation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ectPr>
          <w:pgSz w:w="11900" w:h="16838" w:orient="portrait"/>
          <w:cols w:equalWidth="0" w:num="3">
            <w:col w:w="2900" w:space="200"/>
            <w:col w:w="5380" w:space="220"/>
            <w:col w:w="2400"/>
          </w:cols>
          <w:pgMar w:left="24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Licenses in the State of Massachusetts</w:t>
      </w:r>
    </w:p>
    <w:p>
      <w:pPr>
        <w:spacing w:after="0" w:line="278"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9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RISE HOLDINGS, INC.</w:t>
      </w:r>
    </w:p>
    <w:p>
      <w:pPr>
        <w:spacing w:after="0" w:line="29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RISE HOLDINGS,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RISE HOLDINGS, INC.</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COMPASSIONATE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ORGANICS, LLC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Nevada</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6122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JG RETAIL SERVICES NV, LLC</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GTI NEVADA,</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LLC</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JG RETAIL SERVICES NV,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CCLV MANUFACTURING</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CENTER, LLC</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CCLV MANUFACTURING</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CENTER, LLC</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CCLV PRODUCTION, LLC</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CCLV PRODUCTION, LLC</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INTEGRAL CULTIVATION, LLC</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INTEGRAL CULTIVATION,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MCN281674</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Holyoke, MA</w:t>
            </w:r>
          </w:p>
        </w:tc>
        <w:tc>
          <w:tcPr>
            <w:tcW w:w="1080" w:type="dxa"/>
            <w:vAlign w:val="bottom"/>
          </w:tcPr>
          <w:p>
            <w:pPr>
              <w:ind w:left="120"/>
              <w:spacing w:after="0"/>
              <w:rPr>
                <w:sz w:val="20"/>
                <w:szCs w:val="20"/>
                <w:color w:val="auto"/>
              </w:rPr>
            </w:pPr>
            <w:r>
              <w:rPr>
                <w:rFonts w:ascii="Arial" w:cs="Arial" w:eastAsia="Arial" w:hAnsi="Arial"/>
                <w:sz w:val="18"/>
                <w:szCs w:val="18"/>
                <w:color w:val="auto"/>
              </w:rPr>
              <w:t>01/14/2021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MPN281453</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Holyoke, MA</w:t>
            </w:r>
          </w:p>
        </w:tc>
        <w:tc>
          <w:tcPr>
            <w:tcW w:w="1080" w:type="dxa"/>
            <w:vAlign w:val="bottom"/>
          </w:tcPr>
          <w:p>
            <w:pPr>
              <w:ind w:left="120"/>
              <w:spacing w:after="0"/>
              <w:rPr>
                <w:sz w:val="20"/>
                <w:szCs w:val="20"/>
                <w:color w:val="auto"/>
              </w:rPr>
            </w:pPr>
            <w:r>
              <w:rPr>
                <w:rFonts w:ascii="Arial" w:cs="Arial" w:eastAsia="Arial" w:hAnsi="Arial"/>
                <w:sz w:val="18"/>
                <w:szCs w:val="18"/>
                <w:color w:val="auto"/>
              </w:rPr>
              <w:t>01/14/2021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MR281254</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Amherst, MA</w:t>
            </w:r>
          </w:p>
        </w:tc>
        <w:tc>
          <w:tcPr>
            <w:tcW w:w="1080" w:type="dxa"/>
            <w:vAlign w:val="bottom"/>
          </w:tcPr>
          <w:p>
            <w:pPr>
              <w:ind w:left="120"/>
              <w:spacing w:after="0"/>
              <w:rPr>
                <w:sz w:val="20"/>
                <w:szCs w:val="20"/>
                <w:color w:val="auto"/>
              </w:rPr>
            </w:pPr>
            <w:r>
              <w:rPr>
                <w:rFonts w:ascii="Arial" w:cs="Arial" w:eastAsia="Arial" w:hAnsi="Arial"/>
                <w:sz w:val="18"/>
                <w:szCs w:val="18"/>
                <w:color w:val="auto"/>
              </w:rPr>
              <w:t>03/08/2021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Boston, MA</w:t>
            </w:r>
          </w:p>
        </w:tc>
        <w:tc>
          <w:tcPr>
            <w:tcW w:w="1080" w:type="dxa"/>
            <w:vAlign w:val="bottom"/>
          </w:tcPr>
          <w:p>
            <w:pPr>
              <w:ind w:left="120"/>
              <w:spacing w:after="0"/>
              <w:rPr>
                <w:sz w:val="20"/>
                <w:szCs w:val="20"/>
                <w:color w:val="auto"/>
              </w:rPr>
            </w:pPr>
            <w:r>
              <w:rPr>
                <w:rFonts w:ascii="Arial" w:cs="Arial" w:eastAsia="Arial" w:hAnsi="Arial"/>
                <w:sz w:val="18"/>
                <w:szCs w:val="18"/>
                <w:color w:val="auto"/>
              </w:rPr>
              <w:t>10/25/2021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-2194560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40" w:type="dxa"/>
            <w:vAlign w:val="bottom"/>
            <w:vMerge w:val="restart"/>
          </w:tcPr>
          <w:p>
            <w:pPr>
              <w:jc w:val="center"/>
              <w:ind w:right="351"/>
              <w:spacing w:after="0"/>
              <w:rPr>
                <w:sz w:val="20"/>
                <w:szCs w:val="20"/>
                <w:color w:val="auto"/>
              </w:rPr>
            </w:pPr>
            <w:r>
              <w:rPr>
                <w:rFonts w:ascii="Arial" w:cs="Arial" w:eastAsia="Arial" w:hAnsi="Arial"/>
                <w:sz w:val="14"/>
                <w:szCs w:val="14"/>
                <w:b w:val="1"/>
                <w:bCs w:val="1"/>
                <w:color w:val="auto"/>
                <w:w w:val="92"/>
              </w:rPr>
              <w:t>Permit/License</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97028286992913304766</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52125541619394980552</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Spanish Springs, NV</w:t>
            </w:r>
          </w:p>
        </w:tc>
        <w:tc>
          <w:tcPr>
            <w:tcW w:w="1080" w:type="dxa"/>
            <w:vAlign w:val="bottom"/>
          </w:tcPr>
          <w:p>
            <w:pPr>
              <w:ind w:left="120"/>
              <w:spacing w:after="0"/>
              <w:rPr>
                <w:sz w:val="20"/>
                <w:szCs w:val="20"/>
                <w:color w:val="auto"/>
              </w:rPr>
            </w:pPr>
            <w:r>
              <w:rPr>
                <w:rFonts w:ascii="Arial" w:cs="Arial" w:eastAsia="Arial" w:hAnsi="Arial"/>
                <w:sz w:val="18"/>
                <w:szCs w:val="18"/>
                <w:color w:val="auto"/>
              </w:rPr>
              <w:t>11/30/2020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18900369179730863251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45491515276399795916</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Spanish Springs,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83887504703736981918</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17355802525954961447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01/31/2021</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88939271215332828859</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69272354565432352821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01/31/2021</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14501073281263752947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46723736766369616954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41146840808916745728</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88867726382068964531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36793887579714409224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70155083229545863037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473"/>
        </w:trPr>
        <w:tc>
          <w:tcPr>
            <w:tcW w:w="2240" w:type="dxa"/>
            <w:vAlign w:val="bottom"/>
          </w:tcPr>
          <w:p>
            <w:pPr>
              <w:spacing w:after="0"/>
              <w:rPr>
                <w:sz w:val="24"/>
                <w:szCs w:val="24"/>
                <w:color w:val="auto"/>
              </w:rPr>
            </w:pPr>
          </w:p>
        </w:tc>
        <w:tc>
          <w:tcPr>
            <w:tcW w:w="2080" w:type="dxa"/>
            <w:vAlign w:val="bottom"/>
          </w:tcPr>
          <w:p>
            <w:pPr>
              <w:jc w:val="right"/>
              <w:ind w:right="157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-4638675</wp:posOffset>
            </wp:positionV>
            <wp:extent cx="15436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15240</wp:posOffset>
            </wp:positionV>
            <wp:extent cx="16725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Adult Use</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Provisional</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15240</wp:posOffset>
            </wp:positionV>
            <wp:extent cx="15347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ectPr>
          <w:pgSz w:w="11900" w:h="16838" w:orient="portrait"/>
          <w:cols w:equalWidth="0" w:num="3">
            <w:col w:w="2960" w:space="140"/>
            <w:col w:w="5600" w:space="500"/>
            <w:col w:w="1520"/>
          </w:cols>
          <w:pgMar w:left="240" w:top="459" w:right="9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Holding</w:t>
            </w: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40" w:type="dxa"/>
            <w:vAlign w:val="bottom"/>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264"/>
        </w:trPr>
        <w:tc>
          <w:tcPr>
            <w:tcW w:w="268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INTEGRAL CULTIVATION,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62340865056138997248</w:t>
            </w:r>
          </w:p>
        </w:tc>
        <w:tc>
          <w:tcPr>
            <w:tcW w:w="120" w:type="dxa"/>
            <w:vAlign w:val="bottom"/>
          </w:tcPr>
          <w:p>
            <w:pPr>
              <w:spacing w:after="0"/>
              <w:rPr>
                <w:sz w:val="22"/>
                <w:szCs w:val="22"/>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392"/>
        </w:trPr>
        <w:tc>
          <w:tcPr>
            <w:tcW w:w="268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INTEGRAL PRODUCTION,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54896246263684448089</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68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INTEGRAL PRODUCTION,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59239887350322215968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INTEGRAL ASSOCIATES,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10197329605365016654</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INTEGRAL ASSOCIATES,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06347213896566425206</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31687553825305698491</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19873661470522818141</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09271842370730937488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18482416987753786163</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48470950795921214873</w:t>
            </w:r>
          </w:p>
        </w:tc>
        <w:tc>
          <w:tcPr>
            <w:tcW w:w="120" w:type="dxa"/>
            <w:vAlign w:val="bottom"/>
          </w:tcPr>
          <w:p>
            <w:pPr>
              <w:spacing w:after="0"/>
              <w:rPr>
                <w:sz w:val="24"/>
                <w:szCs w:val="2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Sparks,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34299986630191194451</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54732391061781763853</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54135769938859220718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15464995890053145809</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48202177935498005793</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16849340152215972256</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Reno,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43490264137335866974</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080" w:type="dxa"/>
            <w:vAlign w:val="bottom"/>
          </w:tcPr>
          <w:p>
            <w:pPr>
              <w:ind w:left="120"/>
              <w:spacing w:after="0"/>
              <w:rPr>
                <w:sz w:val="20"/>
                <w:szCs w:val="20"/>
                <w:color w:val="auto"/>
              </w:rPr>
            </w:pPr>
            <w:r>
              <w:rPr>
                <w:rFonts w:ascii="Arial" w:cs="Arial" w:eastAsia="Arial" w:hAnsi="Arial"/>
                <w:sz w:val="18"/>
                <w:szCs w:val="18"/>
                <w:color w:val="auto"/>
              </w:rPr>
              <w:t>12/05/2020</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57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15240</wp:posOffset>
            </wp:positionV>
            <wp:extent cx="15347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Distributor License</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Marijuana Retail Store License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Marijuana Retail Store License</w:t>
      </w:r>
    </w:p>
    <w:p>
      <w:pPr>
        <w:spacing w:after="0" w:line="8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Marijuana Retail Store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ectPr>
          <w:pgSz w:w="11900" w:h="16838" w:orient="portrait"/>
          <w:cols w:equalWidth="0" w:num="2">
            <w:col w:w="8700" w:space="160"/>
            <w:col w:w="232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Licenses in the State of New Jersey</w:t>
      </w:r>
    </w:p>
    <w:p>
      <w:pPr>
        <w:spacing w:after="0" w:line="255"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95" w:lineRule="exact"/>
        <w:rPr>
          <w:sz w:val="20"/>
          <w:szCs w:val="20"/>
          <w:color w:val="auto"/>
        </w:rPr>
      </w:pPr>
    </w:p>
    <w:p>
      <w:pPr>
        <w:ind w:left="1340" w:right="420" w:hanging="677"/>
        <w:spacing w:after="0" w:line="277" w:lineRule="auto"/>
        <w:rPr>
          <w:sz w:val="20"/>
          <w:szCs w:val="20"/>
          <w:color w:val="auto"/>
        </w:rPr>
      </w:pPr>
      <w:r>
        <w:rPr>
          <w:rFonts w:ascii="Arial" w:cs="Arial" w:eastAsia="Arial" w:hAnsi="Arial"/>
          <w:sz w:val="18"/>
          <w:szCs w:val="18"/>
          <w:color w:val="auto"/>
        </w:rPr>
        <w:t>GTI NEW JERSEY, LLC (N-0032)</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New York</w:t>
      </w:r>
    </w:p>
    <w:p>
      <w:pPr>
        <w:spacing w:after="0" w:line="24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FIORELLO PHARMACEUTICALS,</w:t>
      </w:r>
    </w:p>
    <w:p>
      <w:pPr>
        <w:spacing w:after="0" w:line="3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Ohio</w:t>
      </w: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8180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9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Permit/License</w:t>
            </w:r>
          </w:p>
        </w:tc>
        <w:tc>
          <w:tcPr>
            <w:tcW w:w="12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980" w:type="dxa"/>
            <w:vAlign w:val="bottom"/>
            <w:gridSpan w:val="2"/>
          </w:tcPr>
          <w:p>
            <w:pPr>
              <w:jc w:val="center"/>
              <w:spacing w:after="0"/>
              <w:rPr>
                <w:sz w:val="20"/>
                <w:szCs w:val="20"/>
                <w:color w:val="auto"/>
              </w:rPr>
            </w:pPr>
            <w:r>
              <w:rPr>
                <w:rFonts w:ascii="Arial" w:cs="Arial" w:eastAsia="Arial" w:hAnsi="Arial"/>
                <w:sz w:val="18"/>
                <w:szCs w:val="18"/>
                <w:color w:val="auto"/>
                <w:w w:val="87"/>
              </w:rPr>
              <w:t>12112019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Patterson, NJ</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12/31/2020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5"/>
        </w:trPr>
        <w:tc>
          <w:tcPr>
            <w:tcW w:w="80" w:type="dxa"/>
            <w:vAlign w:val="bottom"/>
          </w:tcPr>
          <w:p>
            <w:pPr>
              <w:spacing w:after="0"/>
              <w:rPr>
                <w:sz w:val="24"/>
                <w:szCs w:val="24"/>
                <w:color w:val="auto"/>
              </w:rPr>
            </w:pPr>
          </w:p>
        </w:tc>
        <w:tc>
          <w:tcPr>
            <w:tcW w:w="1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Permit/License</w:t>
            </w:r>
          </w:p>
        </w:tc>
        <w:tc>
          <w:tcPr>
            <w:tcW w:w="120" w:type="dxa"/>
            <w:vAlign w:val="bottom"/>
            <w:gridSpan w:val="2"/>
            <w:vMerge w:val="restart"/>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gridSpan w:val="2"/>
            <w:vMerge w:val="restart"/>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02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MM0701M</w:t>
            </w:r>
          </w:p>
        </w:tc>
        <w:tc>
          <w:tcPr>
            <w:tcW w:w="6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Glenville,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MM0702D</w:t>
            </w: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New York,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MM0703D</w:t>
            </w: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Nassau County,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MM0704D</w:t>
            </w:r>
          </w:p>
        </w:tc>
        <w:tc>
          <w:tcPr>
            <w:tcW w:w="6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Rochester,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MM0705D</w:t>
            </w: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96"/>
              </w:rPr>
              <w:t>Clifton Park,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7"/>
        </w:trPr>
        <w:tc>
          <w:tcPr>
            <w:tcW w:w="80" w:type="dxa"/>
            <w:vAlign w:val="bottom"/>
          </w:tcPr>
          <w:p>
            <w:pPr>
              <w:spacing w:after="0"/>
              <w:rPr>
                <w:sz w:val="24"/>
                <w:szCs w:val="24"/>
                <w:color w:val="auto"/>
              </w:rPr>
            </w:pPr>
          </w:p>
        </w:tc>
        <w:tc>
          <w:tcPr>
            <w:tcW w:w="19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Permit/License</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City</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w w:val="96"/>
              </w:rPr>
              <w:t>Renewal Date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(MM/DD/YY)</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MMD.0700015</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Toledo,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MMD.0700016</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Lorain,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MMD.0700026</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Cleveland,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MMD.0700047</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Lakewood,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MMD.04018</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Lakewood, OH</w:t>
            </w:r>
          </w:p>
        </w:tc>
        <w:tc>
          <w:tcPr>
            <w:tcW w:w="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7"/>
              </w:rPr>
              <w:t>Provisional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MMCPP00070</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Toledo, OH</w:t>
            </w:r>
          </w:p>
        </w:tc>
        <w:tc>
          <w:tcPr>
            <w:tcW w:w="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7"/>
              </w:rPr>
              <w:t>Provisional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MMCPC00181</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Toledo, OH</w:t>
            </w:r>
          </w:p>
        </w:tc>
        <w:tc>
          <w:tcPr>
            <w:tcW w:w="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7"/>
              </w:rPr>
              <w:t>Provisional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2"/>
          </w:tcPr>
          <w:p>
            <w:pPr>
              <w:jc w:val="right"/>
              <w:ind w:right="1353"/>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-7040245</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15240</wp:posOffset>
            </wp:positionV>
            <wp:extent cx="16725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color w:val="auto"/>
        </w:rPr>
        <w:t>Cultivation, Processing, Dispensary (Medical) Provisional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15240</wp:posOffset>
            </wp:positionV>
            <wp:extent cx="16725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Manufacturing License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Provisional 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15240</wp:posOffset>
            </wp:positionV>
            <wp:extent cx="16033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Medicinal Dispensary</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Medicinal Dispensary</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Provisional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Provisional Medicinal</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Provisional Medicinal</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Cultivator License</w:t>
      </w:r>
    </w:p>
    <w:p>
      <w:pPr>
        <w:sectPr>
          <w:pgSz w:w="11900" w:h="16838" w:orient="portrait"/>
          <w:cols w:equalWidth="0" w:num="3">
            <w:col w:w="2940" w:space="160"/>
            <w:col w:w="5460" w:space="480"/>
            <w:col w:w="1720"/>
          </w:cols>
          <w:pgMar w:left="240" w:top="459" w:right="8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Licenses in the Commonwealth of Pennsylvania</w:t>
      </w:r>
    </w:p>
    <w:p>
      <w:pPr>
        <w:sectPr>
          <w:pgSz w:w="11900" w:h="16838" w:orient="portrait"/>
          <w:cols w:equalWidth="0" w:num="1">
            <w:col w:w="10820"/>
          </w:cols>
          <w:pgMar w:left="240" w:top="459" w:right="839" w:bottom="1440" w:gutter="0" w:footer="0" w:header="0"/>
        </w:sectPr>
      </w:pPr>
    </w:p>
    <w:p>
      <w:pPr>
        <w:spacing w:after="0" w:line="267"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GTI PENNSYLVANIA,</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GTI PENNSYLVANIA, LLC</w:t>
      </w:r>
    </w:p>
    <w:p>
      <w:pPr>
        <w:spacing w:after="0" w:line="1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GTI PENNSYLVANIA LLC</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KW VENTURES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HOLDINGS, LLC</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KW VENTURES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HOLDINGS, LLC</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KW VENTURES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HOLDINGS, LLC</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GTI PENNSYLVANIA LLC</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Permit/License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22225</wp:posOffset>
            </wp:positionV>
            <wp:extent cx="12604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GP-4006-17</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D-6002-17</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D18-3019</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D18-1044</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D18-1044</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D18-5035</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D18-5035</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D18-6019</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D-3025-17</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D-3025-17</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D-3025-17</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D-6002-17</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Danville,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06/20/2020*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Erie,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06/29/2020*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Mechanicsburg,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Chadds Ford,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King of Prussia,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432"/>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Latrobe,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Cranberry,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New Castle,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Steelton, PA</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06/29/2020*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York, PA</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6/29/2020*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Carlisle,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6/29/2020*</w:t>
            </w:r>
          </w:p>
        </w:tc>
        <w:tc>
          <w:tcPr>
            <w:tcW w:w="0" w:type="dxa"/>
            <w:vAlign w:val="bottom"/>
          </w:tcPr>
          <w:p>
            <w:pPr>
              <w:spacing w:after="0"/>
              <w:rPr>
                <w:sz w:val="1"/>
                <w:szCs w:val="1"/>
                <w:color w:val="auto"/>
              </w:rPr>
            </w:pPr>
          </w:p>
        </w:tc>
      </w:tr>
      <w:tr>
        <w:trPr>
          <w:trHeight w:val="500"/>
        </w:trPr>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Hermitage,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6/29/2020*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15240</wp:posOffset>
            </wp:positionV>
            <wp:extent cx="16725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Grower/Processor Permit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sectPr>
          <w:pgSz w:w="11900" w:h="16838" w:orient="portrait"/>
          <w:cols w:equalWidth="0" w:num="4">
            <w:col w:w="2900" w:space="720"/>
            <w:col w:w="940" w:space="640"/>
            <w:col w:w="3280" w:space="520"/>
            <w:col w:w="1820"/>
          </w:cols>
          <w:pgMar w:left="240" w:top="459" w:right="839" w:bottom="1440" w:gutter="0" w:footer="0" w:header="0"/>
          <w:type w:val="continuous"/>
        </w:sectPr>
      </w:pPr>
    </w:p>
    <w:p>
      <w:pPr>
        <w:spacing w:after="0" w:line="10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GTI PENNSYLVANIA LLC</w:t>
            </w:r>
          </w:p>
        </w:tc>
        <w:tc>
          <w:tcPr>
            <w:tcW w:w="1320" w:type="dxa"/>
            <w:vAlign w:val="bottom"/>
          </w:tcPr>
          <w:p>
            <w:pPr>
              <w:ind w:left="540"/>
              <w:spacing w:after="0"/>
              <w:rPr>
                <w:sz w:val="20"/>
                <w:szCs w:val="20"/>
                <w:color w:val="auto"/>
              </w:rPr>
            </w:pPr>
            <w:r>
              <w:rPr>
                <w:rFonts w:ascii="Arial" w:cs="Arial" w:eastAsia="Arial" w:hAnsi="Arial"/>
                <w:sz w:val="18"/>
                <w:szCs w:val="18"/>
                <w:color w:val="auto"/>
                <w:w w:val="89"/>
              </w:rPr>
              <w:t>D-6002-17</w:t>
            </w:r>
          </w:p>
        </w:tc>
      </w:tr>
    </w:tbl>
    <w:p>
      <w:pPr>
        <w:spacing w:after="0" w:line="337"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Annual renewal pending to extend one year from date indicated.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jc w:val="right"/>
              <w:ind w:right="270"/>
              <w:spacing w:after="0"/>
              <w:rPr>
                <w:sz w:val="20"/>
                <w:szCs w:val="20"/>
                <w:color w:val="auto"/>
              </w:rPr>
            </w:pPr>
            <w:r>
              <w:rPr>
                <w:rFonts w:ascii="Arial" w:cs="Arial" w:eastAsia="Arial" w:hAnsi="Arial"/>
                <w:sz w:val="18"/>
                <w:szCs w:val="18"/>
                <w:color w:val="auto"/>
                <w:w w:val="95"/>
              </w:rPr>
              <w:t>New Castle, PA</w:t>
            </w:r>
          </w:p>
        </w:tc>
        <w:tc>
          <w:tcPr>
            <w:tcW w:w="1180" w:type="dxa"/>
            <w:vAlign w:val="bottom"/>
          </w:tcPr>
          <w:p>
            <w:pPr>
              <w:jc w:val="right"/>
              <w:spacing w:after="0"/>
              <w:rPr>
                <w:sz w:val="20"/>
                <w:szCs w:val="20"/>
                <w:color w:val="auto"/>
              </w:rPr>
            </w:pPr>
            <w:r>
              <w:rPr>
                <w:rFonts w:ascii="Arial" w:cs="Arial" w:eastAsia="Arial" w:hAnsi="Arial"/>
                <w:sz w:val="18"/>
                <w:szCs w:val="18"/>
                <w:color w:val="auto"/>
              </w:rPr>
              <w:t>6/29/2020*</w:t>
            </w:r>
          </w:p>
        </w:tc>
      </w:tr>
      <w:tr>
        <w:trPr>
          <w:trHeight w:val="932"/>
        </w:trPr>
        <w:tc>
          <w:tcPr>
            <w:tcW w:w="1580" w:type="dxa"/>
            <w:vAlign w:val="bottom"/>
          </w:tcPr>
          <w:p>
            <w:pPr>
              <w:jc w:val="right"/>
              <w:ind w:right="1230"/>
              <w:spacing w:after="0"/>
              <w:rPr>
                <w:sz w:val="20"/>
                <w:szCs w:val="20"/>
                <w:color w:val="auto"/>
              </w:rPr>
            </w:pPr>
            <w:r>
              <w:rPr>
                <w:rFonts w:ascii="Arial" w:cs="Arial" w:eastAsia="Arial" w:hAnsi="Arial"/>
                <w:sz w:val="18"/>
                <w:szCs w:val="18"/>
                <w:color w:val="auto"/>
                <w:w w:val="79"/>
              </w:rPr>
              <w:t>105</w:t>
            </w: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6"/>
          <w:szCs w:val="16"/>
          <w:color w:val="auto"/>
        </w:rPr>
        <w:t>Medicinal Dispensary</w:t>
      </w:r>
    </w:p>
    <w:p>
      <w:pPr>
        <w:spacing w:after="0" w:line="4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Permit</w:t>
      </w:r>
    </w:p>
    <w:p>
      <w:pPr>
        <w:sectPr>
          <w:pgSz w:w="11900" w:h="16838" w:orient="portrait"/>
          <w:cols w:equalWidth="0" w:num="3">
            <w:col w:w="5260" w:space="320"/>
            <w:col w:w="2820" w:space="720"/>
            <w:col w:w="1700"/>
          </w:cols>
          <w:pgMar w:left="240" w:top="459" w:right="8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60" w:type="dxa"/>
            <w:vAlign w:val="bottom"/>
            <w:gridSpan w:val="13"/>
          </w:tcPr>
          <w:p>
            <w:pPr>
              <w:ind w:left="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8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42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Amended and Restated Articles of Green Thumb Industries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Coattail Agreement, dated June 12, 2018, by and among the Shareholders, Green Thumb Industries Inc. and Odyssey Trust Company.</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Business Combination Agreement, dated June 12, 2018, by and among Bayswater Uranium Corporation, VCP23, LLC, GTI Finco Inc.,</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1165318 B.C. Ltd. and GTI23, Inc.</w:t>
              </w:r>
            </w:hyperlink>
          </w:p>
        </w:tc>
        <w:tc>
          <w:tcPr>
            <w:tcW w:w="7280" w:type="dxa"/>
            <w:vAlign w:val="bottom"/>
            <w:tcBorders>
              <w:top w:val="single" w:sz="8" w:color="0000EE"/>
            </w:tcBorders>
            <w:gridSpan w:val="15"/>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10.2*#</w:t>
            </w:r>
          </w:p>
        </w:tc>
        <w:tc>
          <w:tcPr>
            <w:tcW w:w="48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Membership Interest Purchase Agreement, dated November 12, 2018, by and among the Seller Parties, GTI Core, LLC and Green Thumb</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Industries Inc.</w:t>
              </w:r>
            </w:hyperlink>
          </w:p>
        </w:tc>
        <w:tc>
          <w:tcPr>
            <w:tcW w:w="8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10.3*#</w:t>
            </w:r>
          </w:p>
        </w:tc>
        <w:tc>
          <w:tcPr>
            <w:tcW w:w="48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Amendment No. 1 to Membership Interest Purchase Agreement, dated June 5, 2019, by and among the Seller Parties, GTI Core, LLC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Green Thumb Industries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10.4*#</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Agreement and Plan of Merger and Reorganization, dated January 4, 2019, by and among Green Thumb Industries Inc., GTI Merger Sub,</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LLC and Advanced Grow Labs,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10.5*#</w:t>
            </w:r>
          </w:p>
        </w:tc>
        <w:tc>
          <w:tcPr>
            <w:tcW w:w="48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First Amendment to the Agreement and Plan of Merger and Reorganization, dated February 11, 2019, by and among Green Thumb</w:t>
              </w:r>
            </w:hyperlink>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Industries Inc., GTI Merger Sub, LLC and Advanced Grow Labs, LLC.</w:t>
              </w:r>
            </w:hyperlink>
          </w:p>
        </w:tc>
        <w:tc>
          <w:tcPr>
            <w:tcW w:w="48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10.6*#</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67">
              <w:r>
                <w:rPr>
                  <w:rFonts w:ascii="Arial" w:cs="Arial" w:eastAsia="Arial" w:hAnsi="Arial"/>
                  <w:sz w:val="18"/>
                  <w:szCs w:val="18"/>
                  <w:color w:val="0000EE"/>
                </w:rPr>
                <w:t>Note Purchase Agreement, dated May 22, 2019, by and among the Issuers, the Purchasers and the Agents.</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10.7*#</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First Amendment to the Note Purchase Agreement, dated November 9, 2019, by and among the Issuers, the Purchasers and the Agents.</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59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Green Thumb Industries Inc. 2018 Stock and Incentive Plan, dated June 11, 2018.</w:t>
              </w:r>
            </w:hyperlink>
          </w:p>
        </w:tc>
        <w:tc>
          <w:tcPr>
            <w:tcW w:w="3840" w:type="dxa"/>
            <w:vAlign w:val="bottom"/>
            <w:tcBorders>
              <w:top w:val="single" w:sz="8" w:color="0000EE"/>
            </w:tcBorders>
            <w:gridSpan w:val="5"/>
          </w:tcPr>
          <w:p>
            <w:pPr>
              <w:spacing w:after="0"/>
              <w:rPr>
                <w:sz w:val="24"/>
                <w:szCs w:val="24"/>
                <w:color w:val="auto"/>
              </w:rPr>
            </w:pPr>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70">
              <w:r>
                <w:rPr>
                  <w:rFonts w:ascii="Arial" w:cs="Arial" w:eastAsia="Arial" w:hAnsi="Arial"/>
                  <w:sz w:val="18"/>
                  <w:szCs w:val="18"/>
                  <w:color w:val="0000EE"/>
                </w:rPr>
                <w:t>Amendment No. 1 to the Green Thumb Industries Inc. 2018 Stock and Incentive Plan, dated August 30, 2019.</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10.10#</w:t>
            </w:r>
          </w:p>
        </w:tc>
        <w:tc>
          <w:tcPr>
            <w:tcW w:w="48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r:id="rId171">
              <w:r>
                <w:rPr>
                  <w:rFonts w:ascii="Arial" w:cs="Arial" w:eastAsia="Arial" w:hAnsi="Arial"/>
                  <w:sz w:val="18"/>
                  <w:szCs w:val="18"/>
                  <w:color w:val="0000EE"/>
                  <w:w w:val="93"/>
                </w:rPr>
                <w:t>Form of Notice of Option Grant.</w:t>
              </w:r>
            </w:hyperlink>
          </w:p>
        </w:tc>
        <w:tc>
          <w:tcPr>
            <w:tcW w:w="5560" w:type="dxa"/>
            <w:vAlign w:val="bottom"/>
            <w:tcBorders>
              <w:top w:val="single" w:sz="8" w:color="0000EE"/>
            </w:tcBorders>
            <w:gridSpan w:val="12"/>
          </w:tcPr>
          <w:p>
            <w:pPr>
              <w:spacing w:after="0"/>
              <w:rPr>
                <w:sz w:val="24"/>
                <w:szCs w:val="24"/>
                <w:color w:val="auto"/>
              </w:rPr>
            </w:pPr>
          </w:p>
        </w:tc>
        <w:tc>
          <w:tcPr>
            <w:tcW w:w="20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10.11#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72">
              <w:r>
                <w:rPr>
                  <w:rFonts w:ascii="Arial" w:cs="Arial" w:eastAsia="Arial" w:hAnsi="Arial"/>
                  <w:sz w:val="18"/>
                  <w:szCs w:val="18"/>
                  <w:color w:val="0000EE"/>
                </w:rPr>
                <w:t>Form of Option Agreement.</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10.12#</w:t>
            </w:r>
          </w:p>
        </w:tc>
        <w:tc>
          <w:tcPr>
            <w:tcW w:w="480" w:type="dxa"/>
            <w:vAlign w:val="bottom"/>
          </w:tcPr>
          <w:p>
            <w:pPr>
              <w:spacing w:after="0"/>
              <w:rPr>
                <w:sz w:val="24"/>
                <w:szCs w:val="24"/>
                <w:color w:val="auto"/>
              </w:rPr>
            </w:pPr>
          </w:p>
        </w:tc>
        <w:tc>
          <w:tcPr>
            <w:tcW w:w="3360" w:type="dxa"/>
            <w:vAlign w:val="bottom"/>
            <w:tcBorders>
              <w:bottom w:val="single" w:sz="8" w:color="0000EE"/>
            </w:tcBorders>
            <w:gridSpan w:val="7"/>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Notice of RSU Grant and Agreement.</w:t>
              </w:r>
            </w:hyperlink>
          </w:p>
        </w:tc>
        <w:tc>
          <w:tcPr>
            <w:tcW w:w="6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24"/>
                <w:szCs w:val="24"/>
                <w:color w:val="auto"/>
              </w:rPr>
            </w:pPr>
          </w:p>
        </w:tc>
        <w:tc>
          <w:tcPr>
            <w:tcW w:w="28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79">
              <w:r>
                <w:rPr>
                  <w:rFonts w:ascii="Arial" w:cs="Arial" w:eastAsia="Arial" w:hAnsi="Arial"/>
                  <w:sz w:val="18"/>
                  <w:szCs w:val="18"/>
                  <w:color w:val="0000EE"/>
                  <w:w w:val="92"/>
                </w:rPr>
                <w:t>MNP LLP Letter, dated March 5, 2020.</w:t>
              </w:r>
            </w:hyperlink>
          </w:p>
        </w:tc>
        <w:tc>
          <w:tcPr>
            <w:tcW w:w="71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74">
              <w:r>
                <w:rPr>
                  <w:rFonts w:ascii="Arial" w:cs="Arial" w:eastAsia="Arial" w:hAnsi="Arial"/>
                  <w:sz w:val="18"/>
                  <w:szCs w:val="18"/>
                  <w:color w:val="0000EE"/>
                </w:rPr>
                <w:t>List of Subsidiaries of Green Thumb Industries Inc.</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right="320" w:hanging="216"/>
        <w:spacing w:after="0" w:line="258"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confidential information has been excluded from this exhibit because it is both (i) not material and (ii) would be competitively harmful if publicly disclosed.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Previously filed.</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March 5, 2020</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240" w:top="459" w:right="5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8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Green Thumb Industries Inc.</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2018, and the related consolidated statement of operations, changes in shareholders’ equity, and cash flows for the year then ended, and the related notes (collectively referred to as the consolidated financial statements).</w:t>
      </w:r>
    </w:p>
    <w:p>
      <w:pPr>
        <w:spacing w:after="0" w:line="18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the Company as of December 31, 2018, and the results of its operations and its cash flows for the year then ended, in conformity with accounting principles generally accepted in the United States of America.</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combined financial statements of the Company for the year ended December 31, 2017 were audited by another auditor.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146050</wp:posOffset>
            </wp:positionV>
            <wp:extent cx="934720"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934720" cy="257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16, 2019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Toronto, Ontario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Professional Accountants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pacing w:after="0" w:line="200" w:lineRule="exact"/>
        <w:rPr>
          <w:sz w:val="20"/>
          <w:szCs w:val="20"/>
          <w:color w:val="auto"/>
        </w:rPr>
      </w:pPr>
    </w:p>
    <w:p>
      <w:pPr>
        <w:sectPr>
          <w:pgSz w:w="11900" w:h="16838" w:orient="portrait"/>
          <w:cols w:equalWidth="0" w:num="2">
            <w:col w:w="7920" w:space="720"/>
            <w:col w:w="2580"/>
          </w:cols>
          <w:pgMar w:left="240" w:top="459" w:right="439" w:bottom="1440" w:gutter="0" w:footer="0" w:header="0"/>
          <w:type w:val="continuous"/>
        </w:sectPr>
      </w:pPr>
    </w:p>
    <w:p>
      <w:pPr>
        <w:spacing w:after="0" w:line="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184150</wp:posOffset>
            </wp:positionV>
            <wp:extent cx="909320" cy="291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909320" cy="2914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220"/>
          </w:cols>
          <w:pgMar w:left="240" w:top="459" w:right="4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 (formerly Bayswater Uranium Corporation)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shd w:val="clear" w:color="auto" w:fill="CCEEFF"/>
          </w:tcPr>
          <w:p>
            <w:pPr>
              <w:ind w:left="4180"/>
              <w:spacing w:after="0" w:line="12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145,986,072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29,565,497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4,574,404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892,373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Members Contribution Receivable</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2,785,998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1,188,686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12,359,064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3,862,862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Notes Receivable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2,642,481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550,389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169,062,021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38,845,805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65,324,080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31,558,357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40,933,283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Associate</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Notes Receivable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7,424,727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88,365,678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14,161,995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39,204,360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188,260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Assets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2,184,417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1,458,833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418,348,566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86,213,250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00" w:type="dxa"/>
            <w:vAlign w:val="bottom"/>
            <w:gridSpan w:val="3"/>
            <w:shd w:val="clear" w:color="auto" w:fill="CCEEFF"/>
          </w:tcPr>
          <w:p>
            <w:pPr>
              <w:ind w:left="2880"/>
              <w:spacing w:after="0" w:line="143" w:lineRule="exact"/>
              <w:rPr>
                <w:sz w:val="20"/>
                <w:szCs w:val="20"/>
                <w:color w:val="auto"/>
              </w:rPr>
            </w:pPr>
            <w:r>
              <w:rPr>
                <w:rFonts w:ascii="Arial" w:cs="Arial" w:eastAsia="Arial" w:hAnsi="Arial"/>
                <w:sz w:val="14"/>
                <w:szCs w:val="14"/>
                <w:b w:val="1"/>
                <w:bCs w:val="1"/>
                <w:color w:val="auto"/>
              </w:rPr>
              <w:t>LIABILITIES AND SHAREHOLDERS’ EQUITY</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8,928,528</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4,044,760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7,046,029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1,160,521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1,480,660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8,861,376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Liability for Acquisition of Noncontrolling Interest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25,420,009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Derivative Liability</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4,238,701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Payable</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457,585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ind w:left="56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47,571,512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14,280,657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Deferred Rent</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280,127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301,105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Notes Payable, Net of Current Portion</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5,733,797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7,206,673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Contingent Consideration Payable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9,035,250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13,541,000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76,161,686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21,788,435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gridSpan w:val="2"/>
          </w:tcPr>
          <w:p>
            <w:pPr>
              <w:spacing w:after="0"/>
              <w:rPr>
                <w:sz w:val="17"/>
                <w:szCs w:val="17"/>
                <w:color w:val="auto"/>
              </w:rPr>
            </w:pPr>
          </w:p>
        </w:tc>
        <w:tc>
          <w:tcPr>
            <w:tcW w:w="2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Subordinate Voting Shares (Shares Authorized: Unlimited, Shares Issued: 43,920,131, Shares Outstanding: 43,920,131)</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gridSpan w:val="3"/>
          </w:tcPr>
          <w:p>
            <w:pPr>
              <w:spacing w:after="0" w:line="149" w:lineRule="exact"/>
              <w:rPr>
                <w:sz w:val="20"/>
                <w:szCs w:val="20"/>
                <w:color w:val="auto"/>
              </w:rPr>
            </w:pPr>
            <w:r>
              <w:rPr>
                <w:rFonts w:ascii="Arial" w:cs="Arial" w:eastAsia="Arial" w:hAnsi="Arial"/>
                <w:sz w:val="14"/>
                <w:szCs w:val="14"/>
                <w:color w:val="auto"/>
              </w:rPr>
              <w:t>Multiple Voting Shares (Shares Authorized: Unlimited, Shares Issued: 67,729,000, Shares Outstanding: 67,729,000)</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Super Voting Shares (Shares Authorized: Unlimited, Shares Issued: 42,451,300, Shares Outstanding: 42,451,300)</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Share Capital Shares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397,590,465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65,308,240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 be Issued</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27,773,234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Contributed Surplus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14,202,659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(100,876,937)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(4,249,775)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ind w:left="560"/>
              <w:spacing w:after="0" w:line="155" w:lineRule="exact"/>
              <w:rPr>
                <w:sz w:val="20"/>
                <w:szCs w:val="20"/>
                <w:color w:val="auto"/>
              </w:rPr>
            </w:pPr>
            <w:r>
              <w:rPr>
                <w:rFonts w:ascii="Arial" w:cs="Arial" w:eastAsia="Arial" w:hAnsi="Arial"/>
                <w:sz w:val="14"/>
                <w:szCs w:val="14"/>
                <w:color w:val="auto"/>
              </w:rPr>
              <w:t>Equity of Green Thumb Industries Inc.</w:t>
            </w: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338,689,421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61,058,465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3,497,459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3,366,350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TOTAL EQUITY</w:t>
            </w:r>
          </w:p>
        </w:tc>
        <w:tc>
          <w:tcPr>
            <w:tcW w:w="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342,186,880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64,424,815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418,348,566</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86,213,250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w w:val="93"/>
              </w:rPr>
              <w:t>Approved and authorized by the Board of Directors on December 16, 2019:</w:t>
            </w: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40" w:type="dxa"/>
            <w:vAlign w:val="bottom"/>
            <w:gridSpan w:val="2"/>
          </w:tcPr>
          <w:p>
            <w:pPr>
              <w:spacing w:after="0"/>
              <w:rPr>
                <w:sz w:val="20"/>
                <w:szCs w:val="20"/>
                <w:color w:val="auto"/>
              </w:rPr>
            </w:pPr>
            <w:r>
              <w:rPr>
                <w:rFonts w:ascii="Arial" w:cs="Arial" w:eastAsia="Arial" w:hAnsi="Arial"/>
                <w:sz w:val="18"/>
                <w:szCs w:val="18"/>
                <w:color w:val="auto"/>
              </w:rPr>
              <w:t>/s/ Benjamin Kovler</w:t>
            </w:r>
          </w:p>
        </w:tc>
        <w:tc>
          <w:tcPr>
            <w:tcW w:w="2580" w:type="dxa"/>
            <w:vAlign w:val="bottom"/>
            <w:gridSpan w:val="2"/>
          </w:tcPr>
          <w:p>
            <w:pPr>
              <w:jc w:val="right"/>
              <w:ind w:right="710"/>
              <w:spacing w:after="0"/>
              <w:rPr>
                <w:sz w:val="20"/>
                <w:szCs w:val="20"/>
                <w:color w:val="auto"/>
              </w:rPr>
            </w:pPr>
            <w:r>
              <w:rPr>
                <w:rFonts w:ascii="Arial" w:cs="Arial" w:eastAsia="Arial" w:hAnsi="Arial"/>
                <w:sz w:val="18"/>
                <w:szCs w:val="18"/>
                <w:color w:val="auto"/>
                <w:w w:val="96"/>
              </w:rPr>
              <w:t>/s/ Anthony Georgiadis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2"/>
              </w:rPr>
              <w:t>Chief Financial Officer</w:t>
            </w: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Consolidated Statements of Operations Years Ended December 31, 2018 and 2017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62,493,680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16,528,779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(34,177,259)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(9,807,775)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28,316,421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6,721,004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49,313,262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11,039,124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1,494,239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3,849,078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b w:val="1"/>
                <w:bCs w:val="1"/>
                <w:color w:val="auto"/>
              </w:rPr>
              <w:t>Total Expenses</w:t>
            </w:r>
          </w:p>
        </w:tc>
        <w:tc>
          <w:tcPr>
            <w:tcW w:w="1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54,656,579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11,490,772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(26,340,158)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(4,769,768)</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56,417,421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1,952,945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(2,278,834)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(432,448)</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 (Expense)</w:t>
            </w:r>
          </w:p>
        </w:tc>
        <w:tc>
          <w:tcPr>
            <w:tcW w:w="1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56,091,532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29,751,374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(4,657,817)</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7,183,595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(4,871,817)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27,811,696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(4,249,775)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share—basic and diluted</w:t>
            </w: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outstanding—basic and diluted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130,102,523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63,123,183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Consolidated Statements of Changes in Shareholders’ Equity Years Ended December 31, 2018 and 2017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Shares to Be</w:t>
            </w:r>
          </w:p>
        </w:tc>
        <w:tc>
          <w:tcPr>
            <w:tcW w:w="140" w:type="dxa"/>
            <w:vAlign w:val="bottom"/>
          </w:tcPr>
          <w:p>
            <w:pPr>
              <w:spacing w:after="0"/>
              <w:rPr>
                <w:sz w:val="14"/>
                <w:szCs w:val="14"/>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Contributed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12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Share Capital</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Earnings</w:t>
            </w:r>
          </w:p>
        </w:tc>
        <w:tc>
          <w:tcPr>
            <w:tcW w:w="12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31,423,983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31,423,983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Contributions from shareholders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65,385,608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66,160,076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Member contributions receivable</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2,785,998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2,785,998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Initial consolidation of variable interest entities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934,472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934,472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Conversion of note payable into membership interests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Distributions payable to shareholders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(279,750)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(279,750)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shareholders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(34,007,599)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(34,007,599)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(4,249,775)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(622,042)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(4,871,817)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65,308,240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(4,249,775)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3,366,350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64,424,815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January 1, 2018</w:t>
            </w: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gridSpan w:val="2"/>
            <w:vMerge w:val="continue"/>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65,308,240</w:t>
            </w: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(4,249,775)</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3,366,350</w:t>
            </w: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7"/>
              </w:rPr>
              <w:t>64,424,815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Conversion of notes payable into share capital</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3,927,483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4,686,257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8,613,740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Reverse takeover</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3,002,634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3"/>
              </w:rPr>
              <w:t>Shares issues pursuant to private placement, net of issuance costs</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issuance of options as settlement of services provided</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58,881,710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59,788,076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Purchase accounting adjustments for 2017 acquisitions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(2,800,000)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Conversion of exchangeable note</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44,140,526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44,140,526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3"/>
              </w:rPr>
              <w:t>Issuance of shares upon fundraise transaction, August 2018, net of</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58,592,775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58,592,775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1"/>
              </w:rPr>
              <w:t>Issuance of shares upon fundraise transaction, October 2018, net of</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75,083,480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75,083,480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Contribution from limited liability company unit 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1,637,479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17,297,494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18,934,973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shares under business combinations and investments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51,151,649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51,151,649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Noncontrolling interests adjustment for change in ownership</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35,940,000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w w:val="89"/>
              </w:rPr>
              <w:t>27,773,234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(90,244,101)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(10,439,741)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(36,970,608)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for redemtion of noncontrolling interests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4,093,718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4,093,718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12,148,251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12,148,251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1,395,733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(489,437)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Control acquired through management services agreement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(164,635)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(164,635)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 under business combination</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1,896,546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Distributions to limited liability company unit 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(2,266,627)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(14,821,657)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(17,088,284)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Distributions of investments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(26,134,851)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(26,134,851)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(5,243,917)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27,811,696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22,567,779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397,590,465</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27,773,234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14,202,659</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(100,876,937)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3,497,459</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342,186,880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Consolidated Statements of Cash Flows Years Ended December 31, 2018 and 2017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CASH FLOW FROM OPERATING ACTIVITIES</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Net loss attributable to Green Thumb Industries Inc.</w:t>
            </w:r>
          </w:p>
        </w:tc>
        <w:tc>
          <w:tcPr>
            <w:tcW w:w="13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(5,243,917)</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(4,249,775)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income (loss) attributable to non-controlling interest</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27,811,696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(622,042)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Adjustments to reconcile net income (loss) to net cash used in operating activities: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Depreciation and amortization</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5,183,980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689,988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667,837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Loss from joint venture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55,750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Deferred rent</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(20,978)</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301,105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Deferred income taxes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4,061,000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Share based compensation</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12,148,251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Increase in fair value of investments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(51,942,861)</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Decrease in fair value conversion feature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(1,293,474)</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Changes in value of liabilities related to put option and purchase of non controlling interests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(2,518,180)</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Interest on convertible note payable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434,000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Interest on contingent liability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178,030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Accounts receivable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(3,682,031)</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(592,026)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Inventory</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(7,441,790)</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(1,804,844)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(2,092,697)</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(394,922)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Deposits and other assets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(679,072)</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(901,768)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Accounts payable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4,725,096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3,098,293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Accrued liabilities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1,722,772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(26,717)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Income tax payable</w:t>
            </w:r>
          </w:p>
        </w:tc>
        <w:tc>
          <w:tcPr>
            <w:tcW w:w="1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243,585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214,000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tcPr>
          <w:p>
            <w:pPr>
              <w:ind w:left="900"/>
              <w:spacing w:after="0" w:line="169" w:lineRule="exact"/>
              <w:rPr>
                <w:sz w:val="20"/>
                <w:szCs w:val="20"/>
                <w:color w:val="auto"/>
              </w:rPr>
            </w:pPr>
            <w:r>
              <w:rPr>
                <w:rFonts w:ascii="Arial" w:cs="Arial" w:eastAsia="Arial" w:hAnsi="Arial"/>
                <w:sz w:val="15"/>
                <w:szCs w:val="15"/>
                <w:b w:val="1"/>
                <w:bCs w:val="1"/>
                <w:color w:val="auto"/>
              </w:rPr>
              <w:t>NET CASH USED IN OPERATING ACTIVITIES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(17,683,003)</w:t>
            </w:r>
          </w:p>
        </w:tc>
        <w:tc>
          <w:tcPr>
            <w:tcW w:w="200" w:type="dxa"/>
            <w:vAlign w:val="bottom"/>
          </w:tcPr>
          <w:p>
            <w:pPr>
              <w:spacing w:after="0"/>
              <w:rPr>
                <w:sz w:val="15"/>
                <w:szCs w:val="15"/>
                <w:color w:val="auto"/>
              </w:rPr>
            </w:pPr>
          </w:p>
        </w:tc>
        <w:tc>
          <w:tcPr>
            <w:tcW w:w="9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(4,288,708)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INVESTING ACTIVITIES</w:t>
            </w:r>
          </w:p>
        </w:tc>
        <w:tc>
          <w:tcPr>
            <w:tcW w:w="1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Investments in debentures and equity instruments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(42,550,000)</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Repayments from debenture investments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20,000,000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Investment in associates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(4,387,500)</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Purchases of property and equipment</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(27,432,847)</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(14,244,340)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Advances to related parties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(2,750,000)</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(1,188,686)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Repayments from related parties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583,686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Issuance of notes receivable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(3,500,000)</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Consolidation of variable interest entities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154,776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Purchases of licenses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(49,999)</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(220,000)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Purchase of businesses, net of cash acquired</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(51,489,384)</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(10,372,385)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NET CASH USED IN INVESTING ACTIVITIES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4"/>
              </w:rPr>
              <w:t>(111,421,268)</w:t>
            </w:r>
          </w:p>
        </w:tc>
        <w:tc>
          <w:tcPr>
            <w:tcW w:w="200" w:type="dxa"/>
            <w:vAlign w:val="bottom"/>
          </w:tcPr>
          <w:p>
            <w:pPr>
              <w:spacing w:after="0"/>
              <w:rPr>
                <w:sz w:val="15"/>
                <w:szCs w:val="15"/>
                <w:color w:val="auto"/>
              </w:rPr>
            </w:pPr>
          </w:p>
        </w:tc>
        <w:tc>
          <w:tcPr>
            <w:tcW w:w="9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(26,025,411)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FINANCING ACTIVITIES</w:t>
            </w:r>
          </w:p>
        </w:tc>
        <w:tc>
          <w:tcPr>
            <w:tcW w:w="1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Contribution from limited liability company unit holders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21,748,211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66,160,076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Distributions to limited liability company unit holders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(17,368,034)</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(34,007,599)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Payment for change in ownership interests of subsidiary</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(700,000)</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shares issued pursuant to private placement</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66,805,295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Proceeds from exchangeable notes payable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45,000,000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fundraise transactions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140,289,093</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Proceeds from exercise of options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906,296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Reverse takeover, private placement, and fundraise transaction financing costs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(10,627,423)</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Proceeds from issuance of notes payable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825,000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15,000,000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Principal repayments of notes payable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(1,353,592)</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(228,379)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tcPr>
          <w:p>
            <w:pPr>
              <w:ind w:left="600"/>
              <w:spacing w:after="0" w:line="169" w:lineRule="exact"/>
              <w:rPr>
                <w:sz w:val="20"/>
                <w:szCs w:val="20"/>
                <w:color w:val="auto"/>
              </w:rPr>
            </w:pPr>
            <w:r>
              <w:rPr>
                <w:rFonts w:ascii="Arial" w:cs="Arial" w:eastAsia="Arial" w:hAnsi="Arial"/>
                <w:sz w:val="15"/>
                <w:szCs w:val="15"/>
                <w:b w:val="1"/>
                <w:bCs w:val="1"/>
                <w:color w:val="auto"/>
              </w:rPr>
              <w:t>NET CASH PROVIDED BY FINANCING ACTIVITIES</w:t>
            </w:r>
          </w:p>
        </w:tc>
        <w:tc>
          <w:tcPr>
            <w:tcW w:w="1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245,524,846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46,924,098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INCREASE IN CASH AND CASH EQUIVALENTS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116,420,575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16,609,979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60" w:type="dxa"/>
            <w:vAlign w:val="bottom"/>
          </w:tcPr>
          <w:p>
            <w:pPr>
              <w:spacing w:after="0" w:line="162" w:lineRule="exact"/>
              <w:rPr>
                <w:sz w:val="20"/>
                <w:szCs w:val="20"/>
                <w:color w:val="auto"/>
              </w:rPr>
            </w:pPr>
            <w:r>
              <w:rPr>
                <w:rFonts w:ascii="Arial" w:cs="Arial" w:eastAsia="Arial" w:hAnsi="Arial"/>
                <w:sz w:val="15"/>
                <w:szCs w:val="15"/>
                <w:b w:val="1"/>
                <w:bCs w:val="1"/>
                <w:color w:val="auto"/>
              </w:rPr>
              <w:t>CASH AND CASH EQUIVALENTS, BEGINNING OF PERIOD</w:t>
            </w: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29,565,497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12,955,518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AND CASH EQUIVALENTS, END OF PERIOD</w:t>
            </w:r>
          </w:p>
        </w:tc>
        <w:tc>
          <w:tcPr>
            <w:tcW w:w="13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145,986,072</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29,565,497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 (formerly Bayswater Uranium Corporation)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874,298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149,081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 from related party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605,000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Conversion of notes payable into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2,279,452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options issued for reverse takeover services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906,366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Initial consolidation of variable interest entities, net of cash</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(319,411</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2,785,998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Accrued capital expenditures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26,134,851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Liability related to put option of conertible note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purchase of noncontrolling 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25,068,847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51,151,649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975,329</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483,058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3,938,703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397,015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76,650,639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10,600,480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39,016,100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188,260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(2,088,369)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(1,296,428)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Contingent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(8,857,220)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interests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(49,689,149)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(2,043,092)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51,489,384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10,372,385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rPr>
              <w:t>Initial consolidation of controlled entities, net of cash</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2,433,950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(319,411</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Green Thumb Industries Inc. (the “Company” or “GTI”) is a vertically integrated cannabis operator that focuses on limited-licensed markets in the United States. As a vertically integrated provider it owns or has executed definitive acquisition agreements for cultivation, processing, and retail licenses across twelve State markets (Illinois, Maryland, Massachusetts, Nevada, Ohio, Pennsylvania, Florida, New Jersey, Connecticut, Colorado, California, and New York). The Company is fully licensed in its State markets and has acquired its various State licenses through competitive application processes and / or via purchase.</w:t>
      </w:r>
    </w:p>
    <w:p>
      <w:pPr>
        <w:spacing w:after="0" w:line="18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81"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 ended December 31, 2018 and the combined financial statements for the year ended December 31, 2017, have been prepared in accordance with accounting principles generally accepted in the United States of America (“GAAP”).</w:t>
      </w:r>
    </w:p>
    <w:p>
      <w:pPr>
        <w:spacing w:after="0" w:line="73" w:lineRule="exact"/>
        <w:rPr>
          <w:rFonts w:ascii="Arial" w:cs="Arial" w:eastAsia="Arial" w:hAnsi="Arial"/>
          <w:sz w:val="18"/>
          <w:szCs w:val="18"/>
          <w:b w:val="1"/>
          <w:bCs w:val="1"/>
          <w:color w:val="auto"/>
        </w:rPr>
      </w:pPr>
    </w:p>
    <w:p>
      <w:pPr>
        <w:ind w:left="12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consolidated and combined financial statements were approved and authorized for issue by the Board of Directors of the Company on December 16, 2019.</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200" w:right="8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These consolidated and combined financial statements have been prepared on the going concern basis, under the historical cost convention, except for certain financial instruments that are measured at fair value as described herein.</w:t>
      </w:r>
    </w:p>
    <w:p>
      <w:pPr>
        <w:spacing w:after="0" w:line="47"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20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 ended December 31, 2018 include the accounts of the Company, its wholly owned subsidiaries, its partially-owned subsidiaries, and those controlled by the Company by virtue of agreements, on a consolidated basis after elimination of intercompany transactions and balances.</w:t>
      </w:r>
    </w:p>
    <w:p>
      <w:pPr>
        <w:spacing w:after="0" w:line="73" w:lineRule="exact"/>
        <w:rPr>
          <w:rFonts w:ascii="Arial" w:cs="Arial" w:eastAsia="Arial" w:hAnsi="Arial"/>
          <w:sz w:val="18"/>
          <w:szCs w:val="18"/>
          <w:b w:val="1"/>
          <w:bCs w:val="1"/>
          <w:color w:val="auto"/>
        </w:rPr>
      </w:pPr>
    </w:p>
    <w:p>
      <w:pPr>
        <w:ind w:left="12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-3243580</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returns through its power over the investee. The financial statements of entities controlled by the Company by virtue of agreements are fully consolidated from the date that control commences and deconsolidated from the date control ceases.</w:t>
      </w:r>
    </w:p>
    <w:p>
      <w:pPr>
        <w:spacing w:after="0" w:line="38" w:lineRule="exact"/>
        <w:rPr>
          <w:rFonts w:ascii="Arial" w:cs="Arial" w:eastAsia="Arial" w:hAnsi="Arial"/>
          <w:sz w:val="18"/>
          <w:szCs w:val="18"/>
          <w:b w:val="1"/>
          <w:bCs w:val="1"/>
          <w:color w:val="auto"/>
        </w:rPr>
      </w:pPr>
    </w:p>
    <w:p>
      <w:pPr>
        <w:ind w:left="1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4" w:lineRule="exact"/>
        <w:rPr>
          <w:rFonts w:ascii="Arial" w:cs="Arial" w:eastAsia="Arial" w:hAnsi="Arial"/>
          <w:sz w:val="18"/>
          <w:szCs w:val="18"/>
          <w:b w:val="1"/>
          <w:bCs w:val="1"/>
          <w:color w:val="auto"/>
        </w:rPr>
      </w:pPr>
    </w:p>
    <w:p>
      <w:pPr>
        <w:ind w:left="120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3" w:lineRule="exact"/>
        <w:rPr>
          <w:rFonts w:ascii="Arial" w:cs="Arial" w:eastAsia="Arial" w:hAnsi="Arial"/>
          <w:sz w:val="18"/>
          <w:szCs w:val="18"/>
          <w:b w:val="1"/>
          <w:bCs w:val="1"/>
          <w:color w:val="auto"/>
        </w:rPr>
      </w:pPr>
    </w:p>
    <w:p>
      <w:pPr>
        <w:ind w:left="12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consolidated financial statements as of and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-2197735</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Interest</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7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GTI23, Inc.</w:t>
            </w:r>
          </w:p>
        </w:tc>
        <w:tc>
          <w:tcPr>
            <w:tcW w:w="7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Delaware</w:t>
            </w:r>
          </w:p>
        </w:tc>
        <w:tc>
          <w:tcPr>
            <w:tcW w:w="5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ind w:left="1200" w:right="40"/>
        <w:spacing w:after="0" w:line="277" w:lineRule="auto"/>
        <w:rPr>
          <w:sz w:val="20"/>
          <w:szCs w:val="20"/>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consolidated financial statements as of and for the year ended December 31, 2018:</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Ownership</w:t>
            </w: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Jurisdiction</w:t>
            </w:r>
          </w:p>
        </w:tc>
        <w:tc>
          <w:tcPr>
            <w:tcW w:w="36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Arial" w:cs="Arial" w:eastAsia="Arial" w:hAnsi="Arial"/>
                <w:sz w:val="14"/>
                <w:szCs w:val="14"/>
                <w:b w:val="1"/>
                <w:bCs w:val="1"/>
                <w:color w:val="auto"/>
              </w:rPr>
              <w:t>Purpose</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3"/>
        </w:trPr>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1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Management company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Illinois</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IL Disp,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w w:val="91"/>
              </w:rPr>
              <w:t>Massachusetts</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xml:space="preserve">Ohio Investors 2017, LLC </w:t>
            </w:r>
            <w:r>
              <w:rPr>
                <w:rFonts w:ascii="Arial" w:cs="Arial" w:eastAsia="Arial" w:hAnsi="Arial"/>
                <w:sz w:val="15"/>
                <w:szCs w:val="15"/>
                <w:color w:val="auto"/>
              </w:rPr>
              <w:t>1</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40%</w:t>
            </w:r>
          </w:p>
        </w:tc>
        <w:tc>
          <w:tcPr>
            <w:tcW w:w="1120" w:type="dxa"/>
            <w:vAlign w:val="bottom"/>
          </w:tcPr>
          <w:p>
            <w:pPr>
              <w:spacing w:after="0"/>
              <w:rPr>
                <w:sz w:val="20"/>
                <w:szCs w:val="20"/>
                <w:color w:val="auto"/>
              </w:rPr>
            </w:pPr>
            <w:r>
              <w:rPr>
                <w:rFonts w:ascii="Arial" w:cs="Arial" w:eastAsia="Arial" w:hAnsi="Arial"/>
                <w:sz w:val="18"/>
                <w:szCs w:val="18"/>
                <w:color w:val="auto"/>
              </w:rPr>
              <w:t>Ohio</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Holding company</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GTI Ohio,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Nevada</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Pennsylania</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KSGNF,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Florida</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Florida, LLC</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Holding company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20"/>
                <w:szCs w:val="20"/>
                <w:color w:val="auto"/>
              </w:rPr>
            </w:pPr>
            <w:r>
              <w:rPr>
                <w:rFonts w:ascii="Arial" w:cs="Arial" w:eastAsia="Arial" w:hAnsi="Arial"/>
                <w:sz w:val="18"/>
                <w:szCs w:val="18"/>
                <w:color w:val="auto"/>
              </w:rPr>
              <w:t>New Jersey</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KW Ventures Holdings,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xml:space="preserve">Chesapeake Alternatives, LLC </w:t>
            </w:r>
            <w:r>
              <w:rPr>
                <w:rFonts w:ascii="Arial" w:cs="Arial" w:eastAsia="Arial" w:hAnsi="Arial"/>
                <w:sz w:val="15"/>
                <w:szCs w:val="15"/>
                <w:color w:val="auto"/>
              </w:rPr>
              <w:t>1</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0"/>
                <w:szCs w:val="20"/>
                <w:color w:val="auto"/>
              </w:rPr>
            </w:pPr>
            <w:r>
              <w:rPr>
                <w:rFonts w:ascii="Arial" w:cs="Arial" w:eastAsia="Arial" w:hAnsi="Arial"/>
                <w:sz w:val="18"/>
                <w:szCs w:val="18"/>
                <w:color w:val="auto"/>
              </w:rPr>
              <w:t>Maryland</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Meshow,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Vision Management Services,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Delaware</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w w:val="98"/>
              </w:rPr>
              <w:t>Management company</w:t>
            </w:r>
          </w:p>
        </w:tc>
      </w:tr>
      <w:tr>
        <w:trPr>
          <w:trHeight w:val="350"/>
        </w:trPr>
        <w:tc>
          <w:tcPr>
            <w:tcW w:w="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40" w:type="dxa"/>
            <w:vAlign w:val="bottom"/>
            <w:gridSpan w:val="3"/>
          </w:tcPr>
          <w:p>
            <w:pPr>
              <w:jc w:val="right"/>
              <w:ind w:right="1200"/>
              <w:spacing w:after="0"/>
              <w:rPr>
                <w:sz w:val="20"/>
                <w:szCs w:val="20"/>
                <w:color w:val="auto"/>
              </w:rPr>
            </w:pPr>
            <w:r>
              <w:rPr>
                <w:rFonts w:ascii="Arial" w:cs="Arial" w:eastAsia="Arial" w:hAnsi="Arial"/>
                <w:sz w:val="18"/>
                <w:szCs w:val="18"/>
                <w:color w:val="auto"/>
              </w:rPr>
              <w:t>F-8</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2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w w:val="95"/>
              </w:rPr>
              <w:t>Jurisdiction</w:t>
            </w:r>
          </w:p>
        </w:tc>
        <w:tc>
          <w:tcPr>
            <w:tcW w:w="360" w:type="dxa"/>
            <w:vAlign w:val="bottom"/>
          </w:tcPr>
          <w:p>
            <w:pPr>
              <w:spacing w:after="0"/>
              <w:rPr>
                <w:sz w:val="14"/>
                <w:szCs w:val="14"/>
                <w:color w:val="auto"/>
              </w:rPr>
            </w:pPr>
          </w:p>
        </w:tc>
        <w:tc>
          <w:tcPr>
            <w:tcW w:w="2320" w:type="dxa"/>
            <w:vAlign w:val="bottom"/>
          </w:tcPr>
          <w:p>
            <w:pPr>
              <w:ind w:left="900"/>
              <w:spacing w:after="0"/>
              <w:rPr>
                <w:sz w:val="20"/>
                <w:szCs w:val="20"/>
                <w:color w:val="auto"/>
              </w:rPr>
            </w:pPr>
            <w:r>
              <w:rPr>
                <w:rFonts w:ascii="Arial" w:cs="Arial" w:eastAsia="Arial" w:hAnsi="Arial"/>
                <w:sz w:val="14"/>
                <w:szCs w:val="14"/>
                <w:b w:val="1"/>
                <w:bCs w:val="1"/>
                <w:color w:val="auto"/>
              </w:rPr>
              <w:t>Purpose</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203"/>
        </w:trPr>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TWD18, LLC</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Delaware</w:t>
            </w:r>
          </w:p>
        </w:tc>
        <w:tc>
          <w:tcPr>
            <w:tcW w:w="3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Investment company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2680" w:type="dxa"/>
            <w:vAlign w:val="bottom"/>
            <w:gridSpan w:val="2"/>
          </w:tcPr>
          <w:p>
            <w:pPr>
              <w:ind w:left="360"/>
              <w:spacing w:after="0"/>
              <w:rPr>
                <w:sz w:val="20"/>
                <w:szCs w:val="20"/>
                <w:color w:val="auto"/>
              </w:rPr>
            </w:pPr>
            <w:r>
              <w:rPr>
                <w:rFonts w:ascii="Arial" w:cs="Arial" w:eastAsia="Arial" w:hAnsi="Arial"/>
                <w:sz w:val="18"/>
                <w:szCs w:val="18"/>
                <w:color w:val="auto"/>
              </w:rPr>
              <w:t>Intellectual property</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2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Real estate holding company</w:t>
            </w:r>
          </w:p>
        </w:tc>
      </w:tr>
    </w:tbl>
    <w:p>
      <w:pPr>
        <w:spacing w:after="0" w:line="94" w:lineRule="exact"/>
        <w:rPr>
          <w:sz w:val="20"/>
          <w:szCs w:val="20"/>
          <w:color w:val="auto"/>
        </w:rPr>
      </w:pPr>
    </w:p>
    <w:p>
      <w:pPr>
        <w:ind w:left="1200"/>
        <w:spacing w:after="0" w:line="255" w:lineRule="auto"/>
        <w:rPr>
          <w:sz w:val="20"/>
          <w:szCs w:val="20"/>
          <w:color w:val="auto"/>
        </w:rPr>
      </w:pPr>
      <w:r>
        <w:rPr>
          <w:rFonts w:ascii="Arial" w:cs="Arial" w:eastAsia="Arial" w:hAnsi="Arial"/>
          <w:sz w:val="18"/>
          <w:szCs w:val="18"/>
          <w:color w:val="auto"/>
        </w:rPr>
        <w:t>The combined financial statements for the year ended December 31, 2017 include entities which were controlled either through common control or common management. Common control exists when the same group of shareholders and/or Board members have the power, directly or indirectly, to govern the financial and operating policies of multiple entities and to expose them to variable returns from their activities. Common management exists when entities operate under the terms of management service agreements that empower the same group of people or entities to directly or indirectly govern the financial and operating policies of multiple entities and to expose them to the variable returns from their activities. All entities were either under common control or common management throughout the year ended December 31, 2017.</w:t>
      </w:r>
    </w:p>
    <w:p>
      <w:pPr>
        <w:spacing w:after="0" w:line="81" w:lineRule="exact"/>
        <w:rPr>
          <w:sz w:val="20"/>
          <w:szCs w:val="20"/>
          <w:color w:val="auto"/>
        </w:rPr>
      </w:pPr>
    </w:p>
    <w:p>
      <w:pPr>
        <w:ind w:left="1200" w:right="220"/>
        <w:spacing w:after="0" w:line="277" w:lineRule="auto"/>
        <w:rPr>
          <w:sz w:val="20"/>
          <w:szCs w:val="20"/>
          <w:color w:val="auto"/>
        </w:rPr>
      </w:pPr>
      <w:r>
        <w:rPr>
          <w:rFonts w:ascii="Arial" w:cs="Arial" w:eastAsia="Arial" w:hAnsi="Arial"/>
          <w:sz w:val="18"/>
          <w:szCs w:val="18"/>
          <w:color w:val="auto"/>
        </w:rPr>
        <w:t>The combined financial statements for the year ended December 31, 2017 included the accounts of the following entities, either through common control (“CC”) or common management (“CM”).</w:t>
      </w:r>
    </w:p>
    <w:p>
      <w:pPr>
        <w:spacing w:after="0" w:line="76" w:lineRule="exact"/>
        <w:rPr>
          <w:sz w:val="20"/>
          <w:szCs w:val="20"/>
          <w:color w:val="auto"/>
        </w:rPr>
      </w:pPr>
    </w:p>
    <w:p>
      <w:pPr>
        <w:ind w:left="1620" w:hanging="32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RCP23, LLC, a Delaware limited liability company – CC and CM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VCP23, LLC, a Delaware limited liability company – CC and CM</w:t>
      </w:r>
    </w:p>
    <w:p>
      <w:pPr>
        <w:spacing w:after="0" w:line="130" w:lineRule="exact"/>
        <w:rPr>
          <w:rFonts w:ascii="Arial" w:cs="Arial" w:eastAsia="Arial" w:hAnsi="Arial"/>
          <w:sz w:val="18"/>
          <w:szCs w:val="18"/>
          <w:color w:val="auto"/>
        </w:rPr>
      </w:pPr>
    </w:p>
    <w:p>
      <w:pPr>
        <w:ind w:left="1620" w:right="40" w:hanging="322"/>
        <w:spacing w:after="0" w:line="277"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GTI Clinic Illinois Holdings, LLC, an Illinois limited liability company – CC All significant intercompany balances and transactions were eliminated in combination.</w:t>
      </w:r>
    </w:p>
    <w:p>
      <w:pPr>
        <w:spacing w:after="0" w:line="71" w:lineRule="exact"/>
        <w:rPr>
          <w:rFonts w:ascii="Arial" w:cs="Arial" w:eastAsia="Arial" w:hAnsi="Arial"/>
          <w:sz w:val="18"/>
          <w:szCs w:val="18"/>
          <w:color w:val="auto"/>
        </w:rPr>
      </w:pPr>
    </w:p>
    <w:p>
      <w:pPr>
        <w:ind w:left="1180" w:hanging="544"/>
        <w:spacing w:after="0"/>
        <w:tabs>
          <w:tab w:leader="none" w:pos="1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Associates</w:t>
      </w:r>
    </w:p>
    <w:p>
      <w:pPr>
        <w:spacing w:after="0" w:line="121" w:lineRule="exact"/>
        <w:rPr>
          <w:rFonts w:ascii="Arial" w:cs="Arial" w:eastAsia="Arial" w:hAnsi="Arial"/>
          <w:sz w:val="18"/>
          <w:szCs w:val="18"/>
          <w:b w:val="1"/>
          <w:bCs w:val="1"/>
          <w:color w:val="auto"/>
        </w:rPr>
      </w:pPr>
    </w:p>
    <w:p>
      <w:pPr>
        <w:ind w:left="12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Unrealized gains on transactions between the Company and its associates are eliminated to the extent of the Company’s interest in the associates. Accounting policies of associates have been adjusted where necessary to ensure consistency with the policies adopted by the Company. Dilution gains and losses arising in investments in associates are recognized in the Consolidated Statements of Operations.</w:t>
      </w:r>
    </w:p>
    <w:p>
      <w:pPr>
        <w:spacing w:after="0" w:line="85" w:lineRule="exact"/>
        <w:rPr>
          <w:rFonts w:ascii="Arial" w:cs="Arial" w:eastAsia="Arial" w:hAnsi="Arial"/>
          <w:sz w:val="18"/>
          <w:szCs w:val="18"/>
          <w:b w:val="1"/>
          <w:bCs w:val="1"/>
          <w:color w:val="auto"/>
        </w:rPr>
      </w:pPr>
    </w:p>
    <w:p>
      <w:pPr>
        <w:ind w:left="120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73" w:lineRule="exact"/>
        <w:rPr>
          <w:rFonts w:ascii="Arial" w:cs="Arial" w:eastAsia="Arial" w:hAnsi="Arial"/>
          <w:sz w:val="18"/>
          <w:szCs w:val="18"/>
          <w:b w:val="1"/>
          <w:bCs w:val="1"/>
          <w:color w:val="auto"/>
        </w:rPr>
      </w:pPr>
    </w:p>
    <w:p>
      <w:pPr>
        <w:ind w:left="1180" w:hanging="544"/>
        <w:spacing w:after="0"/>
        <w:tabs>
          <w:tab w:leader="none" w:pos="1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20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4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As of December 31, 2018, and 2017, the Company determined that an allowance for doubtful accounts was not required and no accounts were written off during the periods presented.</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2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7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2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-4373880</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Land</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90"/>
              </w:rPr>
              <w:t>Not Depreciated</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5"/>
              </w:rPr>
              <w:t>39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8"/>
              </w:rPr>
              <w:t>5 - 7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6"/>
              </w:rPr>
              <w:t>5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960" w:type="dxa"/>
            <w:vAlign w:val="bottom"/>
          </w:tcPr>
          <w:p>
            <w:pPr>
              <w:jc w:val="center"/>
              <w:ind w:left="207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8"/>
              </w:rPr>
              <w:t>5 - 7 Years</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90"/>
              </w:rPr>
              <w:t>Not Depreciated</w:t>
            </w:r>
          </w:p>
        </w:tc>
      </w:tr>
    </w:tbl>
    <w:p>
      <w:pPr>
        <w:spacing w:after="0" w:line="94"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2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which do not exceed the contractual period, if any, over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-2149475</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Licenses and Permits</w:t>
            </w:r>
          </w:p>
        </w:tc>
        <w:tc>
          <w:tcPr>
            <w:tcW w:w="298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Tradenames</w:t>
            </w:r>
          </w:p>
        </w:tc>
        <w:tc>
          <w:tcPr>
            <w:tcW w:w="298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Patient Relations hips</w:t>
            </w:r>
          </w:p>
        </w:tc>
        <w:tc>
          <w:tcPr>
            <w:tcW w:w="29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980" w:type="dxa"/>
            <w:vAlign w:val="bottom"/>
          </w:tcPr>
          <w:p>
            <w:pPr>
              <w:jc w:val="right"/>
              <w:spacing w:after="0"/>
              <w:rPr>
                <w:sz w:val="20"/>
                <w:szCs w:val="20"/>
                <w:color w:val="auto"/>
              </w:rPr>
            </w:pPr>
            <w:r>
              <w:rPr>
                <w:rFonts w:ascii="Arial" w:cs="Arial" w:eastAsia="Arial" w:hAnsi="Arial"/>
                <w:sz w:val="18"/>
                <w:szCs w:val="18"/>
                <w:color w:val="auto"/>
              </w:rPr>
              <w:t>2 years</w:t>
            </w:r>
          </w:p>
        </w:tc>
      </w:tr>
    </w:tbl>
    <w:p>
      <w:pPr>
        <w:spacing w:after="0" w:line="94" w:lineRule="exact"/>
        <w:rPr>
          <w:sz w:val="20"/>
          <w:szCs w:val="20"/>
          <w:color w:val="auto"/>
        </w:rPr>
      </w:pPr>
    </w:p>
    <w:p>
      <w:pPr>
        <w:ind w:left="1200" w:right="380"/>
        <w:spacing w:after="0" w:line="277" w:lineRule="auto"/>
        <w:rPr>
          <w:sz w:val="20"/>
          <w:szCs w:val="20"/>
          <w:color w:val="auto"/>
        </w:rPr>
      </w:pPr>
      <w:r>
        <w:rPr>
          <w:rFonts w:ascii="Arial" w:cs="Arial" w:eastAsia="Arial" w:hAnsi="Arial"/>
          <w:sz w:val="18"/>
          <w:szCs w:val="18"/>
          <w:color w:val="auto"/>
        </w:rPr>
        <w:t>The estimated useful lives, residual values, and amortization methods are reviewed at each year end, and any changes in estimates are accounted for prospectively.</w:t>
      </w:r>
    </w:p>
    <w:p>
      <w:pPr>
        <w:spacing w:after="0" w:line="72" w:lineRule="exact"/>
        <w:rPr>
          <w:sz w:val="20"/>
          <w:szCs w:val="20"/>
          <w:color w:val="auto"/>
        </w:rPr>
      </w:pPr>
    </w:p>
    <w:p>
      <w:pPr>
        <w:ind w:left="1180" w:hanging="544"/>
        <w:spacing w:after="0"/>
        <w:tabs>
          <w:tab w:leader="none" w:pos="1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3" w:lineRule="exact"/>
        <w:rPr>
          <w:rFonts w:ascii="Arial" w:cs="Arial" w:eastAsia="Arial" w:hAnsi="Arial"/>
          <w:sz w:val="18"/>
          <w:szCs w:val="18"/>
          <w:b w:val="1"/>
          <w:bCs w:val="1"/>
          <w:color w:val="auto"/>
        </w:rPr>
      </w:pPr>
    </w:p>
    <w:p>
      <w:pPr>
        <w:ind w:left="120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is not subject to amortization and is tested annually for impairment, or more frequently if events or changes in circumstances indicate that they might be impaired.</w:t>
      </w:r>
    </w:p>
    <w:p>
      <w:pPr>
        <w:spacing w:after="0" w:line="62" w:lineRule="exact"/>
        <w:rPr>
          <w:rFonts w:ascii="Arial" w:cs="Arial" w:eastAsia="Arial" w:hAnsi="Arial"/>
          <w:sz w:val="18"/>
          <w:szCs w:val="18"/>
          <w:b w:val="1"/>
          <w:bCs w:val="1"/>
          <w:color w:val="auto"/>
        </w:rPr>
      </w:pPr>
    </w:p>
    <w:p>
      <w:pPr>
        <w:ind w:left="120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lease is classified as a finance lease if it transfers substantially all the risks and rewards incidental to ownership to the lessee. All other leases are classified as operating leases. Lease payments under operating leases are recognized as an expense on a straight-line basis over the lease term, except where another systematic basis is more representative of the time pattern in which the economic benefits are consumed. Lease inducement, which corresponds to a free rent period are deferred and recognized as an expense on straight line basis over the period the inducement was received.</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 Payable</w:t>
      </w:r>
    </w:p>
    <w:p>
      <w:pPr>
        <w:spacing w:after="0" w:line="121"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At December 31, 2017, the Company had a convertible promissory note. The convertible promissory note was considered to contain an embedded derivative relating to the conversion feature. Management evaluated the convertible note to determine whether the conversion feature required bifurcation from the host instrument, which management concluded it did not, and whether the conversion feature was a beneficial conversion feature, which similarly was concluded to not be beneficial. Accordingly, the convertible note was accounted for entirely as a liability instrument through conversion.</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80"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10, the Company is subject to the limitations of IRC Section 280E.</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38"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1620" w:hanging="322"/>
        <w:spacing w:after="0"/>
        <w:tabs>
          <w:tab w:leader="none" w:pos="1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1620" w:right="180" w:hanging="322"/>
        <w:spacing w:after="0" w:line="277" w:lineRule="auto"/>
        <w:tabs>
          <w:tab w:leader="none" w:pos="1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-5584190</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Revenues consist of wholesale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years ended December 31, 2018 and 2017.</w:t>
      </w:r>
    </w:p>
    <w:p>
      <w:pPr>
        <w:spacing w:after="0" w:line="78"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rFonts w:ascii="Arial" w:cs="Arial" w:eastAsia="Arial" w:hAnsi="Arial"/>
          <w:sz w:val="18"/>
          <w:szCs w:val="18"/>
          <w:b w:val="1"/>
          <w:bCs w:val="1"/>
          <w:color w:val="auto"/>
        </w:rPr>
      </w:pPr>
    </w:p>
    <w:p>
      <w:pPr>
        <w:ind w:left="120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Payments</w:t>
      </w:r>
    </w:p>
    <w:p>
      <w:pPr>
        <w:spacing w:after="0" w:line="121" w:lineRule="exact"/>
        <w:rPr>
          <w:rFonts w:ascii="Arial" w:cs="Arial" w:eastAsia="Arial" w:hAnsi="Arial"/>
          <w:sz w:val="18"/>
          <w:szCs w:val="18"/>
          <w:b w:val="1"/>
          <w:bCs w:val="1"/>
          <w:color w:val="auto"/>
        </w:rPr>
      </w:pPr>
    </w:p>
    <w:p>
      <w:pPr>
        <w:ind w:left="1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 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5"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 based payments, in equity.</w:t>
      </w:r>
    </w:p>
    <w:p>
      <w:pPr>
        <w:spacing w:after="0" w:line="62" w:lineRule="exact"/>
        <w:rPr>
          <w:rFonts w:ascii="Arial" w:cs="Arial" w:eastAsia="Arial" w:hAnsi="Arial"/>
          <w:sz w:val="18"/>
          <w:szCs w:val="18"/>
          <w:b w:val="1"/>
          <w:bCs w:val="1"/>
          <w:color w:val="auto"/>
        </w:rPr>
      </w:pPr>
    </w:p>
    <w:p>
      <w:pPr>
        <w:ind w:left="12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5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19)</w:t>
      </w:r>
    </w:p>
    <w:p>
      <w:pPr>
        <w:spacing w:after="0" w:line="121" w:lineRule="exact"/>
        <w:rPr>
          <w:rFonts w:ascii="Arial" w:cs="Arial" w:eastAsia="Arial" w:hAnsi="Arial"/>
          <w:sz w:val="18"/>
          <w:szCs w:val="18"/>
          <w:b w:val="1"/>
          <w:bCs w:val="1"/>
          <w:color w:val="auto"/>
        </w:rPr>
      </w:pPr>
    </w:p>
    <w:p>
      <w:pPr>
        <w:ind w:left="120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-4885055</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19)</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5" w:lineRule="exact"/>
        <w:rPr>
          <w:sz w:val="20"/>
          <w:szCs w:val="20"/>
          <w:color w:val="auto"/>
        </w:rPr>
      </w:pPr>
    </w:p>
    <w:p>
      <w:pPr>
        <w:ind w:left="1200" w:right="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-121920</wp:posOffset>
            </wp:positionV>
            <wp:extent cx="636333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3" w:lineRule="exact"/>
        <w:rPr>
          <w:sz w:val="20"/>
          <w:szCs w:val="20"/>
          <w:color w:val="auto"/>
        </w:rPr>
      </w:pPr>
    </w:p>
    <w:p>
      <w:pPr>
        <w:ind w:left="1200" w:right="154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-147955</wp:posOffset>
            </wp:positionV>
            <wp:extent cx="636333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65" w:lineRule="exact"/>
        <w:rPr>
          <w:sz w:val="20"/>
          <w:szCs w:val="20"/>
          <w:color w:val="auto"/>
        </w:rPr>
      </w:pPr>
    </w:p>
    <w:p>
      <w:pPr>
        <w:ind w:left="1180" w:hanging="544"/>
        <w:spacing w:after="0"/>
        <w:tabs>
          <w:tab w:leader="none" w:pos="11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3"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20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w:t>
      </w:r>
    </w:p>
    <w:p>
      <w:pPr>
        <w:spacing w:after="0" w:line="38" w:lineRule="exact"/>
        <w:rPr>
          <w:rFonts w:ascii="Arial" w:cs="Arial" w:eastAsia="Arial" w:hAnsi="Arial"/>
          <w:sz w:val="18"/>
          <w:szCs w:val="18"/>
          <w:b w:val="1"/>
          <w:bCs w:val="1"/>
          <w:color w:val="auto"/>
        </w:rPr>
      </w:pPr>
    </w:p>
    <w:p>
      <w:pPr>
        <w:ind w:left="120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Diluted loss per share is calculated by adjusting the weighted average number of common shares outstanding to assume conversion of all dilutive potential common shares. The Company has two categories of dilutive potential common shares: restricted stock units and stock options. In order to determine diluted loss per share, it is assumed that any proceeds from the exercise of dilutive stock options would be used to repurchase common shares at the average market price during the period. The diluted loss per share calculation excludes any potential conversion of stock options and convertible debt that would increase earnings per share or decrease loss per share.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2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2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was no impairment charge related to intangible assets or property, plant and equipment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-4667885</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20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4" w:lineRule="exact"/>
        <w:rPr>
          <w:rFonts w:ascii="Arial" w:cs="Arial" w:eastAsia="Arial" w:hAnsi="Arial"/>
          <w:sz w:val="18"/>
          <w:szCs w:val="18"/>
          <w:b w:val="1"/>
          <w:bCs w:val="1"/>
          <w:color w:val="auto"/>
        </w:rPr>
      </w:pPr>
    </w:p>
    <w:p>
      <w:pPr>
        <w:ind w:left="12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620" w:hanging="430"/>
        <w:spacing w:after="0"/>
        <w:tabs>
          <w:tab w:leader="none" w:pos="1620" w:val="left"/>
        </w:tabs>
        <w:numPr>
          <w:ilvl w:val="2"/>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2(l))</w:t>
      </w:r>
    </w:p>
    <w:p>
      <w:pPr>
        <w:spacing w:after="0" w:line="117" w:lineRule="exact"/>
        <w:rPr>
          <w:rFonts w:ascii="Arial" w:cs="Arial" w:eastAsia="Arial" w:hAnsi="Arial"/>
          <w:sz w:val="18"/>
          <w:szCs w:val="18"/>
          <w:i w:val="1"/>
          <w:iCs w:val="1"/>
          <w:color w:val="auto"/>
        </w:rPr>
      </w:pPr>
    </w:p>
    <w:p>
      <w:pPr>
        <w:ind w:left="16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might be impaired.</w:t>
      </w:r>
    </w:p>
    <w:p>
      <w:pPr>
        <w:spacing w:after="0" w:line="70"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64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3" w:lineRule="exact"/>
        <w:rPr>
          <w:rFonts w:ascii="Arial" w:cs="Arial" w:eastAsia="Arial" w:hAnsi="Arial"/>
          <w:sz w:val="18"/>
          <w:szCs w:val="18"/>
          <w:i w:val="1"/>
          <w:iCs w:val="1"/>
          <w:color w:val="auto"/>
        </w:rPr>
      </w:pPr>
    </w:p>
    <w:p>
      <w:pPr>
        <w:ind w:left="1640" w:right="2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6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-5285105</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6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6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77"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64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 operates as of December 31, 2018: Florida, Illinois, Maryland, Massachusetts, Nevada, New Jersey, Ohio and Pennsylvania.</w:t>
      </w:r>
    </w:p>
    <w:p>
      <w:pPr>
        <w:spacing w:after="0" w:line="98"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640" w:right="10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 See Note 14 – Variable Interest Entities for further details.</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640" w:right="26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-5123180</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Stock Based Payments</w:t>
      </w:r>
    </w:p>
    <w:p>
      <w:pPr>
        <w:spacing w:after="0" w:line="117" w:lineRule="exact"/>
        <w:rPr>
          <w:rFonts w:ascii="Arial" w:cs="Arial" w:eastAsia="Arial" w:hAnsi="Arial"/>
          <w:sz w:val="18"/>
          <w:szCs w:val="18"/>
          <w:i w:val="1"/>
          <w:iCs w:val="1"/>
          <w:color w:val="auto"/>
        </w:rPr>
      </w:pPr>
    </w:p>
    <w:p>
      <w:pPr>
        <w:ind w:left="164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6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 For further details, see Note 19 – Financial Instruments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-2345690</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2" w:lineRule="exact"/>
        <w:rPr>
          <w:sz w:val="20"/>
          <w:szCs w:val="20"/>
          <w:color w:val="auto"/>
        </w:rPr>
      </w:pPr>
    </w:p>
    <w:p>
      <w:pPr>
        <w:ind w:left="1180" w:hanging="544"/>
        <w:spacing w:after="0"/>
        <w:tabs>
          <w:tab w:leader="none" w:pos="1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620" w:hanging="430"/>
        <w:spacing w:after="0" w:line="273" w:lineRule="auto"/>
        <w:tabs>
          <w:tab w:leader="none" w:pos="1620" w:val="left"/>
        </w:tabs>
        <w:numPr>
          <w:ilvl w:val="1"/>
          <w:numId w:val="71"/>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84" w:lineRule="exact"/>
        <w:rPr>
          <w:sz w:val="20"/>
          <w:szCs w:val="20"/>
          <w:color w:val="auto"/>
        </w:rPr>
      </w:pPr>
    </w:p>
    <w:p>
      <w:pPr>
        <w:ind w:left="1620" w:right="100" w:hanging="431"/>
        <w:spacing w:after="0" w:line="255" w:lineRule="auto"/>
        <w:tabs>
          <w:tab w:leader="none" w:pos="1600" w:val="left"/>
        </w:tabs>
        <w:rPr>
          <w:sz w:val="20"/>
          <w:szCs w:val="20"/>
          <w:color w:val="auto"/>
        </w:rPr>
      </w:pPr>
      <w:r>
        <w:rPr>
          <w:rFonts w:ascii="Arial" w:cs="Arial" w:eastAsia="Arial" w:hAnsi="Arial"/>
          <w:sz w:val="18"/>
          <w:szCs w:val="18"/>
          <w:i w:val="1"/>
          <w:iCs w:val="1"/>
          <w:color w:val="auto"/>
        </w:rPr>
        <w:t>(ii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 2016-02 is permitted.</w:t>
      </w:r>
    </w:p>
    <w:p>
      <w:pPr>
        <w:spacing w:after="0" w:line="85" w:lineRule="exact"/>
        <w:rPr>
          <w:sz w:val="20"/>
          <w:szCs w:val="20"/>
          <w:color w:val="auto"/>
        </w:rPr>
      </w:pPr>
    </w:p>
    <w:p>
      <w:pPr>
        <w:ind w:left="1640" w:right="160"/>
        <w:spacing w:after="0" w:line="277" w:lineRule="auto"/>
        <w:rPr>
          <w:sz w:val="20"/>
          <w:szCs w:val="20"/>
          <w:color w:val="auto"/>
        </w:rPr>
      </w:pPr>
      <w:r>
        <w:rPr>
          <w:rFonts w:ascii="Arial" w:cs="Arial" w:eastAsia="Arial" w:hAnsi="Arial"/>
          <w:sz w:val="18"/>
          <w:szCs w:val="18"/>
          <w:color w:val="auto"/>
        </w:rPr>
        <w:t>The Company has completed its analysis of the impact of the adoption of ASU 2016-02 and expects to recognize material right-of-use assets and lease liabilities.</w:t>
      </w:r>
    </w:p>
    <w:p>
      <w:pPr>
        <w:spacing w:after="0" w:line="315"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TAKEOVER TRANSACTION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1"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4"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 Such share consolidation has been reflected retrospectively in these consolidated financial statements.</w:t>
      </w:r>
    </w:p>
    <w:p>
      <w:pPr>
        <w:spacing w:after="0" w:line="166"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370"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inventories include the following at December 31, 2018 and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2017</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527,456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601,227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Miscellaneous</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2,511,769</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500,765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26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3,039,225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1,101,992</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5,231,630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1,357,535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Finished Goods</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4,088,209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1,403,335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12,359,064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3,862,862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5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NOTES RECEIVABLE</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26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On October 16, 2018, the Company executed a promissory note to an unrelated third party. The value of the note is variable in nature as the note is secured by an investment vehicle which expires in January 2020. The maturity date of the note is tied directly to the expiration date of the warrants, both being January 2020. The initial fair value upon execution of the note was $11,630,867. The fair value as of December 31, 2018 was $7,424,727,</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Notes Receivable </w:t>
      </w:r>
      <w:r>
        <w:rPr>
          <w:rFonts w:ascii="Arial" w:cs="Arial" w:eastAsia="Arial" w:hAnsi="Arial"/>
          <w:sz w:val="18"/>
          <w:szCs w:val="18"/>
          <w:color w:val="auto"/>
        </w:rPr>
        <w:t>(continued)</w:t>
      </w:r>
    </w:p>
    <w:p>
      <w:pPr>
        <w:spacing w:after="0" w:line="13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resulting in an adjustment to fair value of $4,206,141 which is recorded in other income (expense) on the consolidated statement of operations. The note receivable is categorized as a financial instrument measured at fair value.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using the assumptions below.</w:t>
      </w:r>
    </w:p>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1.998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2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$4.03 - $5.50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Volatility</w:t>
            </w:r>
          </w:p>
        </w:tc>
        <w:tc>
          <w:tcPr>
            <w:tcW w:w="20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has a term of one year and bears interest at a rate of 8%.</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has a term of one year and bears interest at a rate of 8%.</w:t>
      </w:r>
    </w:p>
    <w:p>
      <w:pPr>
        <w:spacing w:after="0" w:line="17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 An increase or decrease to the underlying share price and volatility rate of 5% would result in a nominal change to the fair value.</w:t>
      </w:r>
    </w:p>
    <w:p>
      <w:pPr>
        <w:spacing w:after="0" w:line="316"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and 2017, property and equipment consist of:</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w w:val="94"/>
              </w:rPr>
              <w:t>Computer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w w:val="95"/>
              </w:rPr>
              <w:t>Production</w:t>
            </w:r>
          </w:p>
        </w:tc>
        <w:tc>
          <w:tcPr>
            <w:tcW w:w="1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7"/>
              </w:rPr>
              <w:t>Buildings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2"/>
              </w:rPr>
              <w:t>Furniture</w:t>
            </w:r>
          </w:p>
        </w:tc>
        <w:tc>
          <w:tcPr>
            <w:tcW w:w="140" w:type="dxa"/>
            <w:vAlign w:val="bottom"/>
          </w:tcPr>
          <w:p>
            <w:pPr>
              <w:spacing w:after="0"/>
              <w:rPr>
                <w:sz w:val="12"/>
                <w:szCs w:val="12"/>
                <w:color w:val="auto"/>
              </w:rPr>
            </w:pP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Equipment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2"/>
              </w:rPr>
              <w:t>Leasehold</w:t>
            </w: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89"/>
              </w:rPr>
              <w:t>and Processing</w:t>
            </w: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Land</w:t>
            </w:r>
          </w:p>
        </w:tc>
        <w:tc>
          <w:tcPr>
            <w:tcW w:w="1000" w:type="dxa"/>
            <w:vAlign w:val="bottom"/>
            <w:gridSpan w:val="3"/>
          </w:tcPr>
          <w:p>
            <w:pPr>
              <w:ind w:left="160"/>
              <w:spacing w:after="0"/>
              <w:rPr>
                <w:sz w:val="20"/>
                <w:szCs w:val="20"/>
                <w:color w:val="auto"/>
              </w:rPr>
            </w:pPr>
            <w:r>
              <w:rPr>
                <w:rFonts w:ascii="Arial" w:cs="Arial" w:eastAsia="Arial" w:hAnsi="Arial"/>
                <w:sz w:val="14"/>
                <w:szCs w:val="14"/>
                <w:color w:val="auto"/>
                <w:w w:val="92"/>
              </w:rPr>
              <w:t>Improvements</w:t>
            </w:r>
          </w:p>
        </w:tc>
        <w:tc>
          <w:tcPr>
            <w:tcW w:w="860" w:type="dxa"/>
            <w:vAlign w:val="bottom"/>
            <w:gridSpan w:val="3"/>
          </w:tcPr>
          <w:p>
            <w:pPr>
              <w:ind w:left="140"/>
              <w:spacing w:after="0"/>
              <w:rPr>
                <w:sz w:val="20"/>
                <w:szCs w:val="20"/>
                <w:color w:val="auto"/>
              </w:rPr>
            </w:pPr>
            <w:r>
              <w:rPr>
                <w:rFonts w:ascii="Arial" w:cs="Arial" w:eastAsia="Arial" w:hAnsi="Arial"/>
                <w:sz w:val="14"/>
                <w:szCs w:val="14"/>
                <w:color w:val="auto"/>
                <w:w w:val="90"/>
              </w:rPr>
              <w:t>and Fixtures</w:t>
            </w:r>
          </w:p>
        </w:tc>
        <w:tc>
          <w:tcPr>
            <w:tcW w:w="920" w:type="dxa"/>
            <w:vAlign w:val="bottom"/>
            <w:gridSpan w:val="3"/>
          </w:tcPr>
          <w:p>
            <w:pPr>
              <w:ind w:left="140"/>
              <w:spacing w:after="0"/>
              <w:rPr>
                <w:sz w:val="20"/>
                <w:szCs w:val="20"/>
                <w:color w:val="auto"/>
              </w:rPr>
            </w:pPr>
            <w:r>
              <w:rPr>
                <w:rFonts w:ascii="Arial" w:cs="Arial" w:eastAsia="Arial" w:hAnsi="Arial"/>
                <w:sz w:val="14"/>
                <w:szCs w:val="14"/>
                <w:color w:val="auto"/>
                <w:w w:val="92"/>
              </w:rPr>
              <w:t>and Software</w:t>
            </w:r>
          </w:p>
        </w:tc>
        <w:tc>
          <w:tcPr>
            <w:tcW w:w="980" w:type="dxa"/>
            <w:vAlign w:val="bottom"/>
            <w:gridSpan w:val="3"/>
          </w:tcPr>
          <w:p>
            <w:pPr>
              <w:ind w:left="140"/>
              <w:spacing w:after="0"/>
              <w:rPr>
                <w:sz w:val="20"/>
                <w:szCs w:val="20"/>
                <w:color w:val="auto"/>
              </w:rPr>
            </w:pPr>
            <w:r>
              <w:rPr>
                <w:rFonts w:ascii="Arial" w:cs="Arial" w:eastAsia="Arial" w:hAnsi="Arial"/>
                <w:sz w:val="14"/>
                <w:szCs w:val="14"/>
                <w:color w:val="auto"/>
                <w:w w:val="92"/>
              </w:rPr>
              <w:t>Improvements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w w:val="95"/>
              </w:rPr>
              <w:t>Equipment</w:t>
            </w: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3"/>
                <w:szCs w:val="13"/>
                <w:color w:val="auto"/>
              </w:rPr>
              <w:t>Cost</w:t>
            </w:r>
          </w:p>
        </w:tc>
        <w:tc>
          <w:tcPr>
            <w:tcW w:w="10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tcPr>
          <w:p>
            <w:pPr>
              <w:spacing w:after="0" w:line="142" w:lineRule="exact"/>
              <w:rPr>
                <w:sz w:val="20"/>
                <w:szCs w:val="20"/>
                <w:color w:val="auto"/>
              </w:rPr>
            </w:pPr>
            <w:r>
              <w:rPr>
                <w:rFonts w:ascii="Arial" w:cs="Arial" w:eastAsia="Arial" w:hAnsi="Arial"/>
                <w:sz w:val="14"/>
                <w:szCs w:val="14"/>
                <w:color w:val="auto"/>
              </w:rPr>
              <w:t>As at December 31, 2017</w:t>
            </w:r>
          </w:p>
        </w:tc>
        <w:tc>
          <w:tcPr>
            <w:tcW w:w="1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$1,626,989</w:t>
            </w:r>
          </w:p>
        </w:tc>
        <w:tc>
          <w:tcPr>
            <w:tcW w:w="28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6"/>
              </w:rPr>
              <w:t>13,999,703</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505,268</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381,029</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2,350,287</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1,128,835</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$ 12,762,563</w:t>
            </w:r>
          </w:p>
        </w:tc>
        <w:tc>
          <w:tcPr>
            <w:tcW w:w="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$32,754,674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Transfers</w:t>
            </w: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796,512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7,820,415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408,733</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(9,322,936)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Additions</w:t>
            </w: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3,278,221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874,487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1,310,292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8,009,792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3,321,472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13,893,168</w:t>
            </w: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30,747,932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Additions from acquisition</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555,596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3,500,455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1,720,406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6,372,653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Disposals</w:t>
            </w:r>
          </w:p>
        </w:tc>
        <w:tc>
          <w:tcPr>
            <w:tcW w:w="10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(667,837)</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(667,837)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2,243,085</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20,861,988</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2,328,847</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2,093,205</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18,435,893</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6,579,446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$ 16,664,958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69,207,422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4"/>
              </w:rPr>
              <w:t>Computer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Production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Buildings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Furniture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9"/>
              </w:rPr>
              <w:t>Equipment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2"/>
              </w:rPr>
              <w:t>Leasehold</w:t>
            </w:r>
          </w:p>
        </w:tc>
        <w:tc>
          <w:tcPr>
            <w:tcW w:w="16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89"/>
              </w:rPr>
              <w:t>and Processing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Under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Land</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w w:val="92"/>
              </w:rPr>
              <w:t>Improvements</w:t>
            </w:r>
          </w:p>
        </w:tc>
        <w:tc>
          <w:tcPr>
            <w:tcW w:w="16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w w:val="90"/>
              </w:rPr>
              <w:t>and Fixtures</w:t>
            </w: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2"/>
              </w:rPr>
              <w:t>and Software</w:t>
            </w: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auto"/>
                <w:w w:val="92"/>
              </w:rPr>
              <w:t>Improvements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Equipment</w:t>
            </w:r>
          </w:p>
        </w:tc>
        <w:tc>
          <w:tcPr>
            <w:tcW w:w="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Construction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top w:val="single" w:sz="8" w:color="CCEEFF"/>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color w:val="auto"/>
                <w:w w:val="98"/>
              </w:rPr>
              <w:t>Accumulated Depreciation</w:t>
            </w: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9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2"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752,962</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195,832</w:t>
            </w:r>
          </w:p>
        </w:tc>
        <w:tc>
          <w:tcPr>
            <w:tcW w:w="120" w:type="dxa"/>
            <w:vAlign w:val="bottom"/>
          </w:tcPr>
          <w:p>
            <w:pPr>
              <w:spacing w:after="0"/>
              <w:rPr>
                <w:sz w:val="12"/>
                <w:szCs w:val="12"/>
                <w:color w:val="auto"/>
              </w:rPr>
            </w:pPr>
          </w:p>
        </w:tc>
        <w:tc>
          <w:tcPr>
            <w:tcW w:w="16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28,517</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82,809</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136,197</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1,196,317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598,268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220,906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925,189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2,687,025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Disposals</w:t>
            </w:r>
          </w:p>
        </w:tc>
        <w:tc>
          <w:tcPr>
            <w:tcW w:w="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1,351,230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489,956</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249,423</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1,007,998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784,735</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3,883,342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gridSpan w:val="5"/>
            <w:vMerge w:val="restart"/>
          </w:tcPr>
          <w:p>
            <w:pPr>
              <w:spacing w:after="0"/>
              <w:rPr>
                <w:sz w:val="20"/>
                <w:szCs w:val="20"/>
                <w:color w:val="auto"/>
              </w:rPr>
            </w:pPr>
            <w:r>
              <w:rPr>
                <w:rFonts w:ascii="Arial" w:cs="Arial" w:eastAsia="Arial" w:hAnsi="Arial"/>
                <w:sz w:val="14"/>
                <w:szCs w:val="14"/>
                <w:color w:val="auto"/>
              </w:rPr>
              <w:t>Net book value</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gridSpan w:val="5"/>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1,626,989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13,246,741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309,436</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352,512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2,267,478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12,762,563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31,558,357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tcPr>
          <w:p>
            <w:pPr>
              <w:spacing w:after="0"/>
              <w:rPr>
                <w:sz w:val="20"/>
                <w:szCs w:val="20"/>
                <w:color w:val="auto"/>
              </w:rPr>
            </w:pPr>
            <w:r>
              <w:rPr>
                <w:rFonts w:ascii="Arial" w:cs="Arial" w:eastAsia="Arial" w:hAnsi="Arial"/>
                <w:sz w:val="14"/>
                <w:szCs w:val="14"/>
                <w:color w:val="auto"/>
              </w:rPr>
              <w:t>As at December 31, 2018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2,243,085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19,510,758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1,838,891</w:t>
            </w:r>
          </w:p>
        </w:tc>
        <w:tc>
          <w:tcPr>
            <w:tcW w:w="12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1,843,782</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17,427,895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5,794,711</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16,664,958</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65,324,080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Cost</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2" w:lineRule="exact"/>
              <w:rPr>
                <w:sz w:val="20"/>
                <w:szCs w:val="20"/>
                <w:color w:val="auto"/>
              </w:rPr>
            </w:pPr>
            <w:r>
              <w:rPr>
                <w:rFonts w:ascii="Arial" w:cs="Arial" w:eastAsia="Arial" w:hAnsi="Arial"/>
                <w:sz w:val="14"/>
                <w:szCs w:val="14"/>
                <w:color w:val="auto"/>
              </w:rPr>
              <w:t>As at December 31, 2016</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89"/>
              </w:rPr>
              <w:t>1,116,641</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13,814,275</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258,135</w:t>
            </w:r>
          </w:p>
        </w:tc>
        <w:tc>
          <w:tcPr>
            <w:tcW w:w="120" w:type="dxa"/>
            <w:vAlign w:val="bottom"/>
          </w:tcPr>
          <w:p>
            <w:pPr>
              <w:spacing w:after="0"/>
              <w:rPr>
                <w:sz w:val="12"/>
                <w:szCs w:val="12"/>
                <w:color w:val="auto"/>
              </w:rPr>
            </w:pPr>
          </w:p>
        </w:tc>
        <w:tc>
          <w:tcPr>
            <w:tcW w:w="16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15,958</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298,037</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761,717</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561,200</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16,825,963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Transfers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Additions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510,348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185,428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273,362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218,528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1,749,455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380,593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12,213,983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15,531,697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Additions from acquisition</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290,175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Disposals</w:t>
            </w:r>
          </w:p>
        </w:tc>
        <w:tc>
          <w:tcPr>
            <w:tcW w:w="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1,626,989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13,999,703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505,268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381,029</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2,350,287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1,128,835</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12,762,563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32,754,674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gridSpan w:val="5"/>
            <w:vMerge w:val="restart"/>
          </w:tcPr>
          <w:p>
            <w:pPr>
              <w:spacing w:after="0"/>
              <w:rPr>
                <w:sz w:val="20"/>
                <w:szCs w:val="20"/>
                <w:color w:val="auto"/>
              </w:rPr>
            </w:pPr>
            <w:r>
              <w:rPr>
                <w:rFonts w:ascii="Arial" w:cs="Arial" w:eastAsia="Arial" w:hAnsi="Arial"/>
                <w:sz w:val="14"/>
                <w:szCs w:val="14"/>
                <w:color w:val="auto"/>
              </w:rPr>
              <w:t>Accumulated Depreciation</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gridSpan w:val="5"/>
            <w:vMerge w:val="continue"/>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4"/>
              </w:rPr>
              <w:t>As at December 31, 2016</w:t>
            </w:r>
          </w:p>
        </w:tc>
        <w:tc>
          <w:tcPr>
            <w:tcW w:w="9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393,928</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144,738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965</w:t>
            </w:r>
          </w:p>
        </w:tc>
        <w:tc>
          <w:tcPr>
            <w:tcW w:w="24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9,758</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549,389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359,034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51,094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27,552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73,051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136,197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646,928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480" w:type="dxa"/>
            <w:vAlign w:val="bottom"/>
            <w:gridSpan w:val="5"/>
          </w:tcPr>
          <w:p>
            <w:pPr>
              <w:spacing w:after="0" w:line="155" w:lineRule="exact"/>
              <w:rPr>
                <w:sz w:val="20"/>
                <w:szCs w:val="20"/>
                <w:color w:val="auto"/>
              </w:rPr>
            </w:pPr>
            <w:r>
              <w:rPr>
                <w:rFonts w:ascii="Arial" w:cs="Arial" w:eastAsia="Arial" w:hAnsi="Arial"/>
                <w:sz w:val="14"/>
                <w:szCs w:val="14"/>
                <w:color w:val="auto"/>
              </w:rPr>
              <w:t>As at December 31, 2017</w:t>
            </w:r>
          </w:p>
        </w:tc>
        <w:tc>
          <w:tcPr>
            <w:tcW w:w="9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752,962</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195,832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28,517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82,809</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136,197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1,196,317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Net book value</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As at December 31, 2016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1,116,641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13,420,347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113,397</w:t>
            </w:r>
          </w:p>
        </w:tc>
        <w:tc>
          <w:tcPr>
            <w:tcW w:w="120" w:type="dxa"/>
            <w:vAlign w:val="bottom"/>
          </w:tcPr>
          <w:p>
            <w:pPr>
              <w:spacing w:after="0"/>
              <w:rPr>
                <w:sz w:val="12"/>
                <w:szCs w:val="12"/>
                <w:color w:val="auto"/>
              </w:rPr>
            </w:pP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14,993</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288,279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761,717</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561,200</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16,276,574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1,626,989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13,246,741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309,436</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352,512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2,267,478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12,762,563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31,558,357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Depreciation expense for the years ended December 31, 2018 and 2017 totaled $2,687,025 and $646,928, respectively, of which $1,346,632 and $428,724, respectively, is included in cost of goods sold.</w:t>
      </w:r>
    </w:p>
    <w:p>
      <w:pPr>
        <w:spacing w:after="0" w:line="315"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 xml:space="preserve">The Company has determined that the below acquisitions are business combinations under Accounting Standards Codification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They are accounted for by applying the acquisition method,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0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whereby 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83" w:lineRule="exact"/>
        <w:rPr>
          <w:sz w:val="20"/>
          <w:szCs w:val="20"/>
          <w:color w:val="auto"/>
        </w:rPr>
      </w:pPr>
    </w:p>
    <w:p>
      <w:pPr>
        <w:ind w:left="1180" w:hanging="544"/>
        <w:spacing w:after="0"/>
        <w:tabs>
          <w:tab w:leader="none" w:pos="1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Compassionate Organics, LLC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October 31, 2018, the Company acquired all of the assets of Compassionate Organics, LLC in exchange for a total consideration of</w:t>
      </w:r>
    </w:p>
    <w:p>
      <w:pPr>
        <w:spacing w:after="0" w:line="35" w:lineRule="exact"/>
        <w:rPr>
          <w:sz w:val="20"/>
          <w:szCs w:val="20"/>
          <w:color w:val="auto"/>
        </w:rPr>
      </w:pPr>
    </w:p>
    <w:p>
      <w:pPr>
        <w:ind w:left="640" w:right="20"/>
        <w:spacing w:after="0" w:line="261" w:lineRule="auto"/>
        <w:rPr>
          <w:sz w:val="20"/>
          <w:szCs w:val="20"/>
          <w:color w:val="auto"/>
        </w:rPr>
      </w:pPr>
      <w:r>
        <w:rPr>
          <w:rFonts w:ascii="Arial" w:cs="Arial" w:eastAsia="Arial" w:hAnsi="Arial"/>
          <w:sz w:val="18"/>
          <w:szCs w:val="18"/>
          <w:color w:val="auto"/>
        </w:rPr>
        <w:t xml:space="preserve">$10,513,220. The acquisition was accounted for in accordance with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assets consisted primarily of the Commonwealth of Massachusetts issued dispensary license.</w:t>
      </w:r>
    </w:p>
    <w:p>
      <w:pPr>
        <w:spacing w:after="0" w:line="7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color w:val="auto"/>
        </w:rPr>
        <w:t>The consideration paid includes contingent consideration of up to $3,000,000 (which may be settled in either cash or shares at the Company’s discretion) depending upon the achievement of certain milestones in 2019 and 2020, in addition to an amount, estimated at approximately $7,500,000, which is based on a multiple of sales during October 2020 to December 2020.</w:t>
      </w:r>
    </w:p>
    <w:p>
      <w:pPr>
        <w:spacing w:after="0" w:line="73"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color w:val="auto"/>
        </w:rPr>
        <w:t>The liability for contingent consideration was measured at the present value of management’s estimate of future outcomes. In valuing the contingent consideration, GTI utilized a discount rate of 12.0%.</w:t>
      </w:r>
    </w:p>
    <w:p>
      <w:pPr>
        <w:spacing w:after="0" w:line="6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The following table summarizes the consideration for the acquisition:</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10"/>
                <w:szCs w:val="10"/>
                <w:color w:val="auto"/>
              </w:rPr>
            </w:pPr>
          </w:p>
        </w:tc>
        <w:tc>
          <w:tcPr>
            <w:tcW w:w="5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10,513,220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0"/>
        <w:spacing w:after="0" w:line="276" w:lineRule="auto"/>
        <w:rPr>
          <w:sz w:val="20"/>
          <w:szCs w:val="20"/>
          <w:color w:val="auto"/>
        </w:rPr>
      </w:pPr>
      <w:r>
        <w:rPr>
          <w:rFonts w:ascii="Arial" w:cs="Arial" w:eastAsia="Arial" w:hAnsi="Arial"/>
          <w:sz w:val="17"/>
          <w:szCs w:val="17"/>
          <w:color w:val="auto"/>
        </w:rPr>
        <w:t>The purchase price allocation for the acquisition, as set forth in the table below, reflects various fair value estimates and analyses. The primary areas of the purchase price allocation relate to the valuation of licenses and permits acquired and residual goodwill. The Company assigned a value of $7,166,000 to the licenses and permits, with the remaining excess purchase price allocated to goodwill. Goodwill is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accounting estimates of the acquisition with a purchase price of $10,513,220:</w:t>
      </w:r>
    </w:p>
    <w:p>
      <w:pPr>
        <w:spacing w:after="0" w:line="14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Licenses and Permits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7,166,000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(1,500,000)</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4,847,220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$ 10,513,220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also incurred approximately $150,000 of acquisition related costs which were expensed in the current period.</w:t>
      </w:r>
    </w:p>
    <w:p>
      <w:pPr>
        <w:spacing w:after="0" w:line="117"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color w:val="auto"/>
        </w:rPr>
        <w:t>For the year ended December 31, 2018, the acquired business accounted for approximately $75,000 in net loss since October 31, 2018. This amount included no revenues. Also, there were no revenues, and negligible income statement activity, from January 1, 2018 through the acquisition date.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240" w:top="459" w:right="5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KSGNF, LLC</w:t>
      </w:r>
    </w:p>
    <w:p>
      <w:pPr>
        <w:spacing w:after="0" w:line="121" w:lineRule="exact"/>
        <w:rPr>
          <w:sz w:val="20"/>
          <w:szCs w:val="20"/>
          <w:color w:val="auto"/>
        </w:rPr>
      </w:pPr>
    </w:p>
    <w:p>
      <w:pPr>
        <w:ind w:left="640"/>
        <w:spacing w:after="0" w:line="276" w:lineRule="auto"/>
        <w:rPr>
          <w:sz w:val="20"/>
          <w:szCs w:val="20"/>
          <w:color w:val="auto"/>
        </w:rPr>
      </w:pPr>
      <w:r>
        <w:rPr>
          <w:rFonts w:ascii="Arial" w:cs="Arial" w:eastAsia="Arial" w:hAnsi="Arial"/>
          <w:sz w:val="17"/>
          <w:szCs w:val="17"/>
          <w:color w:val="auto"/>
        </w:rPr>
        <w:t xml:space="preserve">On November 7, 2018, the Company acquired all of the assets of KSGNF, LLC (KSGNF) in exchange for a combination of cash and stock. The total consideration included a cash payment of approximately $48.6 million and 32,965 Multiple Voting shares of GTI valued at $49,689,149. Between the time of signing of the agreement and final closing, the value of the shares increased such that the total final consideration was valued at $98,256,607. The acquisition was accounted for in accordance with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assets acquired consisted primarily of a state of Florida vertically integrated medical marijuana license.</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consideration for the acquisition:</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48,567,458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32,965 Multiple Voting shares of the Company</w:t>
            </w: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49,689,149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98,256,607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20"/>
        <w:spacing w:after="0" w:line="279" w:lineRule="auto"/>
        <w:rPr>
          <w:sz w:val="20"/>
          <w:szCs w:val="20"/>
          <w:color w:val="auto"/>
        </w:rPr>
      </w:pPr>
      <w:r>
        <w:rPr>
          <w:rFonts w:ascii="Arial" w:cs="Arial" w:eastAsia="Arial" w:hAnsi="Arial"/>
          <w:sz w:val="17"/>
          <w:szCs w:val="17"/>
          <w:color w:val="auto"/>
        </w:rPr>
        <w:t>The purchase price allocation for the acquisition, as set forth in the table below, reflects various fair value estimates and analyses. The Company assigned a value of $66,485,000 to the licenses and permits, with the remaining excess purchase price allocated to goodwill. Goodwill is assigned or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accounting estimates of the acquisition with a purchase price of $98,256,607:</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Non-biological Inventory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3,629,758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66,485,000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(5,180,000)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(1,876,369)</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64,087,727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34,168,880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98,256,607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also incurred approximately $205,000 of acquisition related costs which were expensed in the current period.</w:t>
      </w:r>
    </w:p>
    <w:p>
      <w:pPr>
        <w:spacing w:after="0" w:line="117" w:lineRule="exact"/>
        <w:rPr>
          <w:sz w:val="20"/>
          <w:szCs w:val="20"/>
          <w:color w:val="auto"/>
        </w:rPr>
      </w:pPr>
    </w:p>
    <w:p>
      <w:pPr>
        <w:ind w:left="640" w:right="80"/>
        <w:spacing w:after="0" w:line="342" w:lineRule="auto"/>
        <w:rPr>
          <w:sz w:val="20"/>
          <w:szCs w:val="20"/>
          <w:color w:val="auto"/>
        </w:rPr>
      </w:pPr>
      <w:r>
        <w:rPr>
          <w:rFonts w:ascii="Arial" w:cs="Arial" w:eastAsia="Arial" w:hAnsi="Arial"/>
          <w:sz w:val="16"/>
          <w:szCs w:val="16"/>
          <w:color w:val="auto"/>
        </w:rPr>
        <w:t>For the year ended December 31, 2018, KSGNF accounted for approximately $180,000 in net loss since November 11, 2018. This amount included no revenues. Also, there were no revenues, and negligible income statement activity, from January 1, 2018 through the acquisition date.</w:t>
      </w:r>
    </w:p>
    <w:p>
      <w:pPr>
        <w:spacing w:after="0" w:line="268" w:lineRule="exact"/>
        <w:rPr>
          <w:sz w:val="20"/>
          <w:szCs w:val="20"/>
          <w:color w:val="auto"/>
        </w:rPr>
      </w:pPr>
    </w:p>
    <w:p>
      <w:pPr>
        <w:ind w:left="1180" w:hanging="544"/>
        <w:spacing w:after="0"/>
        <w:tabs>
          <w:tab w:leader="none" w:pos="11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3C Compassionate Care Center, LLC</w:t>
      </w:r>
    </w:p>
    <w:p>
      <w:pPr>
        <w:spacing w:after="0" w:line="121"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color w:val="auto"/>
        </w:rPr>
        <w:t>On October 2, 2017, the Company acquired all of the assets of 3C Compassionate Care Center, LLC in exchange for a total consideration of $11,668,813. The acquisition was accounted for in accordance with</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24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3C Compassionate Care Center, LLC </w:t>
      </w:r>
      <w:r>
        <w:rPr>
          <w:rFonts w:ascii="Arial" w:cs="Arial" w:eastAsia="Arial" w:hAnsi="Arial"/>
          <w:sz w:val="18"/>
          <w:szCs w:val="18"/>
          <w:color w:val="auto"/>
        </w:rPr>
        <w:t>(continued)</w:t>
      </w:r>
    </w:p>
    <w:p>
      <w:pPr>
        <w:spacing w:after="0" w:line="13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color w:val="auto"/>
        </w:rPr>
        <w:t xml:space="preserve">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assets consisted primarily of the state of Illinois issued dispensary license and customer relationships.</w:t>
      </w:r>
    </w:p>
    <w:p>
      <w:pPr>
        <w:spacing w:after="0" w:line="62"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Goodwill is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consideration for the acquisition:</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10,372,385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Consideration Payable (See Note 9)</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finalized purchase price allocation: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Non-biological Inventory</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ind w:left="1340"/>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11,480,553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ind w:left="1340"/>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color w:val="auto"/>
        </w:rPr>
        <w:t>Acquisition costs, which are expensed as incurred, were not significant and were excluded from the consideration transferred. Goodwill is allocated to the reporting unit or reporting unit’s which are expected to benefit from the synergies of the combination.</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1, 2018, the Company recorded $2,800,000 of deferred tax liabilities as a result of tax consequences of this acquisition.</w:t>
      </w:r>
    </w:p>
    <w:p>
      <w:pPr>
        <w:spacing w:after="0" w:line="117"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For the year ended December 31, 2017, the acquired entity accounted for $368,961 in net income since October 2, 2017. This amount included revenues of $1,887,433. Revenues and net income from January 1, 2017 through the acquisition date were $4,334,408 and $911,399, respectively.</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24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and December 31, 2017, intangible assets consisted of the following:</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Licenses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11"/>
              <w:spacing w:after="0"/>
              <w:rPr>
                <w:sz w:val="20"/>
                <w:szCs w:val="20"/>
                <w:color w:val="auto"/>
              </w:rPr>
            </w:pPr>
            <w:r>
              <w:rPr>
                <w:rFonts w:ascii="Arial" w:cs="Arial" w:eastAsia="Arial" w:hAnsi="Arial"/>
                <w:sz w:val="14"/>
                <w:szCs w:val="14"/>
                <w:color w:val="auto"/>
                <w:w w:val="96"/>
              </w:rPr>
              <w:t>Patient</w:t>
            </w:r>
          </w:p>
        </w:tc>
        <w:tc>
          <w:tcPr>
            <w:tcW w:w="1380" w:type="dxa"/>
            <w:vAlign w:val="bottom"/>
            <w:gridSpan w:val="3"/>
          </w:tcPr>
          <w:p>
            <w:pPr>
              <w:ind w:left="380"/>
              <w:spacing w:after="0"/>
              <w:rPr>
                <w:sz w:val="20"/>
                <w:szCs w:val="20"/>
                <w:color w:val="auto"/>
              </w:rPr>
            </w:pPr>
            <w:r>
              <w:rPr>
                <w:rFonts w:ascii="Arial" w:cs="Arial" w:eastAsia="Arial" w:hAnsi="Arial"/>
                <w:sz w:val="14"/>
                <w:szCs w:val="14"/>
                <w:color w:val="auto"/>
                <w:w w:val="96"/>
              </w:rPr>
              <w:t>Non-competition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w w:val="93"/>
              </w:rPr>
              <w:t>and Permits</w:t>
            </w:r>
          </w:p>
        </w:tc>
        <w:tc>
          <w:tcPr>
            <w:tcW w:w="3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92"/>
              </w:rPr>
              <w:t>Tradename</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Relationships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w w:val="92"/>
              </w:rPr>
              <w:t>Agreements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0"/>
              </w:rPr>
              <w:t>Cost</w:t>
            </w:r>
          </w:p>
        </w:tc>
        <w:tc>
          <w:tcPr>
            <w:tcW w:w="32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As at December 31, 2016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Additions from acquisitions</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9,400,000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360,000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820,000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10,600,480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13,004,575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360,000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14,205,055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76,650,639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76,650,639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gridSpan w:val="5"/>
          </w:tcPr>
          <w:p>
            <w:pPr>
              <w:spacing w:after="0"/>
              <w:rPr>
                <w:sz w:val="20"/>
                <w:szCs w:val="20"/>
                <w:color w:val="auto"/>
              </w:rPr>
            </w:pPr>
            <w:r>
              <w:rPr>
                <w:rFonts w:ascii="Arial" w:cs="Arial" w:eastAsia="Arial" w:hAnsi="Arial"/>
                <w:sz w:val="18"/>
                <w:szCs w:val="18"/>
                <w:color w:val="auto"/>
              </w:rPr>
              <w:t>As at December 31, 2018</w:t>
            </w:r>
          </w:p>
        </w:tc>
        <w:tc>
          <w:tcPr>
            <w:tcW w:w="1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89,705,213</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0"/>
                <w:szCs w:val="20"/>
                <w:color w:val="auto"/>
              </w:rPr>
            </w:pPr>
            <w:r>
              <w:rPr>
                <w:rFonts w:ascii="Arial" w:cs="Arial" w:eastAsia="Arial" w:hAnsi="Arial"/>
                <w:sz w:val="18"/>
                <w:szCs w:val="18"/>
                <w:color w:val="auto"/>
                <w:w w:val="89"/>
              </w:rPr>
              <w:t>360,000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820,000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20,480</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90,905,693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Accumulated Amortization</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4"/>
              </w:rPr>
              <w:t>As at December 31, 2016</w:t>
            </w:r>
          </w:p>
        </w:tc>
        <w:tc>
          <w:tcPr>
            <w:tcW w:w="16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5"/>
          </w:tcPr>
          <w:p>
            <w:pPr>
              <w:spacing w:after="0"/>
              <w:rPr>
                <w:sz w:val="20"/>
                <w:szCs w:val="20"/>
                <w:color w:val="auto"/>
              </w:rPr>
            </w:pPr>
            <w:r>
              <w:rPr>
                <w:rFonts w:ascii="Arial" w:cs="Arial" w:eastAsia="Arial" w:hAnsi="Arial"/>
                <w:sz w:val="18"/>
                <w:szCs w:val="18"/>
                <w:color w:val="auto"/>
              </w:rPr>
              <w:t>As at December 31, 2017</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40,500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2,322,715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164,000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2,496,955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gridSpan w:val="5"/>
          </w:tcPr>
          <w:p>
            <w:pPr>
              <w:spacing w:after="0"/>
              <w:rPr>
                <w:sz w:val="20"/>
                <w:szCs w:val="20"/>
                <w:color w:val="auto"/>
              </w:rPr>
            </w:pPr>
            <w:r>
              <w:rPr>
                <w:rFonts w:ascii="Arial" w:cs="Arial" w:eastAsia="Arial" w:hAnsi="Arial"/>
                <w:sz w:val="18"/>
                <w:szCs w:val="18"/>
                <w:color w:val="auto"/>
              </w:rPr>
              <w:t>As at December 31, 2018</w:t>
            </w:r>
          </w:p>
        </w:tc>
        <w:tc>
          <w:tcPr>
            <w:tcW w:w="1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2,322,715</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204,500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12,800</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2,540,015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Net Carrying Amount</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As at December 31, 2016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13,004,575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360,000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779,500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14,161,995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As at December 31, 2018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87,382,498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r>
              <w:rPr>
                <w:rFonts w:ascii="Arial" w:cs="Arial" w:eastAsia="Arial" w:hAnsi="Arial"/>
                <w:sz w:val="18"/>
                <w:szCs w:val="18"/>
                <w:color w:val="auto"/>
                <w:w w:val="89"/>
              </w:rPr>
              <w:t>360,000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615,500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88,365,678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Intangible assets with finite lives are amortized over their estimated useful lives. The Company recorded amortization expense for the years ended December 31, 2018 and 2017 totaling $2,496,955 and $43,060 respectively. Amortization periods of assets with finite lives are based on management’s estimates at the date of acquisition.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2018:</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6,190,108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6,190,108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6,149,608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57,619,637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88,365,678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As described in Notes 2(l) and 2(m),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 their respective carrying values. The Company’s reporting unit’s to which goodwill has been assigned include Illinois – Retail, Massachusetts – Retail, Florida – Retail and Florida -Wholesale. The net carrying value for goodwill was $39,204,360 and $188,260 as at December 31, 2018 and 2017, respectively.</w:t>
      </w:r>
    </w:p>
    <w:p>
      <w:pPr>
        <w:spacing w:after="0" w:line="193"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To estimate the fair value of each reporting unit, management utilized an income approach. The key assumptions used in the calculation of the fair value of each reporting unit include management’s projections of future cash flows for a five-year period and after projections end, a growth rate of 3.0%, a discount rate of 13.5 % - 14.8% with variability within the range based on the risk associated with the reporting unit. If the growth rate and discount rate were to be increased or decreased by 5%, the recoverable amount of goodwill would still be higher than the carrying amounts.</w:t>
      </w:r>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8380" w:type="dxa"/>
            <w:vAlign w:val="bottom"/>
          </w:tcPr>
          <w:p>
            <w:pPr>
              <w:ind w:left="280"/>
              <w:spacing w:after="0"/>
              <w:rPr>
                <w:sz w:val="20"/>
                <w:szCs w:val="20"/>
                <w:color w:val="auto"/>
              </w:rPr>
            </w:pPr>
            <w:r>
              <w:rPr>
                <w:rFonts w:ascii="Arial" w:cs="Arial" w:eastAsia="Arial" w:hAnsi="Arial"/>
                <w:sz w:val="18"/>
                <w:szCs w:val="18"/>
                <w:b w:val="1"/>
                <w:bCs w:val="1"/>
                <w:color w:val="auto"/>
              </w:rPr>
              <w:t>NOTES PAYABLE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852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540" w:type="dxa"/>
            <w:vAlign w:val="bottom"/>
            <w:gridSpan w:val="3"/>
          </w:tcPr>
          <w:p>
            <w:pPr>
              <w:spacing w:after="0"/>
              <w:rPr>
                <w:sz w:val="20"/>
                <w:szCs w:val="20"/>
                <w:color w:val="auto"/>
              </w:rPr>
            </w:pPr>
            <w:r>
              <w:rPr>
                <w:rFonts w:ascii="Arial" w:cs="Arial" w:eastAsia="Arial" w:hAnsi="Arial"/>
                <w:sz w:val="18"/>
                <w:szCs w:val="18"/>
                <w:color w:val="auto"/>
              </w:rPr>
              <w:t>At December 31, 2018 and 2017, notes payable consisted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Promissory note dated October 2, 2017, in the original amount of $2,500,000 issued to accredited investors, which</w:t>
            </w: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matures October 1, 2022; monthly payments of $55,611 including interest at 12.0% per annum.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$ 2,007,256</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2,438,472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3"/>
              </w:rPr>
              <w:t>Promissory note dated October 2, 2017, in the original amount of $5,000,000 issued to accredited investors, which</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matures October 1, 2022; monthly payments of $112,490 including interest at 12.5% per annum.</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4,084,885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4,876,943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 connection with an acquisition completed in 2017, the Company is required to make quarterly charitable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contributions of $50,000 through October 2024. The net present value of these required payments has been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as a liability with an interest rate of 2.17%.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1,122,316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1,252,634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2"/>
              </w:rPr>
              <w:t>Convertible note dated October 31, 2017, in the original amount of $3,000,000 issued to accredited investors, which</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w w:val="91"/>
              </w:rPr>
              <w:t>matures January 31, 2019, and bears interest at a rate of 8.00% per annum. The note and unpaid accrued interest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were converted on April 1, 2018, to an 11.0% member interest in GTI Pennsylvania, LLC.</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note dated September 22, 2017, in the original amount of $4,500,000 issued to accredited investors,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which matures December 22, 2018, and bears interest at a rate of 8.00% per annum. The note and unpaid accrued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were converted on April 1, 2018, to a 16.5% member interest in GTI Pennsylvania, LLC.</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40" w:type="dxa"/>
            <w:vAlign w:val="bottom"/>
            <w:gridSpan w:val="3"/>
          </w:tcPr>
          <w:p>
            <w:pPr>
              <w:spacing w:after="0"/>
              <w:rPr>
                <w:sz w:val="20"/>
                <w:szCs w:val="20"/>
                <w:color w:val="auto"/>
              </w:rPr>
            </w:pPr>
            <w:r>
              <w:rPr>
                <w:rFonts w:ascii="Arial" w:cs="Arial" w:eastAsia="Arial" w:hAnsi="Arial"/>
                <w:sz w:val="18"/>
                <w:szCs w:val="18"/>
                <w:color w:val="auto"/>
              </w:rPr>
              <w:t>Total Notes Payable</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7,214,457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16,068,049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Notes Payable</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(1,480,660)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(8,861,376)</w:t>
            </w:r>
          </w:p>
        </w:tc>
        <w:tc>
          <w:tcPr>
            <w:tcW w:w="0" w:type="dxa"/>
            <w:vAlign w:val="bottom"/>
          </w:tcPr>
          <w:p>
            <w:pPr>
              <w:spacing w:after="0"/>
              <w:rPr>
                <w:sz w:val="1"/>
                <w:szCs w:val="1"/>
                <w:color w:val="auto"/>
              </w:rPr>
            </w:pPr>
          </w:p>
        </w:tc>
      </w:tr>
      <w:tr>
        <w:trPr>
          <w:trHeight w:val="223"/>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$ 5,733,797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7,206,673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vMerge w:val="restart"/>
          </w:tcPr>
          <w:p>
            <w:pPr>
              <w:ind w:left="5180"/>
              <w:spacing w:after="0"/>
              <w:rPr>
                <w:sz w:val="20"/>
                <w:szCs w:val="20"/>
                <w:color w:val="auto"/>
              </w:rPr>
            </w:pPr>
            <w:r>
              <w:rPr>
                <w:rFonts w:ascii="Arial" w:cs="Arial" w:eastAsia="Arial" w:hAnsi="Arial"/>
                <w:sz w:val="18"/>
                <w:szCs w:val="18"/>
                <w:color w:val="auto"/>
              </w:rPr>
              <w:t>F-26</w:t>
            </w: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7980" w:type="dxa"/>
            <w:vAlign w:val="bottom"/>
            <w:gridSpan w:val="4"/>
          </w:tcPr>
          <w:p>
            <w:pPr>
              <w:ind w:left="160"/>
              <w:spacing w:after="0"/>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8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8260" w:type="dxa"/>
            <w:vAlign w:val="bottom"/>
            <w:gridSpan w:val="5"/>
          </w:tcPr>
          <w:p>
            <w:pPr>
              <w:spacing w:after="0"/>
              <w:rPr>
                <w:sz w:val="20"/>
                <w:szCs w:val="20"/>
                <w:color w:val="auto"/>
              </w:rPr>
            </w:pPr>
            <w:r>
              <w:rPr>
                <w:rFonts w:ascii="Arial" w:cs="Arial" w:eastAsia="Arial" w:hAnsi="Arial"/>
                <w:sz w:val="18"/>
                <w:szCs w:val="18"/>
                <w:color w:val="auto"/>
              </w:rPr>
              <w:t>Stated maturities of debt obligations are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5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9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rPr>
              <w:t>2019</w:t>
            </w:r>
          </w:p>
        </w:tc>
        <w:tc>
          <w:tcPr>
            <w:tcW w:w="4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2"/>
              </w:rPr>
              <w:t>1,480,660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2020</w:t>
            </w:r>
          </w:p>
        </w:tc>
        <w:tc>
          <w:tcPr>
            <w:tcW w:w="4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1,689,509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2021</w:t>
            </w: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1,884,791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2022</w:t>
            </w:r>
          </w:p>
        </w:tc>
        <w:tc>
          <w:tcPr>
            <w:tcW w:w="4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1,769,086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193,092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7,214,457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Convertible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Notes Payable</w:t>
            </w:r>
          </w:p>
        </w:tc>
        <w:tc>
          <w:tcPr>
            <w:tcW w:w="14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Notes Payable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8,796,429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8,248,940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17,045,369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Conversion to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(2,748,940)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(2,748,940)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8,568,049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7,500,000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16,068,049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(1,353,592)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(1,353,592)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Conversion to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(8,613,740)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(8,613,740)</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Balance as at December 31, 2018</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7,214,457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7,214,457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The promissory notes with outstanding balances at December 31, 2018 of $2,007,256 and $4,084,885 are collateralized by substantially all of the assets of GTI Clinic Illinois Holdings LLC and affiliates and certain real estate which totaled $28,287,956 as of December 31, 2018.</w:t>
      </w:r>
    </w:p>
    <w:p>
      <w:pPr>
        <w:spacing w:after="0" w:line="14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Interest expense associated with notes payable and convertible notes payable included in the consolidated and combined statement of operations totaled $802,033 and $222,235 for the years ended December 31, 2018 and 2017, respectively and $151,295 and $210,132 for the years ended December 31, 2018 and 2017, respectively.</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In connection with the notes dated October 2, 2017, the Company is required to comply with certain financial covenants. At December 31, 2018, the Company was in compliance with these covenants.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10.</w:t>
        <w:tab/>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years ended, 2018 and 2017, income taxes expense consisted of:</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80" w:type="dxa"/>
            <w:vAlign w:val="bottom"/>
            <w:gridSpan w:val="2"/>
          </w:tcPr>
          <w:p>
            <w:pPr>
              <w:jc w:val="right"/>
              <w:ind w:right="190"/>
              <w:spacing w:after="0"/>
              <w:rPr>
                <w:sz w:val="20"/>
                <w:szCs w:val="20"/>
                <w:color w:val="auto"/>
              </w:rPr>
            </w:pPr>
            <w:r>
              <w:rPr>
                <w:rFonts w:ascii="Arial" w:cs="Arial" w:eastAsia="Arial" w:hAnsi="Arial"/>
                <w:sz w:val="14"/>
                <w:szCs w:val="14"/>
                <w:color w:val="auto"/>
              </w:rPr>
              <w:t>2018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$ 2,842,696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214,000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 Current</w:t>
            </w:r>
          </w:p>
        </w:tc>
        <w:tc>
          <w:tcPr>
            <w:tcW w:w="2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3,122,595</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214,000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$ 3,330,000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4,061,000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$ 7,183,595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214,000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reconciliation between the effective tax rate on income (loss) before income taxes and the statutory rate is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29,751,374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(4,150,756)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Statutory tax rate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Expense (recovery) based on statutory rates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6,247,788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(1,411,257)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Pass-through’s and noncontrolling interests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(1,062,111)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State-taxes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Adjustment between provision and tax return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2,263,978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1,842,735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differences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(39,465)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7,183,595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taxes paid for the year ended December 31, 2018 were $2,879,000.</w:t>
      </w:r>
    </w:p>
    <w:p>
      <w:pPr>
        <w:spacing w:after="0" w:line="22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we have no Canadian tax liability and accordingly filed a nil return with Canadian tax authorities.</w:t>
      </w:r>
    </w:p>
    <w:p>
      <w:pPr>
        <w:spacing w:after="0" w:line="18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On January 1, 2018, the Company, through a tax-free transfer under IRC Section 351, transferred ownership in GTI- Clinic Illinois Holdings, LLC (taxed as a partnership) to GTI Core, LLC (taxed as a “C” corporation). As a result of the transaction, the Company now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under which deferred tax assets and liabilities are recognized based upon anticipated future tax consequences attributable to differences between financial statement carrying values of assets and liabilities and the respective tax bases.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and 2017, the components of deferred tax assets and liabilities were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1,046,000</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Total Deferred Tax Assets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Fair Value Investments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(5,911,000)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(9,480,000)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Total Deferred TaxLiabilities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(15,391,000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(13,541,000)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60"/>
        <w:spacing w:after="0" w:line="279" w:lineRule="auto"/>
        <w:rPr>
          <w:sz w:val="20"/>
          <w:szCs w:val="20"/>
          <w:color w:val="auto"/>
        </w:rPr>
      </w:pPr>
      <w:r>
        <w:rPr>
          <w:rFonts w:ascii="Arial" w:cs="Arial" w:eastAsia="Arial" w:hAnsi="Arial"/>
          <w:sz w:val="17"/>
          <w:szCs w:val="17"/>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 The Company has not identified any uncertain tax positions as of December 31, 2018.</w:t>
      </w:r>
    </w:p>
    <w:p>
      <w:pPr>
        <w:spacing w:after="0" w:line="316"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2" w:lineRule="exact"/>
        <w:rPr>
          <w:rFonts w:ascii="Arial" w:cs="Arial" w:eastAsia="Arial" w:hAnsi="Arial"/>
          <w:sz w:val="18"/>
          <w:szCs w:val="18"/>
          <w:b w:val="1"/>
          <w:bCs w:val="1"/>
          <w:color w:val="auto"/>
        </w:rPr>
      </w:pPr>
    </w:p>
    <w:p>
      <w:pPr>
        <w:ind w:left="6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January 17, 2018, GTI entered into a Debenture Purchase Agreement with iAnthus Capital Holdings, Inc. whereby GTI loaned $20 million to iAnthus for the purchase of a Florida medical cannabis business. As part of the Debenture Purchase Agreement, GTI received (i) an Unsecured Debenture with a principal amount of $20 million accruing interest at the rate of 15% per annum, and (ii) a Warrant Certificate providing GTI with 10,040,000 iAnthus warrants at a price of $1.9928 per common share. The Unsecured Debenture had a maturity of 12 months but had certain early repayment provisions in the event of subsequent capital offerings made by iAnthus. On May 16, 2018 iAnthus completed a capital raise and subsequently repaid the outstanding principal of $20,000,000 and accrued interest of $978,082 on the Unsecured Debenture.</w:t>
      </w:r>
    </w:p>
    <w:p>
      <w:pPr>
        <w:spacing w:after="0" w:line="56" w:lineRule="exact"/>
        <w:rPr>
          <w:rFonts w:ascii="Arial" w:cs="Arial" w:eastAsia="Arial" w:hAnsi="Arial"/>
          <w:sz w:val="18"/>
          <w:szCs w:val="18"/>
          <w:b w:val="1"/>
          <w:bCs w:val="1"/>
          <w:color w:val="auto"/>
        </w:rPr>
      </w:pPr>
    </w:p>
    <w:p>
      <w:pPr>
        <w:ind w:left="6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During 2018, the Company measured the outstanding Warrants using the Black-Scholes valuation model with a volatility of 71.5%, dividend yield 0% and risk-free rate of 1.93. During October 2018, the Warrants were distributed to the investors of the subsidiary holding the Warrants. During October 2018, the warrants attributable to the noncontrolling members, or 70% of the warrants, were distributed to those members. The 30% of the warrants attributable to the Company were exchanged for the variable note receivable which value was determined directly by the value of the warrants and resulted in no gain or loss upon exchange. See Note 5 for additional details.</w:t>
      </w:r>
    </w:p>
    <w:p>
      <w:pPr>
        <w:spacing w:after="0" w:line="64" w:lineRule="exact"/>
        <w:rPr>
          <w:rFonts w:ascii="Arial" w:cs="Arial" w:eastAsia="Arial" w:hAnsi="Arial"/>
          <w:sz w:val="18"/>
          <w:szCs w:val="18"/>
          <w:b w:val="1"/>
          <w:bCs w:val="1"/>
          <w:color w:val="auto"/>
        </w:rPr>
      </w:pPr>
    </w:p>
    <w:p>
      <w:pPr>
        <w:ind w:left="64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participated in various fundraises of other cannabis companies throughout the year. The investments include convertible notes with terms to maturity ranging from 1 to 2 years that carry simple interest ranging from 2.55% to 6.00% per annum and convert into common shares at pre-defined numbers of units. Management estimated that market interest rates on similar borrowings without the conversion feature was approximately 15% and has used an implied volatility of 100% in measuring the fair value. The fair value of these investments is $30,336,000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-2417445</wp:posOffset>
            </wp:positionV>
            <wp:extent cx="6997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also made direct equity investments during the year. Management estimated that market yields were approximately 15% and used an implied volatility of 100% in measuring the fair value. The fair value of these investments is $9,630,742 at December 31, 2018. See Note 19 Financial Instrument and Financial Risk Management for additional details. An increase in the market yield assumption of 5% would result in an increase in the fair value estimate of approximately $334,000, and a decrease in the assumption of 5% would result in a decrease in the fair value estimate of approximately $337,000.</w:t>
      </w:r>
    </w:p>
    <w:p>
      <w:pPr>
        <w:spacing w:after="0" w:line="80"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to the investments discussed above the Company also holds an equity interest in a publicly traded company (which is considered a Level 1 investment – see Note 19 Financial Instruments and Financial Risk Management) in the amount of $966,541.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-1560195</wp:posOffset>
            </wp:positionV>
            <wp:extent cx="6997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w w:val="98"/>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Warrants</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Notes Receivable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22,153,692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16,750,000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44,703,692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15,612,026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13,586,000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4,797,283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33,995,309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Exchange for note receivable (see Note 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(11,630,867)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(11,630,867)</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(26,134,851)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(26,134,851)</w:t>
            </w: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2018</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30,336,000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10,597,283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40,933,283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The calculated fair value is recorded as a Level 3 fair value investment as of December 31, 2018 (see Note 19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Rf Rate</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- 2.63%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Equity Volatility</w:t>
            </w:r>
          </w:p>
        </w:tc>
        <w:tc>
          <w:tcPr>
            <w:tcW w:w="3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3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- 80%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3080" w:type="dxa"/>
            <w:vAlign w:val="bottom"/>
          </w:tcPr>
          <w:p>
            <w:pPr>
              <w:jc w:val="right"/>
              <w:spacing w:after="0"/>
              <w:rPr>
                <w:sz w:val="20"/>
                <w:szCs w:val="20"/>
                <w:color w:val="auto"/>
              </w:rPr>
            </w:pPr>
            <w:r>
              <w:rPr>
                <w:rFonts w:ascii="Arial" w:cs="Arial" w:eastAsia="Arial" w:hAnsi="Arial"/>
                <w:sz w:val="18"/>
                <w:szCs w:val="18"/>
                <w:color w:val="auto"/>
              </w:rPr>
              <w:t>20% - 50%</w:t>
            </w:r>
          </w:p>
        </w:tc>
      </w:tr>
    </w:tbl>
    <w:p>
      <w:pPr>
        <w:spacing w:after="0" w:line="332"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w:t>
      </w:r>
    </w:p>
    <w:p>
      <w:pPr>
        <w:spacing w:after="0" w:line="20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Company’s investments in associates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-198755</wp:posOffset>
            </wp:positionV>
            <wp:extent cx="6997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56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Jurisdiction</w:t>
            </w: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48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48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Colorado</w:t>
            </w:r>
          </w:p>
        </w:tc>
        <w:tc>
          <w:tcPr>
            <w:tcW w:w="60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The total consideration of $5,850,000 included $4,387,500 of cash and $1,462,500 in Subordinate Voting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ASSOCIATE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Presented below is the summarized unaudited balance sheet of MC Brands, LLC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-233045</wp:posOffset>
            </wp:positionV>
            <wp:extent cx="6997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9,313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current assets</w:t>
            </w:r>
          </w:p>
        </w:tc>
        <w:tc>
          <w:tcPr>
            <w:tcW w:w="2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515,282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235,236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370,078</w:t>
            </w:r>
          </w:p>
        </w:tc>
        <w:tc>
          <w:tcPr>
            <w:tcW w:w="60" w:type="dxa"/>
            <w:vAlign w:val="bottom"/>
          </w:tcPr>
          <w:p>
            <w:pPr>
              <w:spacing w:after="0"/>
              <w:rPr>
                <w:sz w:val="20"/>
                <w:szCs w:val="20"/>
                <w:color w:val="auto"/>
              </w:rPr>
            </w:pPr>
          </w:p>
        </w:tc>
      </w:tr>
    </w:tbl>
    <w:p>
      <w:pPr>
        <w:spacing w:after="0" w:line="79"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The investee had nominal profit and loss activity from the date of the Company’s investment through December 31, 2018, and thus the Company has not recorded an adjustment to the carrying balance of the investment in associate.</w:t>
      </w:r>
    </w:p>
    <w:p>
      <w:pPr>
        <w:spacing w:after="0" w:line="315"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0" w:lineRule="exact"/>
        <w:rPr>
          <w:rFonts w:ascii="Arial" w:cs="Arial" w:eastAsia="Arial" w:hAnsi="Arial"/>
          <w:sz w:val="18"/>
          <w:szCs w:val="18"/>
          <w:b w:val="1"/>
          <w:bCs w:val="1"/>
          <w:color w:val="auto"/>
        </w:rPr>
      </w:pPr>
    </w:p>
    <w:p>
      <w:pPr>
        <w:ind w:left="1620" w:hanging="430"/>
        <w:spacing w:after="0"/>
        <w:tabs>
          <w:tab w:leader="none" w:pos="1620" w:val="left"/>
        </w:tabs>
        <w:numPr>
          <w:ilvl w:val="2"/>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6997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ind w:left="1200" w:right="80"/>
        <w:spacing w:after="0" w:line="312"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no-par value Subordinate Voting shares.</w:t>
      </w:r>
    </w:p>
    <w:p>
      <w:pPr>
        <w:spacing w:after="0" w:line="291" w:lineRule="exact"/>
        <w:rPr>
          <w:sz w:val="20"/>
          <w:szCs w:val="20"/>
          <w:color w:val="auto"/>
        </w:rPr>
      </w:pPr>
    </w:p>
    <w:p>
      <w:pPr>
        <w:ind w:left="1620" w:hanging="430"/>
        <w:spacing w:after="0"/>
        <w:tabs>
          <w:tab w:leader="none" w:pos="16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Multiple Voting share is exchangeable for 100 Subordinate Voting shares. The Company has 677,230 issued and outstanding multiple voting shares, which convert into 67,723,000 subordinate voting shares. The Company is authorized to issue an unlimited number of Multiple Voting shares.</w:t>
      </w:r>
    </w:p>
    <w:p>
      <w:pPr>
        <w:spacing w:after="0" w:line="326"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Super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Super Voting share is exchangeable for 100 Subordinate Voting shares. The Company has 424,513 issued and outstanding Super Voting shares which converts into 42,451,300 subordinate voting shares. The Company is authorized to issue an unlimited number of super voting shares.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-438785</wp:posOffset>
            </wp:positionV>
            <wp:extent cx="6997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2"/>
              </w:rPr>
              <w:t>Outstanding</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7"/>
              </w:rPr>
              <w:t>Vested</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w w:val="92"/>
              </w:rPr>
              <w:t>Subordinate</w:t>
            </w:r>
          </w:p>
        </w:tc>
        <w:tc>
          <w:tcPr>
            <w:tcW w:w="160" w:type="dxa"/>
            <w:vAlign w:val="bottom"/>
          </w:tcPr>
          <w:p>
            <w:pPr>
              <w:spacing w:after="0"/>
              <w:rPr>
                <w:sz w:val="10"/>
                <w:szCs w:val="10"/>
                <w:color w:val="auto"/>
              </w:rPr>
            </w:pPr>
          </w:p>
        </w:tc>
        <w:tc>
          <w:tcPr>
            <w:tcW w:w="70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rPr>
              <w:t>Multiple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0"/>
              </w:rPr>
              <w:t>Super</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5"/>
              </w:rPr>
              <w:t>Restricted</w:t>
            </w:r>
          </w:p>
        </w:tc>
        <w:tc>
          <w:tcPr>
            <w:tcW w:w="20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4"/>
                <w:szCs w:val="14"/>
                <w:color w:val="auto"/>
                <w:w w:val="92"/>
              </w:rPr>
              <w:t>Subordinate</w:t>
            </w:r>
          </w:p>
        </w:tc>
        <w:tc>
          <w:tcPr>
            <w:tcW w:w="160" w:type="dxa"/>
            <w:vAlign w:val="bottom"/>
          </w:tcPr>
          <w:p>
            <w:pPr>
              <w:spacing w:after="0"/>
              <w:rPr>
                <w:sz w:val="10"/>
                <w:szCs w:val="10"/>
                <w:color w:val="auto"/>
              </w:rPr>
            </w:pPr>
          </w:p>
        </w:tc>
        <w:tc>
          <w:tcPr>
            <w:tcW w:w="82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Multiple</w:t>
            </w:r>
          </w:p>
        </w:tc>
        <w:tc>
          <w:tcPr>
            <w:tcW w:w="76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0"/>
              </w:rPr>
              <w:t>Super</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1"/>
              </w:rPr>
              <w:t>Restricted</w:t>
            </w:r>
          </w:p>
        </w:tc>
        <w:tc>
          <w:tcPr>
            <w:tcW w:w="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Voting</w:t>
            </w:r>
          </w:p>
        </w:tc>
        <w:tc>
          <w:tcPr>
            <w:tcW w:w="1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Voting</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Voting</w:t>
            </w: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Stock</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Stock</w:t>
            </w: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Voting</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Voting</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Voting</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Stock</w:t>
            </w: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Shares</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rPr>
              <w:t>Units</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Shares</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Options</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Units</w:t>
            </w: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As at December 31, 2017</w:t>
            </w:r>
          </w:p>
        </w:tc>
        <w:tc>
          <w:tcPr>
            <w:tcW w:w="7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644,083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431,198</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644,083</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431,198</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Private placement in connection with RTO</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10,744,995</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285,200</w:t>
            </w:r>
          </w:p>
        </w:tc>
        <w:tc>
          <w:tcPr>
            <w:tcW w:w="2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10,744,995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4,550</w:t>
            </w:r>
          </w:p>
        </w:tc>
        <w:tc>
          <w:tcPr>
            <w:tcW w:w="2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285,200</w:t>
            </w:r>
          </w:p>
        </w:tc>
        <w:tc>
          <w:tcPr>
            <w:tcW w:w="20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Bayswater shares upon RTO</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500,439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500,439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Conversion of exchangeable note in</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connection with RTO</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122,442</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2,211</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122,442</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2,211</w:t>
            </w:r>
          </w:p>
        </w:tc>
        <w:tc>
          <w:tcPr>
            <w:tcW w:w="2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Fundraise transaction, August 2018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Fundraise transaction, October 2018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5,083,000</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5,083,000</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Investment in MC Brands, LLC (see</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 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87,742</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87,742</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Purchase of KSGNF, LLC (see Note 8)</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32,965</w:t>
            </w:r>
          </w:p>
        </w:tc>
        <w:tc>
          <w:tcPr>
            <w:tcW w:w="2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ownership of non-controlling</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interests</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59,900</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Issuance of shares for redemption of</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740" w:type="dxa"/>
            <w:vAlign w:val="bottom"/>
          </w:tcPr>
          <w:p>
            <w:pPr>
              <w:jc w:val="right"/>
              <w:spacing w:after="0"/>
              <w:rPr>
                <w:sz w:val="20"/>
                <w:szCs w:val="20"/>
                <w:color w:val="auto"/>
              </w:rPr>
            </w:pPr>
            <w:r>
              <w:rPr>
                <w:rFonts w:ascii="Arial" w:cs="Arial" w:eastAsia="Arial" w:hAnsi="Arial"/>
                <w:sz w:val="14"/>
                <w:szCs w:val="14"/>
                <w:color w:val="auto"/>
              </w:rPr>
              <w:t>489,347</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489,347</w:t>
            </w:r>
          </w:p>
        </w:tc>
        <w:tc>
          <w:tcPr>
            <w:tcW w:w="16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options and RSU’s issued to</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employees and consultants</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1,548,000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1,604,000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Stock options and RSU’s forfeited</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(15,000)</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154,008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(154,008)</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154,008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(154,008)</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Exchange of shares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19,560,600</w:t>
            </w:r>
          </w:p>
        </w:tc>
        <w:tc>
          <w:tcPr>
            <w:tcW w:w="1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(186,710)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(8,896)</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19,560,600</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(186,710)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(8,896)</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43,920,131</w:t>
            </w:r>
          </w:p>
        </w:tc>
        <w:tc>
          <w:tcPr>
            <w:tcW w:w="16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677,230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424,513</w:t>
            </w:r>
          </w:p>
        </w:tc>
        <w:tc>
          <w:tcPr>
            <w:tcW w:w="200" w:type="dxa"/>
            <w:vAlign w:val="bottom"/>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1,677,192</w:t>
            </w: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1,589,000</w:t>
            </w: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43,920,131</w:t>
            </w:r>
          </w:p>
        </w:tc>
        <w:tc>
          <w:tcPr>
            <w:tcW w:w="160" w:type="dxa"/>
            <w:vAlign w:val="bottom"/>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677,230</w:t>
            </w: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424,513</w:t>
            </w:r>
          </w:p>
        </w:tc>
        <w:tc>
          <w:tcPr>
            <w:tcW w:w="20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131,192</w:t>
            </w: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180" w:hanging="544"/>
        <w:spacing w:after="0"/>
        <w:tabs>
          <w:tab w:leader="none" w:pos="11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640" w:right="20"/>
        <w:spacing w:after="0" w:line="270" w:lineRule="auto"/>
        <w:rPr>
          <w:sz w:val="20"/>
          <w:szCs w:val="20"/>
          <w:color w:val="auto"/>
        </w:rPr>
      </w:pPr>
      <w:r>
        <w:rPr>
          <w:rFonts w:ascii="Arial" w:cs="Arial" w:eastAsia="Arial" w:hAnsi="Arial"/>
          <w:sz w:val="17"/>
          <w:szCs w:val="17"/>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The Black Scholes options pricing model assumptions used in calculating the fair value include a risk-free rate of 2.04%, volatility of 100%, an expected term of 60 days, and a share price of $6.00. The fair value adjustment related to the conversion feature was $1,981,358 and is included in other income on the consolidated statement of operations. An increase in the share price and volatility assumptions of 5% would result in an increase in the fair value estimate of approximately $3,700,000, and a decrease in the share price and volatility assumptions of 5% would result in a decrease in the fair value estimate of approximately $3,694,000. Upon the RTO transaction, the convertible notes payable were converted into 122,442 Multiple Voting shares and 2,211 Super Voting shares, carrying a total value of $44,140,526.</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of Shares in Connection with Reverse Takeover </w:t>
      </w:r>
      <w:r>
        <w:rPr>
          <w:rFonts w:ascii="Arial" w:cs="Arial" w:eastAsia="Arial" w:hAnsi="Arial"/>
          <w:sz w:val="18"/>
          <w:szCs w:val="18"/>
          <w:color w:val="auto"/>
        </w:rPr>
        <w:t>(continued)</w:t>
      </w:r>
    </w:p>
    <w:p>
      <w:pPr>
        <w:spacing w:after="0" w:line="135" w:lineRule="exact"/>
        <w:rPr>
          <w:sz w:val="20"/>
          <w:szCs w:val="20"/>
          <w:color w:val="auto"/>
        </w:rPr>
      </w:pPr>
    </w:p>
    <w:p>
      <w:pPr>
        <w:ind w:left="640" w:right="20"/>
        <w:spacing w:after="0" w:line="269" w:lineRule="auto"/>
        <w:rPr>
          <w:sz w:val="20"/>
          <w:szCs w:val="20"/>
          <w:color w:val="auto"/>
        </w:rPr>
      </w:pPr>
      <w:r>
        <w:rPr>
          <w:rFonts w:ascii="Arial" w:cs="Arial" w:eastAsia="Arial" w:hAnsi="Arial"/>
          <w:sz w:val="17"/>
          <w:szCs w:val="17"/>
          <w:color w:val="auto"/>
        </w:rPr>
        <w:t>On April 25, 2018, Subscription Receipts were sold at a price of CAD $7.75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CAD $7.75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5" w:lineRule="exact"/>
        <w:rPr>
          <w:sz w:val="20"/>
          <w:szCs w:val="20"/>
          <w:color w:val="auto"/>
        </w:rPr>
      </w:pPr>
    </w:p>
    <w:p>
      <w:pPr>
        <w:ind w:left="640" w:right="40"/>
        <w:spacing w:after="0" w:line="257"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 500,439 Subordinate Voting shares of the Company. The value assigned to these shares was $3,002,634, 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333" w:lineRule="exact"/>
        <w:rPr>
          <w:sz w:val="20"/>
          <w:szCs w:val="20"/>
          <w:color w:val="auto"/>
        </w:rPr>
      </w:pPr>
    </w:p>
    <w:p>
      <w:pPr>
        <w:ind w:left="1180" w:hanging="544"/>
        <w:spacing w:after="0"/>
        <w:tabs>
          <w:tab w:leader="none" w:pos="11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640" w:right="16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CAD $11.00 per share, for gross proceeds of $61,726,497. Financing costs related to the First Offering totaled $3,133,722.</w:t>
      </w:r>
    </w:p>
    <w:p>
      <w:pPr>
        <w:spacing w:after="0" w:line="16"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CAD $20.00 per share, for gross proceeds of $78,562,596. Financing costs related to the Second Offering totaled $3,479,116.</w:t>
      </w:r>
    </w:p>
    <w:p>
      <w:pPr>
        <w:spacing w:after="0" w:line="268" w:lineRule="exact"/>
        <w:rPr>
          <w:sz w:val="20"/>
          <w:szCs w:val="20"/>
          <w:color w:val="auto"/>
        </w:rPr>
      </w:pPr>
    </w:p>
    <w:p>
      <w:pPr>
        <w:ind w:left="1180" w:hanging="544"/>
        <w:spacing w:after="0"/>
        <w:tabs>
          <w:tab w:leader="none" w:pos="11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21" w:lineRule="exact"/>
        <w:rPr>
          <w:sz w:val="20"/>
          <w:szCs w:val="20"/>
          <w:color w:val="auto"/>
        </w:rPr>
      </w:pPr>
    </w:p>
    <w:p>
      <w:pPr>
        <w:ind w:left="640" w:right="100"/>
        <w:spacing w:after="0" w:line="302"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 equivalent. This resulted in an increase to share capital of $35,940,000, and a decrease of $33,662,548, which has been presented as a reduction to accumulated deficit, after the reclassification of the noncontrolling interest carrying balance upon the issuance date.</w:t>
      </w:r>
    </w:p>
    <w:p>
      <w:pPr>
        <w:spacing w:after="0" w:line="46"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In December 2018, the Company issued the reciprocal put and call options discussed in Note 15 to the noncontrolling interest holders of GTI Pennsylvania, LLC. As discussed in Note 21, the noncontrolling interests were acquired by the Company subsequent to year-end, in January 2019. As it was determined that the Company had effective control over GTI Pennsylvania, LLC as of the put and call option date, an increase to shares to be issued was reflected in the statement of equity of $27,773,234, representing the fair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135" w:lineRule="exact"/>
        <w:rPr>
          <w:sz w:val="20"/>
          <w:szCs w:val="20"/>
          <w:color w:val="auto"/>
        </w:rPr>
      </w:pPr>
    </w:p>
    <w:p>
      <w:pPr>
        <w:ind w:left="640" w:right="60"/>
        <w:spacing w:after="0" w:line="342" w:lineRule="auto"/>
        <w:rPr>
          <w:sz w:val="20"/>
          <w:szCs w:val="20"/>
          <w:color w:val="auto"/>
        </w:rPr>
      </w:pPr>
      <w:r>
        <w:rPr>
          <w:rFonts w:ascii="Arial" w:cs="Arial" w:eastAsia="Arial" w:hAnsi="Arial"/>
          <w:sz w:val="16"/>
          <w:szCs w:val="16"/>
          <w:color w:val="auto"/>
        </w:rPr>
        <w:t>value of the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16" w:lineRule="exact"/>
        <w:rPr>
          <w:sz w:val="20"/>
          <w:szCs w:val="20"/>
          <w:color w:val="auto"/>
        </w:rPr>
      </w:pPr>
    </w:p>
    <w:p>
      <w:pPr>
        <w:ind w:left="640" w:right="140"/>
        <w:spacing w:after="0" w:line="257" w:lineRule="auto"/>
        <w:rPr>
          <w:sz w:val="20"/>
          <w:szCs w:val="20"/>
          <w:color w:val="auto"/>
        </w:rPr>
      </w:pPr>
      <w:r>
        <w:rPr>
          <w:rFonts w:ascii="Arial" w:cs="Arial" w:eastAsia="Arial" w:hAnsi="Arial"/>
          <w:sz w:val="18"/>
          <w:szCs w:val="18"/>
          <w:color w:val="auto"/>
        </w:rPr>
        <w:t>In December 2018, the Company acquired the noncontrolling interests of GTI Nevada, LLC, in exchange for shares of the Company. The shares are to be issued in six tranches, the first of which was delivered in December 2018. The removal of the noncontrolling interests carrying balance, as well as the recording of the liability to issue the shares, was resulted in a decrease of $25,917,883, which has been presented as a reduction to accumulated deficit. The balance of the remaining liability at December 31, 2018 is $25,420,009 and is recorded in liability for acquisition of noncontrolling interest on the consolidated balance sheet.</w:t>
      </w:r>
    </w:p>
    <w:p>
      <w:pPr>
        <w:spacing w:after="0" w:line="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The total effect of the above three transactions was a reduction of $90,244,101, which has been presented as a reduction to accumulated deficit on the consolidated statement of changes in shareholders’ equity.</w:t>
      </w:r>
    </w:p>
    <w:p>
      <w:pPr>
        <w:spacing w:after="0" w:line="315" w:lineRule="exact"/>
        <w:rPr>
          <w:sz w:val="20"/>
          <w:szCs w:val="20"/>
          <w:color w:val="auto"/>
        </w:rPr>
      </w:pPr>
    </w:p>
    <w:p>
      <w:pPr>
        <w:ind w:left="1180" w:hanging="544"/>
        <w:spacing w:after="0"/>
        <w:tabs>
          <w:tab w:leader="none" w:pos="11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640" w:right="6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The continuity of stock options is as follows: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600" w:type="dxa"/>
            <w:vAlign w:val="bottom"/>
          </w:tcPr>
          <w:p>
            <w:pPr>
              <w:spacing w:after="0"/>
              <w:rPr>
                <w:sz w:val="12"/>
                <w:szCs w:val="12"/>
                <w:color w:val="auto"/>
              </w:rPr>
            </w:pPr>
          </w:p>
        </w:tc>
        <w:tc>
          <w:tcPr>
            <w:tcW w:w="940" w:type="dxa"/>
            <w:vAlign w:val="bottom"/>
          </w:tcPr>
          <w:p>
            <w:pPr>
              <w:jc w:val="right"/>
              <w:ind w:right="119"/>
              <w:spacing w:after="0" w:line="149" w:lineRule="exact"/>
              <w:rPr>
                <w:sz w:val="20"/>
                <w:szCs w:val="20"/>
                <w:color w:val="auto"/>
              </w:rPr>
            </w:pPr>
            <w:r>
              <w:rPr>
                <w:rFonts w:ascii="Arial" w:cs="Arial" w:eastAsia="Arial" w:hAnsi="Arial"/>
                <w:sz w:val="14"/>
                <w:szCs w:val="14"/>
                <w:color w:val="auto"/>
              </w:rPr>
              <w:t>Weighted</w:t>
            </w:r>
          </w:p>
        </w:tc>
        <w:tc>
          <w:tcPr>
            <w:tcW w:w="1260" w:type="dxa"/>
            <w:vAlign w:val="bottom"/>
            <w:gridSpan w:val="3"/>
          </w:tcPr>
          <w:p>
            <w:pPr>
              <w:jc w:val="center"/>
              <w:ind w:left="456"/>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Number of</w:t>
            </w:r>
          </w:p>
        </w:tc>
        <w:tc>
          <w:tcPr>
            <w:tcW w:w="1140" w:type="dxa"/>
            <w:vAlign w:val="bottom"/>
            <w:gridSpan w:val="2"/>
          </w:tcPr>
          <w:p>
            <w:pPr>
              <w:jc w:val="center"/>
              <w:ind w:left="193"/>
              <w:spacing w:after="0" w:line="149" w:lineRule="exact"/>
              <w:rPr>
                <w:sz w:val="20"/>
                <w:szCs w:val="20"/>
                <w:color w:val="auto"/>
              </w:rPr>
            </w:pPr>
            <w:r>
              <w:rPr>
                <w:rFonts w:ascii="Arial" w:cs="Arial" w:eastAsia="Arial" w:hAnsi="Arial"/>
                <w:sz w:val="14"/>
                <w:szCs w:val="14"/>
                <w:color w:val="auto"/>
                <w:w w:val="91"/>
              </w:rPr>
              <w:t>Exercise Price</w:t>
            </w:r>
          </w:p>
        </w:tc>
        <w:tc>
          <w:tcPr>
            <w:tcW w:w="600" w:type="dxa"/>
            <w:vAlign w:val="bottom"/>
          </w:tcPr>
          <w:p>
            <w:pPr>
              <w:spacing w:after="0"/>
              <w:rPr>
                <w:sz w:val="12"/>
                <w:szCs w:val="12"/>
                <w:color w:val="auto"/>
              </w:rPr>
            </w:pPr>
          </w:p>
        </w:tc>
        <w:tc>
          <w:tcPr>
            <w:tcW w:w="94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Average</w:t>
            </w:r>
          </w:p>
        </w:tc>
        <w:tc>
          <w:tcPr>
            <w:tcW w:w="6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(CAD)</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Contractual Life</w:t>
            </w:r>
          </w:p>
        </w:tc>
        <w:tc>
          <w:tcPr>
            <w:tcW w:w="60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n/a</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1,833,200</w:t>
            </w: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14.80</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20" w:type="dxa"/>
            <w:vAlign w:val="bottom"/>
            <w:gridSpan w:val="2"/>
            <w:shd w:val="clear" w:color="auto" w:fill="CCEEFF"/>
          </w:tcPr>
          <w:p>
            <w:pPr>
              <w:jc w:val="center"/>
              <w:ind w:left="496"/>
              <w:spacing w:after="0"/>
              <w:rPr>
                <w:sz w:val="20"/>
                <w:szCs w:val="20"/>
                <w:color w:val="auto"/>
              </w:rPr>
            </w:pPr>
            <w:r>
              <w:rPr>
                <w:rFonts w:ascii="Arial" w:cs="Arial" w:eastAsia="Arial" w:hAnsi="Arial"/>
                <w:sz w:val="18"/>
                <w:szCs w:val="18"/>
                <w:color w:val="auto"/>
                <w:w w:val="85"/>
              </w:rPr>
              <w:t>$ 27,698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(179,192)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6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20" w:type="dxa"/>
            <w:vAlign w:val="bottom"/>
            <w:gridSpan w:val="2"/>
            <w:shd w:val="clear" w:color="auto" w:fill="CCEEFF"/>
          </w:tcPr>
          <w:p>
            <w:pPr>
              <w:jc w:val="center"/>
              <w:ind w:left="496"/>
              <w:spacing w:after="0"/>
              <w:rPr>
                <w:sz w:val="20"/>
                <w:szCs w:val="20"/>
                <w:color w:val="auto"/>
              </w:rPr>
            </w:pPr>
            <w:r>
              <w:rPr>
                <w:rFonts w:ascii="Arial" w:cs="Arial" w:eastAsia="Arial" w:hAnsi="Arial"/>
                <w:sz w:val="18"/>
                <w:szCs w:val="18"/>
                <w:color w:val="auto"/>
                <w:w w:val="85"/>
              </w:rPr>
              <w:t>$ 27,698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December 31, 2018 and December 31, 2017, respectively, and the exercise price, multiplied by the number of in-the-money options) that would have been received by the option holders had all option holders exercised their in-the-money options on December 31, 2018 and December 31, 2017. This amount will change in future periods based on the fair market value of the Company’s stock and the number of options outstanding. Total intrinsic value of options exercised was $27,698 for the year ended December 31, 2018. There were no options outstanding at December 31, 2017.</w:t>
      </w:r>
    </w:p>
    <w:p>
      <w:pPr>
        <w:spacing w:after="0" w:line="85" w:lineRule="exact"/>
        <w:rPr>
          <w:sz w:val="20"/>
          <w:szCs w:val="20"/>
          <w:color w:val="auto"/>
        </w:rPr>
      </w:pPr>
    </w:p>
    <w:p>
      <w:pPr>
        <w:jc w:val="center"/>
        <w:ind w:left="360" w:right="520"/>
        <w:spacing w:after="0" w:line="449" w:lineRule="auto"/>
        <w:rPr>
          <w:sz w:val="20"/>
          <w:szCs w:val="20"/>
          <w:color w:val="auto"/>
        </w:rPr>
      </w:pPr>
      <w:r>
        <w:rPr>
          <w:rFonts w:ascii="Arial" w:cs="Arial" w:eastAsia="Arial" w:hAnsi="Arial"/>
          <w:sz w:val="18"/>
          <w:szCs w:val="18"/>
          <w:color w:val="auto"/>
        </w:rPr>
        <w:t>The weighted average grant date fair value was CAD $10.85 and the weighted average share price at the time of exercise was CAD $20.06. F-34</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Based Compensation </w:t>
      </w:r>
      <w:r>
        <w:rPr>
          <w:rFonts w:ascii="Arial" w:cs="Arial" w:eastAsia="Arial" w:hAnsi="Arial"/>
          <w:sz w:val="18"/>
          <w:szCs w:val="18"/>
          <w:color w:val="auto"/>
        </w:rPr>
        <w:t>(continued)</w:t>
      </w:r>
    </w:p>
    <w:p>
      <w:pPr>
        <w:spacing w:after="0" w:line="13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 using the following ranges of assumptions: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- 2.33%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Expected option life</w:t>
            </w:r>
          </w:p>
        </w:tc>
        <w:tc>
          <w:tcPr>
            <w:tcW w:w="3460" w:type="dxa"/>
            <w:vAlign w:val="bottom"/>
          </w:tcPr>
          <w:p>
            <w:pPr>
              <w:jc w:val="right"/>
              <w:spacing w:after="0"/>
              <w:rPr>
                <w:sz w:val="20"/>
                <w:szCs w:val="20"/>
                <w:color w:val="auto"/>
              </w:rPr>
            </w:pPr>
            <w:r>
              <w:rPr>
                <w:rFonts w:ascii="Arial" w:cs="Arial" w:eastAsia="Arial" w:hAnsi="Arial"/>
                <w:sz w:val="18"/>
                <w:szCs w:val="18"/>
                <w:color w:val="auto"/>
              </w:rPr>
              <w:t>2 - 10 years</w:t>
            </w:r>
          </w:p>
        </w:tc>
      </w:tr>
    </w:tbl>
    <w:p>
      <w:pPr>
        <w:spacing w:after="0" w:line="79"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w:t>
      </w:r>
    </w:p>
    <w:p>
      <w:pPr>
        <w:spacing w:after="0" w:line="62"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December 31, 2018 and 2017 and the changes during the twelve months ended December 31, 2018:</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Weighted</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Average Grant</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Date Fair Value</w:t>
            </w: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Number</w:t>
            </w:r>
          </w:p>
        </w:tc>
        <w:tc>
          <w:tcPr>
            <w:tcW w:w="30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(CAD)</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1,604,000</w:t>
            </w: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0" w:type="dxa"/>
            <w:vAlign w:val="bottom"/>
            <w:shd w:val="clear" w:color="auto" w:fill="CCEEFF"/>
          </w:tcPr>
          <w:p>
            <w:pPr>
              <w:spacing w:after="0"/>
              <w:rPr>
                <w:sz w:val="18"/>
                <w:szCs w:val="18"/>
                <w:color w:val="auto"/>
              </w:rPr>
            </w:pP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Nonvested at December 31,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1,589,000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19"/>
                <w:szCs w:val="19"/>
                <w:color w:val="auto"/>
              </w:rPr>
            </w:pPr>
          </w:p>
        </w:tc>
      </w:tr>
    </w:tbl>
    <w:p>
      <w:pPr>
        <w:spacing w:after="0" w:line="93" w:lineRule="exact"/>
        <w:rPr>
          <w:sz w:val="20"/>
          <w:szCs w:val="20"/>
          <w:color w:val="auto"/>
        </w:rPr>
      </w:pPr>
    </w:p>
    <w:p>
      <w:pPr>
        <w:ind w:left="640" w:right="680"/>
        <w:spacing w:after="0" w:line="342" w:lineRule="auto"/>
        <w:rPr>
          <w:sz w:val="20"/>
          <w:szCs w:val="20"/>
          <w:color w:val="auto"/>
        </w:rPr>
      </w:pPr>
      <w:r>
        <w:rPr>
          <w:rFonts w:ascii="Arial" w:cs="Arial" w:eastAsia="Arial" w:hAnsi="Arial"/>
          <w:sz w:val="16"/>
          <w:szCs w:val="16"/>
          <w:color w:val="auto"/>
        </w:rPr>
        <w:t>The stock-based compensation expense was $1,876,627 for the stock options and $4,748,444 for restricted stock units for the year ended December 31, 2018. The fair value of these awards was determined based on the Company’s stock price on the grant date.</w:t>
      </w:r>
    </w:p>
    <w:p>
      <w:pPr>
        <w:spacing w:after="0" w:line="268" w:lineRule="exact"/>
        <w:rPr>
          <w:sz w:val="20"/>
          <w:szCs w:val="20"/>
          <w:color w:val="auto"/>
        </w:rPr>
      </w:pPr>
    </w:p>
    <w:p>
      <w:pPr>
        <w:ind w:left="1180" w:hanging="544"/>
        <w:spacing w:after="0"/>
        <w:tabs>
          <w:tab w:leader="none" w:pos="11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ind w:left="640" w:right="260"/>
        <w:spacing w:after="0" w:line="259" w:lineRule="auto"/>
        <w:rPr>
          <w:sz w:val="20"/>
          <w:szCs w:val="20"/>
          <w:color w:val="auto"/>
        </w:rPr>
      </w:pPr>
      <w:r>
        <w:rPr>
          <w:rFonts w:ascii="Arial" w:cs="Arial" w:eastAsia="Arial" w:hAnsi="Arial"/>
          <w:sz w:val="18"/>
          <w:szCs w:val="18"/>
          <w:color w:val="auto"/>
        </w:rPr>
        <w:t xml:space="preserve">During the year ended December 31,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status of the unvested profits interests at December 31, 2018:</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Weighted</w:t>
            </w: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Number of</w:t>
            </w:r>
          </w:p>
        </w:tc>
        <w:tc>
          <w:tcPr>
            <w:tcW w:w="3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color w:val="auto"/>
              </w:rPr>
              <w:t>Units</w:t>
            </w:r>
          </w:p>
        </w:tc>
        <w:tc>
          <w:tcPr>
            <w:tcW w:w="1340" w:type="dxa"/>
            <w:vAlign w:val="bottom"/>
            <w:gridSpan w:val="4"/>
          </w:tcPr>
          <w:p>
            <w:pPr>
              <w:jc w:val="right"/>
              <w:ind w:right="60"/>
              <w:spacing w:after="0"/>
              <w:rPr>
                <w:sz w:val="20"/>
                <w:szCs w:val="20"/>
                <w:color w:val="auto"/>
              </w:rPr>
            </w:pPr>
            <w:r>
              <w:rPr>
                <w:rFonts w:ascii="Arial" w:cs="Arial" w:eastAsia="Arial" w:hAnsi="Arial"/>
                <w:sz w:val="14"/>
                <w:szCs w:val="14"/>
                <w:color w:val="auto"/>
              </w:rPr>
              <w:t>Date Fair Value</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7,657,700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(7,657,700)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color w:val="auto"/>
        </w:rPr>
        <w:t>The Company recorded $5,523,180 as compensation expense in connection with these awards during the year ended December 31, 2018. At December 31, 2018, there was no unamortized expense related to unvested profits interests.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60"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0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following table represents the summarized financial information about the Company’s consolidated variable interest entities (VIEs). VIEs include the balances of IL Disp, LLC, Ohio Investors 2017, LLC; KW Ventures Holdings, LLC; and Meshow, LLC. This information represents amounts before intercompany eliminations. All of these entities were determined to be VIEs as the Company possesses the power to direct activities through management services agreements (MSAs).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Through these MSAs, the Company has the ability to significantly impact the VIEs and thus holds a controlling financial interest.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w w:val="91"/>
              </w:rPr>
              <w:t>Chesapeake</w:t>
            </w:r>
          </w:p>
        </w:tc>
        <w:tc>
          <w:tcPr>
            <w:tcW w:w="56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Other Non-</w:t>
            </w: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620" w:type="dxa"/>
            <w:vAlign w:val="bottom"/>
            <w:gridSpan w:val="3"/>
          </w:tcPr>
          <w:p>
            <w:pPr>
              <w:ind w:left="1560"/>
              <w:spacing w:after="0"/>
              <w:rPr>
                <w:sz w:val="20"/>
                <w:szCs w:val="20"/>
                <w:color w:val="auto"/>
              </w:rPr>
            </w:pPr>
            <w:r>
              <w:rPr>
                <w:rFonts w:ascii="Arial" w:cs="Arial" w:eastAsia="Arial" w:hAnsi="Arial"/>
                <w:sz w:val="14"/>
                <w:szCs w:val="14"/>
                <w:color w:val="auto"/>
                <w:w w:val="97"/>
              </w:rPr>
              <w:t>Alternatives, LLC</w:t>
            </w:r>
          </w:p>
        </w:tc>
        <w:tc>
          <w:tcPr>
            <w:tcW w:w="5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material VIEs</w:t>
            </w: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2018:</w:t>
            </w:r>
          </w:p>
        </w:tc>
        <w:tc>
          <w:tcPr>
            <w:tcW w:w="1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6,508,304</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2,070,183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3,037,755</w:t>
            </w:r>
          </w:p>
        </w:tc>
        <w:tc>
          <w:tcPr>
            <w:tcW w:w="100" w:type="dxa"/>
            <w:vAlign w:val="bottom"/>
            <w:shd w:val="clear" w:color="auto" w:fill="CCEEFF"/>
          </w:tcPr>
          <w:p>
            <w:pPr>
              <w:spacing w:after="0"/>
              <w:rPr>
                <w:sz w:val="18"/>
                <w:szCs w:val="18"/>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3,014,764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1,531,108</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1,486,062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1,851,745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Green Thumb Industries Inc.</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3,486,184</w:t>
            </w:r>
          </w:p>
        </w:tc>
        <w:tc>
          <w:tcPr>
            <w:tcW w:w="100" w:type="dxa"/>
            <w:vAlign w:val="bottom"/>
            <w:shd w:val="clear" w:color="auto" w:fill="CCEEFF"/>
          </w:tcPr>
          <w:p>
            <w:pPr>
              <w:spacing w:after="0"/>
              <w:rPr>
                <w:sz w:val="18"/>
                <w:szCs w:val="18"/>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Year ending December 31, 2018:</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13,783,876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5,199,441</w:t>
            </w:r>
          </w:p>
        </w:tc>
        <w:tc>
          <w:tcPr>
            <w:tcW w:w="100" w:type="dxa"/>
            <w:vAlign w:val="bottom"/>
            <w:shd w:val="clear" w:color="auto" w:fill="CCEEFF"/>
          </w:tcPr>
          <w:p>
            <w:pPr>
              <w:spacing w:after="0"/>
              <w:rPr>
                <w:sz w:val="18"/>
                <w:szCs w:val="18"/>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1,407,266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(521,679)</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Green Thumb Industries Inc.</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(41,437)</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1,407,266</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(563,116)</w:t>
            </w: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net change in the consolidated VIEs and Other Noncontrolling Interest are as follows for the years ended December 31, 2018 and 2017:</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4"/>
                <w:szCs w:val="14"/>
                <w:color w:val="auto"/>
              </w:rPr>
              <w:t>Variable Interest Entities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5"/>
              </w:rPr>
              <w:t>Other Non-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Total Non-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300"/>
              <w:spacing w:after="0" w:line="123" w:lineRule="exact"/>
              <w:rPr>
                <w:sz w:val="20"/>
                <w:szCs w:val="20"/>
                <w:color w:val="auto"/>
              </w:rPr>
            </w:pPr>
            <w:r>
              <w:rPr>
                <w:rFonts w:ascii="Arial" w:cs="Arial" w:eastAsia="Arial" w:hAnsi="Arial"/>
                <w:sz w:val="14"/>
                <w:szCs w:val="14"/>
                <w:color w:val="auto"/>
                <w:w w:val="86"/>
              </w:rPr>
              <w:t>Chesapeake</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Alternatives,</w:t>
            </w:r>
          </w:p>
        </w:tc>
        <w:tc>
          <w:tcPr>
            <w:tcW w:w="24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Other Non-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8"/>
              </w:rPr>
              <w:t>Controlling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Controlling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material VIEs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Interests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2016</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170,049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3,818,343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3,988,392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24"/>
        </w:trPr>
        <w:tc>
          <w:tcPr>
            <w:tcW w:w="4880" w:type="dxa"/>
            <w:vAlign w:val="bottom"/>
            <w:gridSpan w:val="2"/>
          </w:tcPr>
          <w:p>
            <w:pPr>
              <w:spacing w:after="0"/>
              <w:rPr>
                <w:sz w:val="20"/>
                <w:szCs w:val="20"/>
                <w:color w:val="auto"/>
              </w:rPr>
            </w:pPr>
            <w:r>
              <w:rPr>
                <w:rFonts w:ascii="Arial" w:cs="Arial" w:eastAsia="Arial" w:hAnsi="Arial"/>
                <w:sz w:val="18"/>
                <w:szCs w:val="18"/>
                <w:color w:val="auto"/>
              </w:rPr>
              <w:t>Balance as at December 31, 2017</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3,196,301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1,731,911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193,628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683,513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21,106,610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21,983,751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(40,819,508)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(40,956,508)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1,217,385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(521,679)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27,115,990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27,811,696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Changes in ownership</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(10,439,741)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(10,439,741)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Balance as at December 31,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1,486,062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1,851,745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159,652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00" w:type="dxa"/>
            <w:vAlign w:val="bottom"/>
            <w:gridSpan w:val="3"/>
          </w:tcPr>
          <w:p>
            <w:pPr>
              <w:jc w:val="right"/>
              <w:ind w:right="740"/>
              <w:spacing w:after="0"/>
              <w:rPr>
                <w:sz w:val="20"/>
                <w:szCs w:val="20"/>
                <w:color w:val="auto"/>
              </w:rPr>
            </w:pPr>
            <w:r>
              <w:rPr>
                <w:rFonts w:ascii="Arial" w:cs="Arial" w:eastAsia="Arial" w:hAnsi="Arial"/>
                <w:sz w:val="18"/>
                <w:szCs w:val="18"/>
                <w:color w:val="auto"/>
                <w:w w:val="91"/>
              </w:rPr>
              <w:t>F-36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color w:val="auto"/>
        </w:rPr>
        <w:t>In April 2018, the noncontrolling members of GTI Pennsylvania, LLC (“GTI PA”) acquired 27.5% interests in GTI PA. The carrying amount of GTI PA’s net assets in the consolidated financial statements, prior to any eliminations, on the date of acquisition was $8,427,195.</w:t>
      </w:r>
    </w:p>
    <w:p>
      <w:pPr>
        <w:spacing w:after="0" w:line="188"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interests acquired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4,686,257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Consideration paid for interests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8,613,740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Decrease in equity attributable to Green Thumb Industries Inc.</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(3,927,483)</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The Company has entered into agreements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 These symmetrical put and call options are exercisable any time after January 2, 2019.</w:t>
      </w:r>
    </w:p>
    <w:p>
      <w:pPr>
        <w:spacing w:after="0" w:line="8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The net liability recognized in connection with these put and call options has been estimated using the Black Scholes options pricing model. The assumptions used in the calculating the fair value include a risk-free rate of 2.44%, volatility of 100%, an expected term of 30 days, and a share price of $8.07. Upon initial recognition, the Company recorded a derivative liability of $7,078,792. For the year ended December 31, 2018, the Company recorded a gain of $2,869,342 on revaluation of the derivative liability, which is included other income on the consolidated statement of operations. The value of the derivative at December 31, 2018 is $4,238,701 and is recorded as a derivative liability on the consolidated balance sheet. An increase in the share price and volatility assumptions of 5% would result in an increase in the fair value estimate of approximately $1,254,000, and a decrease in the same assumptions of 5% would result in a decrease in the fair value estimate of approximately $1,255,000.</w:t>
      </w:r>
    </w:p>
    <w:p>
      <w:pPr>
        <w:spacing w:after="0" w:line="322"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16.</w:t>
        <w:tab/>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years ended December 31, 2018 and 2017, other income comprised:</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580" w:type="dxa"/>
            <w:vAlign w:val="bottom"/>
            <w:gridSpan w:val="2"/>
          </w:tcPr>
          <w:p>
            <w:pPr>
              <w:jc w:val="right"/>
              <w:ind w:right="250"/>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adjustments on convertible notes receivable</w:t>
            </w:r>
          </w:p>
        </w:tc>
        <w:tc>
          <w:tcPr>
            <w:tcW w:w="1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$ 13,586,000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adjustments on equity investments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4,797,283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2,869,342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adjustments on warrants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37,765,718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variable note receivable</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(4,206,141)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 on convertible note payable in connection with RTO</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1,981,358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(376,139)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544,399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w:t>
            </w:r>
          </w:p>
        </w:tc>
        <w:tc>
          <w:tcPr>
            <w:tcW w:w="1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$ 56,417,421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544,399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5320"/>
              <w:spacing w:after="0"/>
              <w:rPr>
                <w:sz w:val="20"/>
                <w:szCs w:val="20"/>
                <w:color w:val="auto"/>
              </w:rPr>
            </w:pPr>
            <w:r>
              <w:rPr>
                <w:rFonts w:ascii="Arial" w:cs="Arial" w:eastAsia="Arial" w:hAnsi="Arial"/>
                <w:sz w:val="18"/>
                <w:szCs w:val="18"/>
                <w:color w:val="auto"/>
              </w:rPr>
              <w:t>F-37</w:t>
            </w:r>
          </w:p>
        </w:tc>
        <w:tc>
          <w:tcPr>
            <w:tcW w:w="1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leases certain business facilities from third parties under operating lease agreements that contain minimum rental provisions and expire through 2028. Some of these leases also contain renewal provisions and provide for rent abatement. Rent expense is calculated on straight-line basis over the terms of the leases. The Company’s net rent expense for the years ended December 31, 2018 and 2017 totaled approximately $1,901,000 and $927,000, respectively.</w:t>
      </w:r>
    </w:p>
    <w:p>
      <w:pPr>
        <w:spacing w:after="0" w:line="78"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facilities are occupied under lease agreements with a related party. The leases expire through 2024 and contain certain renewal provisions. Rent expense under these leases for the years ended December 31, 2018 and 2017 totaled approximately $568,000 and $144,000, respectively.</w:t>
      </w:r>
    </w:p>
    <w:p>
      <w:pPr>
        <w:spacing w:after="0" w:line="73" w:lineRule="exact"/>
        <w:rPr>
          <w:rFonts w:ascii="Arial" w:cs="Arial" w:eastAsia="Arial" w:hAnsi="Arial"/>
          <w:sz w:val="18"/>
          <w:szCs w:val="18"/>
          <w:b w:val="1"/>
          <w:bCs w:val="1"/>
          <w:color w:val="auto"/>
        </w:rPr>
      </w:pPr>
    </w:p>
    <w:p>
      <w:pPr>
        <w:ind w:left="12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presented in the table below. As discussed in Note 2, upon the adoption of Accounting Standards Update No. 2016-02 “Leases (Topic 842)”, such commitments will be recognized as a right-of-use asset representing the right to use the underlying asset and a lease liability representing the obligation to make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-1972945</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0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Parties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Parties</w:t>
            </w: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jc w:val="right"/>
              <w:ind w:right="810"/>
              <w:spacing w:after="0" w:line="203" w:lineRule="exact"/>
              <w:rPr>
                <w:sz w:val="20"/>
                <w:szCs w:val="20"/>
                <w:color w:val="auto"/>
              </w:rPr>
            </w:pPr>
            <w:r>
              <w:rPr>
                <w:rFonts w:ascii="Arial" w:cs="Arial" w:eastAsia="Arial" w:hAnsi="Arial"/>
                <w:sz w:val="18"/>
                <w:szCs w:val="18"/>
                <w:color w:val="auto"/>
              </w:rPr>
              <w:t>2019</w:t>
            </w:r>
          </w:p>
        </w:tc>
        <w:tc>
          <w:tcPr>
            <w:tcW w:w="2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1,188,865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1,127,754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585,966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2021</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1,123,769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597,686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1,040,481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504,255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1,067,783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366,802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3,119,021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695,291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3,814,312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8,667,673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3,324,477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11,992,150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0"/>
        <w:spacing w:after="0" w:line="291" w:lineRule="auto"/>
        <w:rPr>
          <w:sz w:val="20"/>
          <w:szCs w:val="20"/>
          <w:color w:val="auto"/>
        </w:rPr>
      </w:pPr>
      <w:r>
        <w:rPr>
          <w:rFonts w:ascii="Arial" w:cs="Arial" w:eastAsia="Arial" w:hAnsi="Arial"/>
          <w:sz w:val="16"/>
          <w:szCs w:val="16"/>
          <w:color w:val="auto"/>
        </w:rPr>
        <w:t>In 2017, GTI entered into several related party transactions with respect to its leasing arrangements for three GTI dispensaries operating in Maryland, Nevada and Massachusetts. Wendy Berger, a director of the Corporation, is a principal of WBS Equities, LLC, which is the Manager of Mosaic Real Estate, LLC. Additionally, Mosaic Real Estate, LLC is owned in part by Ms. Berger (through the Wendy Berger 1998 Revocable Trust), Benjamin Kovler, the Chief Executive Officer and a director of the Corporation (through KP Capital, LLC), and Mr. Georgiadis, the Chief Financial Officer and a director of the Corporation (through Three One Four Holdings, LLC). The terms of these leases vary from 7 to 15 years. For the years ended December 31, 2018 and 2017, the Company recorded rent expense of $515,064 and $87,705, respectively, associated with these lease arrangements. For additional information on related party transactions, see Note 18.</w:t>
      </w:r>
    </w:p>
    <w:p>
      <w:pPr>
        <w:spacing w:after="0" w:line="312" w:lineRule="exact"/>
        <w:rPr>
          <w:sz w:val="20"/>
          <w:szCs w:val="20"/>
          <w:color w:val="auto"/>
        </w:rPr>
      </w:pPr>
    </w:p>
    <w:p>
      <w:pPr>
        <w:ind w:left="1180" w:hanging="544"/>
        <w:spacing w:after="0"/>
        <w:tabs>
          <w:tab w:leader="none" w:pos="11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December 31, 2018, medical cannabis regulations continue to evolve and are subject to differing interpretations. As a result, the Company may be subject to regulatory fines, penalties, or restrictions in the future.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 TRANSACTIONS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Due from Related Parties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At December 31, 2018 and 2017, amounts due from related parties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-1717040</wp:posOffset>
            </wp:positionV>
            <wp:extent cx="6997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-438785</wp:posOffset>
            </wp:positionV>
            <wp:extent cx="6997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dated December 15, 2017, principal due by December 31, 2018, plus interest at 1.52%.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180" w:type="dxa"/>
            <w:vAlign w:val="bottom"/>
            <w:gridSpan w:val="2"/>
          </w:tcPr>
          <w:p>
            <w:pPr>
              <w:spacing w:after="0"/>
              <w:rPr>
                <w:sz w:val="20"/>
                <w:szCs w:val="20"/>
                <w:color w:val="auto"/>
              </w:rPr>
            </w:pPr>
            <w:r>
              <w:rPr>
                <w:rFonts w:ascii="Arial" w:cs="Arial" w:eastAsia="Arial" w:hAnsi="Arial"/>
                <w:sz w:val="18"/>
                <w:szCs w:val="18"/>
                <w:color w:val="auto"/>
                <w:w w:val="95"/>
              </w:rPr>
              <w:t>Note receivable dated July 20, 2017, principal due the earlier of July 19, 2018 or upon the achievement of defined capital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raising activities; plus interest at 2.00%; note repaid on February 13,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Total Due from Related Party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6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73" w:lineRule="exact"/>
        <w:rPr>
          <w:rFonts w:ascii="Arial" w:cs="Arial" w:eastAsia="Arial" w:hAnsi="Arial"/>
          <w:sz w:val="18"/>
          <w:szCs w:val="18"/>
          <w:b w:val="1"/>
          <w:bCs w:val="1"/>
          <w:color w:val="auto"/>
        </w:rPr>
      </w:pPr>
    </w:p>
    <w:p>
      <w:pPr>
        <w:ind w:left="64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-1056640</wp:posOffset>
            </wp:positionV>
            <wp:extent cx="6997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-121920</wp:posOffset>
            </wp:positionV>
            <wp:extent cx="636333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3" w:lineRule="exact"/>
        <w:rPr>
          <w:sz w:val="20"/>
          <w:szCs w:val="20"/>
          <w:color w:val="auto"/>
        </w:rPr>
      </w:pPr>
    </w:p>
    <w:p>
      <w:pPr>
        <w:ind w:left="1200" w:right="156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-147955</wp:posOffset>
            </wp:positionV>
            <wp:extent cx="6363335"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right="3920" w:hanging="436"/>
        <w:spacing w:after="0" w:line="428" w:lineRule="auto"/>
        <w:tabs>
          <w:tab w:leader="none" w:pos="632"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Financial Instruments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-276225</wp:posOffset>
            </wp:positionV>
            <wp:extent cx="6997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0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$145,986,072</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$145,986,072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Notes Receivable</w:t>
            </w:r>
          </w:p>
        </w:tc>
        <w:tc>
          <w:tcPr>
            <w:tcW w:w="1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10,924,727</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10,924,727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966,541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39,966,742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40,933,283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Liability for Redemption of Noncontrolling Interest</w:t>
            </w:r>
          </w:p>
        </w:tc>
        <w:tc>
          <w:tcPr>
            <w:tcW w:w="1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(25,420,009)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(25,420,009)</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(4,238,701)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(4,238,701)</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(9,035,250)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(9,035,250)</w:t>
            </w: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146,952,613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12,197,509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159,150,122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December 31, 2017</w:t>
            </w: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Members Contribution Receivable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2018 and 2017.</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315" w:lineRule="exact"/>
        <w:rPr>
          <w:sz w:val="20"/>
          <w:szCs w:val="20"/>
          <w:color w:val="auto"/>
        </w:rPr>
      </w:pPr>
    </w:p>
    <w:p>
      <w:pPr>
        <w:ind w:left="1180" w:hanging="544"/>
        <w:spacing w:after="0"/>
        <w:tabs>
          <w:tab w:leader="none" w:pos="11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2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2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December 31, 2018, the Company had approximately $1,013,000 of accounts receivable that were past due. Given management’s expectation that any credit losses will be nominal, no provision is provided.</w:t>
      </w:r>
    </w:p>
    <w:p>
      <w:pPr>
        <w:spacing w:after="0" w:line="78" w:lineRule="exact"/>
        <w:rPr>
          <w:rFonts w:ascii="Arial" w:cs="Arial" w:eastAsia="Arial" w:hAnsi="Arial"/>
          <w:sz w:val="18"/>
          <w:szCs w:val="18"/>
          <w:b w:val="1"/>
          <w:bCs w:val="1"/>
          <w:color w:val="auto"/>
        </w:rPr>
      </w:pPr>
    </w:p>
    <w:p>
      <w:pPr>
        <w:jc w:val="both"/>
        <w:ind w:left="120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also issued notes receivable to certain counterparties, as described in Note 5. These notes are issued to creditworthy entities with which the Company is familiar, and thus the Company expects that any credit losses will be nominal. This note was fully repaid in June 2019.</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right="3920" w:hanging="436"/>
        <w:spacing w:after="0" w:line="430" w:lineRule="auto"/>
        <w:tabs>
          <w:tab w:leader="none" w:pos="63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Financial Risk Management </w:t>
      </w:r>
      <w:r>
        <w:rPr>
          <w:rFonts w:ascii="Arial" w:cs="Arial" w:eastAsia="Arial" w:hAnsi="Arial"/>
          <w:sz w:val="18"/>
          <w:szCs w:val="18"/>
          <w:color w:val="auto"/>
        </w:rPr>
        <w:t>(continued)</w:t>
      </w:r>
    </w:p>
    <w:p>
      <w:pPr>
        <w:spacing w:after="0" w:line="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7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commitments outlined in Note 17, the Company has the following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-1099185</wp:posOffset>
            </wp:positionV>
            <wp:extent cx="6997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&lt; 1 Year</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1 to 3 Years</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to 5 Years</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&gt; 5 Years</w:t>
            </w: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15,974,557</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15,974,557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Notes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1,480,660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3,574,300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1,962,178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197,319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7,214,457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9,035,250</w:t>
            </w:r>
          </w:p>
        </w:tc>
        <w:tc>
          <w:tcPr>
            <w:tcW w:w="180" w:type="dxa"/>
            <w:vAlign w:val="bottom"/>
          </w:tcPr>
          <w:p>
            <w:pPr>
              <w:spacing w:after="0"/>
              <w:rPr>
                <w:sz w:val="20"/>
                <w:szCs w:val="20"/>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9,035,250</w:t>
            </w:r>
          </w:p>
        </w:tc>
        <w:tc>
          <w:tcPr>
            <w:tcW w:w="80" w:type="dxa"/>
            <w:vAlign w:val="bottom"/>
          </w:tcPr>
          <w:p>
            <w:pPr>
              <w:spacing w:after="0"/>
              <w:rPr>
                <w:sz w:val="20"/>
                <w:szCs w:val="20"/>
                <w:color w:val="auto"/>
              </w:rPr>
            </w:pPr>
          </w:p>
        </w:tc>
      </w:tr>
    </w:tbl>
    <w:p>
      <w:pPr>
        <w:spacing w:after="0" w:line="332" w:lineRule="exact"/>
        <w:rPr>
          <w:sz w:val="20"/>
          <w:szCs w:val="20"/>
          <w:color w:val="auto"/>
        </w:rPr>
      </w:pPr>
    </w:p>
    <w:p>
      <w:pPr>
        <w:ind w:left="1200" w:right="8780" w:hanging="564"/>
        <w:spacing w:after="0" w:line="453" w:lineRule="auto"/>
        <w:tabs>
          <w:tab w:leader="none" w:pos="1181" w:val="left"/>
        </w:tabs>
        <w:numPr>
          <w:ilvl w:val="1"/>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Market Risk </w:t>
      </w:r>
      <w:r>
        <w:rPr>
          <w:rFonts w:ascii="Arial" w:cs="Arial" w:eastAsia="Arial" w:hAnsi="Arial"/>
          <w:sz w:val="15"/>
          <w:szCs w:val="15"/>
          <w:i w:val="1"/>
          <w:iCs w:val="1"/>
          <w:color w:val="auto"/>
        </w:rPr>
        <w:t>Interest Rate Risk</w:t>
      </w:r>
    </w:p>
    <w:p>
      <w:pPr>
        <w:spacing w:after="0" w:line="1" w:lineRule="exact"/>
        <w:rPr>
          <w:rFonts w:ascii="Arial" w:cs="Arial" w:eastAsia="Arial" w:hAnsi="Arial"/>
          <w:sz w:val="15"/>
          <w:szCs w:val="15"/>
          <w:b w:val="1"/>
          <w:bCs w:val="1"/>
          <w:color w:val="auto"/>
        </w:rPr>
      </w:pPr>
    </w:p>
    <w:p>
      <w:pPr>
        <w:ind w:left="1200" w:right="360"/>
        <w:spacing w:after="0" w:line="264" w:lineRule="auto"/>
        <w:rPr>
          <w:rFonts w:ascii="Arial" w:cs="Arial" w:eastAsia="Arial" w:hAnsi="Arial"/>
          <w:sz w:val="15"/>
          <w:szCs w:val="15"/>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5" w:lineRule="exact"/>
        <w:rPr>
          <w:rFonts w:ascii="Arial" w:cs="Arial" w:eastAsia="Arial" w:hAnsi="Arial"/>
          <w:sz w:val="15"/>
          <w:szCs w:val="15"/>
          <w:b w:val="1"/>
          <w:bCs w:val="1"/>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6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two segments: the cultivation, production and sale of cannabis via retail stores (wholesale) and retailing of cannabis to patients and consumers (retail). The below table presents revenues, depreciation and amortization and Income taxes by segment for the years ending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6997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w:t>
            </w: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Wholesale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25,706,134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8,375,953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41,994,791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Intersegment Eliminations/Corporate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(5,207,245)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(1,772,144)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62,493,680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16,528,779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2,666,603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Retail</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2,461,117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Eliminations/Corporate</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5,183,980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Wholesale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2,245,450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4,938,145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Income Taxes</w:t>
            </w: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7,183,595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60" w:type="dxa"/>
            <w:vAlign w:val="bottom"/>
            <w:gridSpan w:val="2"/>
          </w:tcPr>
          <w:p>
            <w:pPr>
              <w:jc w:val="right"/>
              <w:ind w:right="1465"/>
              <w:spacing w:after="0"/>
              <w:rPr>
                <w:sz w:val="20"/>
                <w:szCs w:val="20"/>
                <w:color w:val="auto"/>
              </w:rPr>
            </w:pPr>
            <w:r>
              <w:rPr>
                <w:rFonts w:ascii="Arial" w:cs="Arial" w:eastAsia="Arial" w:hAnsi="Arial"/>
                <w:sz w:val="18"/>
                <w:szCs w:val="18"/>
                <w:color w:val="auto"/>
              </w:rPr>
              <w:t>F-41</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assigned to the Wholesale segment as of December 31, 2018 and 2017 was $23,918,000 and $0 respectively. Intangible assets assigned to the Wholesale segment as of December 31, 2018 and 2017 was $46,540,000 and $0 respectively.</w:t>
      </w:r>
    </w:p>
    <w:p>
      <w:pPr>
        <w:spacing w:after="0" w:line="62" w:lineRule="exact"/>
        <w:rPr>
          <w:rFonts w:ascii="Arial" w:cs="Arial" w:eastAsia="Arial" w:hAnsi="Arial"/>
          <w:sz w:val="18"/>
          <w:szCs w:val="18"/>
          <w:b w:val="1"/>
          <w:bCs w:val="1"/>
          <w:color w:val="auto"/>
        </w:rPr>
      </w:pPr>
    </w:p>
    <w:p>
      <w:pPr>
        <w:ind w:left="640" w:right="6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Goodwill assigned to the Retail segment as of December 31, 2018 and 2017 was $15,286,360 and $188,260 respectively. Intangible assets assigned to the Retail segment as of December 31, 2018 and 2017 was $41,825,678 and $14,161,995 respectively.</w:t>
      </w:r>
    </w:p>
    <w:p>
      <w:pPr>
        <w:spacing w:after="0" w:line="38"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All revenues are derived from customers domiciled in the United States and all assets are located in the United States.</w:t>
      </w:r>
    </w:p>
    <w:p>
      <w:pPr>
        <w:spacing w:after="0" w:line="332" w:lineRule="exact"/>
        <w:rPr>
          <w:rFonts w:ascii="Arial" w:cs="Arial" w:eastAsia="Arial" w:hAnsi="Arial"/>
          <w:sz w:val="18"/>
          <w:szCs w:val="18"/>
          <w:b w:val="1"/>
          <w:bCs w:val="1"/>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-1834515</wp:posOffset>
            </wp:positionV>
            <wp:extent cx="6997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The Company closed on a number of acquisitions subsequent to the filing of our December 31, 2018 audit report. The Company evaluated each acquisition under ASC 805, Business Combinations and determined that each qualified as a business combination. Each acquisition was accounted for by applying the acquisition method, whereby the assets acquired, and liabilities assumed are recorded at fair values with any excess of the aggregate consideration over the fair values of the identifiable net assets allocated to goodwill. Each acquisition was completed to further facilitate GTI’s expansion plans.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 is a summary of the total consideration and initial accounting estimates for each acquisition (unaudited):</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color w:val="auto"/>
                <w:w w:val="98"/>
              </w:rPr>
              <w:t>Advanced Grow</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color w:val="auto"/>
              </w:rPr>
              <w:t>Integral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Other</w:t>
            </w: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Labs, LLC</w:t>
            </w:r>
          </w:p>
        </w:tc>
        <w:tc>
          <w:tcPr>
            <w:tcW w:w="180" w:type="dxa"/>
            <w:vAlign w:val="bottom"/>
          </w:tcPr>
          <w:p>
            <w:pPr>
              <w:spacing w:after="0"/>
              <w:rPr>
                <w:sz w:val="14"/>
                <w:szCs w:val="14"/>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w w:val="98"/>
              </w:rPr>
              <w:t>Associates, LLC</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Acquisitions</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52,807,500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42,612,694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of the Company Issued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79,959,170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273,146,014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118,038,863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Previous Notes Receivable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27,525,800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Acquisition Liability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6,616,916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2,421,068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9,136,000</w:t>
            </w:r>
          </w:p>
        </w:tc>
        <w:tc>
          <w:tcPr>
            <w:tcW w:w="120" w:type="dxa"/>
            <w:vAlign w:val="bottom"/>
            <w:shd w:val="clear" w:color="auto" w:fill="CCEEFF"/>
          </w:tcPr>
          <w:p>
            <w:pPr>
              <w:spacing w:after="0"/>
              <w:rPr>
                <w:sz w:val="18"/>
                <w:szCs w:val="18"/>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1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110,255,053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614,399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Inventory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1,906,828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10,107,303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1,427,034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Prepaid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492,571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355,710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Right-of-Use Asset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470,703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1,655,309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1,198,042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Intangible Assets: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 and Permits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130,000,000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Non-competition Agreements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(1,174,361)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(9,134,651)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(3,582,497)</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(12,815,000)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(17,191,200)</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1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44,049,831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174,297,411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57,643,531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66,205,222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189,608,171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149,359,826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110,255,053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below table summarizes the pro forma financial information for Advanced Grow Labs, LLC and Integral Associates, LLC as if the acquisition had occurred at January 1, 2018. Other acquisitions were not included in the pro forma financial information described below as they were not considered material to the consolidated results of GTI.</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For the Year ended December 31, 2018</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Advanced</w:t>
            </w:r>
          </w:p>
        </w:tc>
        <w:tc>
          <w:tcPr>
            <w:tcW w:w="160" w:type="dxa"/>
            <w:vAlign w:val="bottom"/>
          </w:tcPr>
          <w:p>
            <w:pPr>
              <w:spacing w:after="0"/>
              <w:rPr>
                <w:sz w:val="10"/>
                <w:szCs w:val="10"/>
                <w:color w:val="auto"/>
              </w:rPr>
            </w:pP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Integral</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Grow Labs,</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280" w:type="dxa"/>
            <w:vAlign w:val="bottom"/>
            <w:gridSpan w:val="2"/>
            <w:vMerge w:val="continue"/>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Industries</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LLC</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1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$ 62,493,680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$ 17,016,743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$ 60,261,432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139,771,855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Industries Inc.</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(5,243,917)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7,497,696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13,218,159</w:t>
            </w:r>
          </w:p>
        </w:tc>
        <w:tc>
          <w:tcPr>
            <w:tcW w:w="16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(18,989,033)</w:t>
            </w:r>
          </w:p>
        </w:tc>
        <w:tc>
          <w:tcPr>
            <w:tcW w:w="580" w:type="dxa"/>
            <w:vAlign w:val="bottom"/>
          </w:tcPr>
          <w:p>
            <w:pPr>
              <w:ind w:left="80"/>
              <w:spacing w:after="0"/>
              <w:rPr>
                <w:sz w:val="20"/>
                <w:szCs w:val="20"/>
                <w:color w:val="auto"/>
              </w:rPr>
            </w:pPr>
            <w:r>
              <w:rPr>
                <w:rFonts w:ascii="Arial" w:cs="Arial" w:eastAsia="Arial" w:hAnsi="Arial"/>
                <w:sz w:val="18"/>
                <w:szCs w:val="18"/>
                <w:color w:val="auto"/>
                <w:w w:val="97"/>
              </w:rPr>
              <w:t>(a),(b)</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(3,517,095)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500" w:hanging="436"/>
        <w:spacing w:after="0" w:line="258"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$13,997,336.</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estimated income tax expense of $4,991,697 based on a 24% effective tax rate.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180" w:hanging="544"/>
        <w:spacing w:after="0"/>
        <w:tabs>
          <w:tab w:leader="none" w:pos="1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640" w:right="100"/>
        <w:spacing w:after="0" w:line="288"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facility and an ownership stake in a recently awarded dispensary, making AGL the only vertically licensed operator in the state. The transaction consideration was approximately</w:t>
      </w:r>
    </w:p>
    <w:p>
      <w:pPr>
        <w:ind w:left="640"/>
        <w:spacing w:after="0" w:line="255" w:lineRule="auto"/>
        <w:rPr>
          <w:sz w:val="20"/>
          <w:szCs w:val="20"/>
          <w:color w:val="auto"/>
        </w:rPr>
      </w:pPr>
      <w:r>
        <w:rPr>
          <w:rFonts w:ascii="Arial" w:cs="Arial" w:eastAsia="Arial" w:hAnsi="Arial"/>
          <w:sz w:val="18"/>
          <w:szCs w:val="18"/>
          <w:color w:val="auto"/>
        </w:rPr>
        <w:t>$110.3 million, which included $15 million of cash, approximately 7.0 million Subordinate Voting Shares of GTI which were valued at approximately $80.0 million. The purchase agreement also included additional consideration based upon future performance targets (as detailed in the above table).</w:t>
      </w:r>
    </w:p>
    <w:p>
      <w:pPr>
        <w:spacing w:after="0" w:line="335" w:lineRule="exact"/>
        <w:rPr>
          <w:sz w:val="20"/>
          <w:szCs w:val="20"/>
          <w:color w:val="auto"/>
        </w:rPr>
      </w:pPr>
    </w:p>
    <w:p>
      <w:pPr>
        <w:ind w:left="1180" w:hanging="544"/>
        <w:spacing w:after="0"/>
        <w:tabs>
          <w:tab w:leader="none" w:pos="11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640" w:right="240"/>
        <w:spacing w:after="0" w:line="302" w:lineRule="auto"/>
        <w:rPr>
          <w:sz w:val="20"/>
          <w:szCs w:val="20"/>
          <w:color w:val="auto"/>
        </w:rPr>
      </w:pPr>
      <w:r>
        <w:rPr>
          <w:rFonts w:ascii="Arial" w:cs="Arial" w:eastAsia="Arial" w:hAnsi="Arial"/>
          <w:sz w:val="16"/>
          <w:szCs w:val="16"/>
          <w:color w:val="auto"/>
        </w:rPr>
        <w:t>On June 5, 2019, the Company acquired 100% of the ownership interests of Integral Associates. The acquisition included Integral Associate’s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 of which an additional 3.9 million Subordinate Voting Shares have been issued to-date.</w:t>
      </w:r>
    </w:p>
    <w:p>
      <w:pPr>
        <w:spacing w:after="0" w:line="299" w:lineRule="exact"/>
        <w:rPr>
          <w:sz w:val="20"/>
          <w:szCs w:val="20"/>
          <w:color w:val="auto"/>
        </w:rPr>
      </w:pPr>
    </w:p>
    <w:p>
      <w:pPr>
        <w:ind w:left="1180" w:hanging="544"/>
        <w:spacing w:after="0"/>
        <w:tabs>
          <w:tab w:leader="none" w:pos="11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640" w:right="140"/>
        <w:spacing w:after="0" w:line="302" w:lineRule="auto"/>
        <w:rPr>
          <w:sz w:val="20"/>
          <w:szCs w:val="20"/>
          <w:color w:val="auto"/>
        </w:rPr>
      </w:pPr>
      <w:r>
        <w:rPr>
          <w:rFonts w:ascii="Arial" w:cs="Arial" w:eastAsia="Arial" w:hAnsi="Arial"/>
          <w:sz w:val="16"/>
          <w:szCs w:val="16"/>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of GTI Subordinate Voting Shares. The purchase agreement also includes additional consideration based upon performance targets.</w:t>
      </w:r>
    </w:p>
    <w:p>
      <w:pPr>
        <w:spacing w:after="0" w:line="299" w:lineRule="exact"/>
        <w:rPr>
          <w:sz w:val="20"/>
          <w:szCs w:val="20"/>
          <w:color w:val="auto"/>
        </w:rPr>
      </w:pPr>
    </w:p>
    <w:p>
      <w:pPr>
        <w:ind w:left="1180" w:hanging="544"/>
        <w:spacing w:after="0"/>
        <w:tabs>
          <w:tab w:leader="none" w:pos="1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color w:val="auto"/>
        </w:rPr>
        <w:t>On August 23, 2019, the Company acquired 100% of the ownership interests of New York-based Fiorello Pharmaceuticals, Inc. The consideration paid includes $46,000,000 of cash and 1,700,000 of the Company’s Subordinate Voting Shares. The acquisition includes the license and assets for one cultivation, one processing, and four retail facilities in New York.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Transactions:</w:t>
      </w:r>
    </w:p>
    <w:p>
      <w:pPr>
        <w:spacing w:after="0" w:line="127" w:lineRule="exact"/>
        <w:rPr>
          <w:sz w:val="20"/>
          <w:szCs w:val="20"/>
          <w:color w:val="auto"/>
        </w:rPr>
      </w:pPr>
    </w:p>
    <w:p>
      <w:pPr>
        <w:ind w:left="1180" w:hanging="544"/>
        <w:spacing w:after="0"/>
        <w:tabs>
          <w:tab w:leader="none" w:pos="11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KW Ventures Holdings, LLC</w:t>
      </w:r>
    </w:p>
    <w:p>
      <w:pPr>
        <w:spacing w:after="0" w:line="121" w:lineRule="exact"/>
        <w:rPr>
          <w:sz w:val="20"/>
          <w:szCs w:val="20"/>
          <w:color w:val="auto"/>
        </w:rPr>
      </w:pPr>
    </w:p>
    <w:p>
      <w:pPr>
        <w:ind w:left="640" w:right="80"/>
        <w:spacing w:after="0" w:line="312" w:lineRule="auto"/>
        <w:rPr>
          <w:sz w:val="20"/>
          <w:szCs w:val="20"/>
          <w:color w:val="auto"/>
        </w:rPr>
      </w:pPr>
      <w:r>
        <w:rPr>
          <w:rFonts w:ascii="Arial" w:cs="Arial" w:eastAsia="Arial" w:hAnsi="Arial"/>
          <w:sz w:val="16"/>
          <w:szCs w:val="16"/>
          <w:color w:val="auto"/>
        </w:rPr>
        <w:t>On January 1, 2019, the Company closed on its acquisition of KW Ventures Holdings, LLC (Firefly). Firefly holds a medical marijuana dispensary license from the Pennsylvania Department of Health and has operating dispensaries in Steelton, Carlisle, and York, Pennsylvania. The acquisition was an all stock transaction whereby consideration was satisfied through the issuance of Subordinate Voting Shares.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Transactions</w:t>
      </w:r>
      <w:r>
        <w:rPr>
          <w:rFonts w:ascii="Arial" w:cs="Arial" w:eastAsia="Arial" w:hAnsi="Arial"/>
          <w:sz w:val="18"/>
          <w:szCs w:val="18"/>
          <w:color w:val="auto"/>
        </w:rPr>
        <w:t>: (continued)</w:t>
      </w:r>
    </w:p>
    <w:p>
      <w:pPr>
        <w:spacing w:after="0" w:line="127" w:lineRule="exact"/>
        <w:rPr>
          <w:sz w:val="20"/>
          <w:szCs w:val="20"/>
          <w:color w:val="auto"/>
        </w:rPr>
      </w:pPr>
    </w:p>
    <w:p>
      <w:pPr>
        <w:ind w:left="1180" w:hanging="544"/>
        <w:spacing w:after="0"/>
        <w:tabs>
          <w:tab w:leader="none" w:pos="1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of Noncontrolling Interests in GTI Pennsylvania, LLC</w:t>
      </w:r>
    </w:p>
    <w:p>
      <w:pPr>
        <w:spacing w:after="0" w:line="121"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color w:val="auto"/>
        </w:rPr>
        <w:t>On January 7, 2019, the Company closed on its acquisition of the remaining membership interest in GTI Pennsylvania, LLC from two noncontrolling partners. Following the transaction, the Company owns 100% of GTI Pennsylvania, LLC. The acquisition was an all stock transaction whereby consideration was satisfied through the issuance of 31,000 Multiple Voting Shares. Please see Note 15 for additional detail.</w:t>
      </w:r>
    </w:p>
    <w:p>
      <w:pPr>
        <w:spacing w:after="0" w:line="291" w:lineRule="exact"/>
        <w:rPr>
          <w:sz w:val="20"/>
          <w:szCs w:val="20"/>
          <w:color w:val="auto"/>
        </w:rPr>
      </w:pPr>
    </w:p>
    <w:p>
      <w:pPr>
        <w:ind w:left="1180" w:hanging="544"/>
        <w:spacing w:after="0"/>
        <w:tabs>
          <w:tab w:leader="none" w:pos="1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Debt</w:t>
      </w:r>
    </w:p>
    <w:p>
      <w:pPr>
        <w:spacing w:after="0" w:line="121" w:lineRule="exact"/>
        <w:rPr>
          <w:sz w:val="20"/>
          <w:szCs w:val="20"/>
          <w:color w:val="auto"/>
        </w:rPr>
      </w:pPr>
    </w:p>
    <w:p>
      <w:pPr>
        <w:jc w:val="both"/>
        <w:ind w:left="640" w:right="40"/>
        <w:spacing w:after="0" w:line="279" w:lineRule="auto"/>
        <w:rPr>
          <w:sz w:val="20"/>
          <w:szCs w:val="20"/>
          <w:color w:val="auto"/>
        </w:rPr>
      </w:pPr>
      <w:r>
        <w:rPr>
          <w:rFonts w:ascii="Arial" w:cs="Arial" w:eastAsia="Arial" w:hAnsi="Arial"/>
          <w:sz w:val="17"/>
          <w:szCs w:val="17"/>
          <w:color w:val="auto"/>
        </w:rPr>
        <w:t>On April 12, 2019, the Company completed a private placement of $12,500,000 in six-month senior secured promissory notes. The Company has the right to draw an additional $12,500,000 from the lenders at any time within 120 days of closing. The notes accrue interest at an annual rate of 10.5%, payable on a monthly basis commencing June 1, 2019. Each $12,500,000 tranche also includes warrants to purchase 109,484 Subordinate Voting Shares at an exercise price of CAD $22.90, which can be exercised 42 months after the closing.</w:t>
      </w:r>
    </w:p>
    <w:p>
      <w:pPr>
        <w:spacing w:after="0" w:line="63"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On May 22, 2019, the Company completed a private placement of approximately $105.5 million in three-year senior secured promissory notes and extinguished the notes issued on April 12, 2019. The Company has the right to raise an additional approximately $44.5 million under the credit facility at any time within 180 days of closing. The Company also has the sole discretion to extend the financing an additional twelve months. The notes accrue interest at an annual rate of 12.0%, payable in cash on a quarterly basis commencing June 30, 2019. The purchasers of the Notes also received warrants to purchase 1,822,771 Subordinate Voting Shares at an exercise price of CAD $19.39, which can be exercised 60 months after the closing.</w:t>
      </w:r>
    </w:p>
    <w:p>
      <w:pPr>
        <w:spacing w:after="0" w:line="85" w:lineRule="exact"/>
        <w:rPr>
          <w:sz w:val="20"/>
          <w:szCs w:val="20"/>
          <w:color w:val="auto"/>
        </w:rPr>
      </w:pPr>
    </w:p>
    <w:p>
      <w:pPr>
        <w:ind w:left="640" w:right="60"/>
        <w:spacing w:after="0" w:line="259" w:lineRule="auto"/>
        <w:rPr>
          <w:sz w:val="20"/>
          <w:szCs w:val="20"/>
          <w:color w:val="auto"/>
        </w:rPr>
      </w:pPr>
      <w:r>
        <w:rPr>
          <w:rFonts w:ascii="Arial" w:cs="Arial" w:eastAsia="Arial" w:hAnsi="Arial"/>
          <w:sz w:val="18"/>
          <w:szCs w:val="18"/>
          <w:color w:val="auto"/>
        </w:rPr>
        <w:t>As part of the transaction reference in “h” below, GTI entered into the first amendment of the Notes Purchase Agreement whereby among other things, the amended agreement reduced the additional amount of funds available for borrowing from $44.5 million to $24.5 million and extended the time frame in which GTI may borrow these funds an additional 180 days to May 2020. As of September 30, 2019, GTI has not drawn any additional funds from the lenders.</w:t>
      </w:r>
    </w:p>
    <w:p>
      <w:pPr>
        <w:spacing w:after="0" w:line="331" w:lineRule="exact"/>
        <w:rPr>
          <w:sz w:val="20"/>
          <w:szCs w:val="20"/>
          <w:color w:val="auto"/>
        </w:rPr>
      </w:pPr>
    </w:p>
    <w:p>
      <w:pPr>
        <w:ind w:left="1180" w:hanging="544"/>
        <w:spacing w:after="0"/>
        <w:tabs>
          <w:tab w:leader="none" w:pos="11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121"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On November 12, 2019, the Company closed on a transaction to sell its Danville, Pennsylvania cultivation and processing facility to an unrelated third party. GTI will lease back the facility via a long-term agreement and continue to operate and manage it.</w:t>
      </w:r>
    </w:p>
    <w:p>
      <w:pPr>
        <w:spacing w:after="0" w:line="62"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73" w:lineRule="exact"/>
        <w:rPr>
          <w:sz w:val="20"/>
          <w:szCs w:val="20"/>
          <w:color w:val="auto"/>
        </w:rPr>
      </w:pPr>
    </w:p>
    <w:p>
      <w:pPr>
        <w:ind w:left="640" w:right="40"/>
        <w:spacing w:after="0" w:line="312" w:lineRule="auto"/>
        <w:rPr>
          <w:sz w:val="20"/>
          <w:szCs w:val="20"/>
          <w:color w:val="auto"/>
        </w:rPr>
      </w:pPr>
      <w:r>
        <w:rPr>
          <w:rFonts w:ascii="Arial" w:cs="Arial" w:eastAsia="Arial" w:hAnsi="Arial"/>
          <w:sz w:val="16"/>
          <w:szCs w:val="16"/>
          <w:color w:val="auto"/>
        </w:rPr>
        <w:t>As part of this transaction, GTI entered into the first amendment of the Notes Purchase Agreement whereby among other things, the amended agreement reduced the additional amount of funds available for borrowing from $44,533,571 to $24,533,571 and extended the time frame in which GTI may borrow these funds an additional 180 days to May 2020. Upon the execution of the amendment to the Note Purchase Agreement,</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60"/>
          </w:cols>
          <w:pgMar w:left="240" w:top="460"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Other Transactions </w:t>
      </w:r>
      <w:r>
        <w:rPr>
          <w:rFonts w:ascii="Arial" w:cs="Arial" w:eastAsia="Arial" w:hAnsi="Arial"/>
          <w:sz w:val="18"/>
          <w:szCs w:val="18"/>
          <w:color w:val="auto"/>
        </w:rPr>
        <w:t>(continued)</w:t>
      </w:r>
    </w:p>
    <w:p>
      <w:pPr>
        <w:spacing w:after="0" w:line="127" w:lineRule="exact"/>
        <w:rPr>
          <w:sz w:val="20"/>
          <w:szCs w:val="20"/>
          <w:color w:val="auto"/>
        </w:rPr>
      </w:pPr>
    </w:p>
    <w:p>
      <w:pPr>
        <w:ind w:left="1180" w:hanging="544"/>
        <w:spacing w:after="0"/>
        <w:tabs>
          <w:tab w:leader="none" w:pos="11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(Continued)</w:t>
      </w:r>
    </w:p>
    <w:p>
      <w:pPr>
        <w:spacing w:after="0" w:line="135"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the Purchasers of the notes received warrants to purchase 365,067 Subordinate Voting Shares at an exercise price of C$12.04 per share, which can be exercised for 60 months from the date of issuance. As of September 30, 2019, GTI has not drawn any additional funds from the lenders.</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60"/>
          </w:cols>
          <w:pgMar w:left="240" w:top="460"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Members and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Green Thumb Industries (GTI) Group of Companies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color w:val="auto"/>
        </w:rPr>
        <w:t>We have audited the accompanying combined balance sheet</w:t>
      </w:r>
      <w:r>
        <w:rPr>
          <w:rFonts w:ascii="Arial" w:cs="Arial" w:eastAsia="Arial" w:hAnsi="Arial"/>
          <w:sz w:val="18"/>
          <w:szCs w:val="18"/>
          <w:b w:val="1"/>
          <w:bCs w:val="1"/>
          <w:color w:val="auto"/>
        </w:rPr>
        <w:t>s</w:t>
      </w:r>
      <w:r>
        <w:rPr>
          <w:rFonts w:ascii="Arial" w:cs="Arial" w:eastAsia="Arial" w:hAnsi="Arial"/>
          <w:sz w:val="18"/>
          <w:szCs w:val="18"/>
          <w:color w:val="auto"/>
        </w:rPr>
        <w:t xml:space="preserve"> of Green Thumb Industries (GTI) Group of Companies (the “Company”) as of December 31, 2017 and 2016, the related combined statements of operations, changes in members’ equity and cash flows for each of the two years in the period ended December 31, 2017, and the related notes (collectively referred to as the “combined financial statements”). In our opinion, the combined financial statements present fairly, in all material respects, the financial position of the Company as of December 31, 2017 and 2016, and the combined results of its operations and its cash flows for each of the two years in the period ended December 31, 2017, in conformity with accounting principles generally accepted in the United States of America.</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w:t>
      </w:r>
      <w:r>
        <w:rPr>
          <w:rFonts w:ascii="Arial" w:cs="Arial" w:eastAsia="Arial" w:hAnsi="Arial"/>
          <w:sz w:val="17"/>
          <w:szCs w:val="17"/>
          <w:b w:val="1"/>
          <w:bCs w:val="1"/>
          <w:color w:val="auto"/>
        </w:rPr>
        <w:t>s</w:t>
      </w:r>
      <w:r>
        <w:rPr>
          <w:rFonts w:ascii="Arial" w:cs="Arial" w:eastAsia="Arial" w:hAnsi="Arial"/>
          <w:sz w:val="17"/>
          <w:szCs w:val="17"/>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ind w:left="384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29,565,497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12,955,518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300,347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Contribution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2,785,998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Due from 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1,188,686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38,845,805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14,984,371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31,558,357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16,276,574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14,161,995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86,213,250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35,042,585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4,044,760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431,662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8,861,376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14,280,657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3,618,602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301,105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Net of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7,206,673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21,788,435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3,618,602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2"/>
              </w:rPr>
              <w:t>Multiple Voting Shares (Shares Authorized: Unlimited, Shares Issued: 64,408,300, Shares Outstanding: 64,408,300)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w w:val="94"/>
              </w:rPr>
              <w:t>Super Voting Shares (Shares Authorized: Unlimited, Shares Issued: 43,119,800, Shares Outstanding: 43,119,800)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65,308,240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34,957,124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(4,249,775)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(3,533,141)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of Green Thumb Industries Inc.</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61,058,465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31,423,983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3,366,350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64,424,815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31,423,983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86,213,250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35,042,585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Operations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16,528,779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7,213,711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 of Goods Sold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(9,807,775)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(5,549,266)</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1,664,445</w:t>
            </w:r>
          </w:p>
        </w:tc>
        <w:tc>
          <w:tcPr>
            <w:tcW w:w="140" w:type="dxa"/>
            <w:vAlign w:val="bottom"/>
            <w:shd w:val="clear" w:color="auto" w:fill="CCEEFF"/>
          </w:tcPr>
          <w:p>
            <w:pPr>
              <w:spacing w:after="0"/>
              <w:rPr>
                <w:sz w:val="18"/>
                <w:szCs w:val="18"/>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11,039,124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4,540,518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190,384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51,345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71,807</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700"/>
              <w:spacing w:after="0"/>
              <w:rPr>
                <w:sz w:val="20"/>
                <w:szCs w:val="20"/>
                <w:color w:val="auto"/>
              </w:rPr>
            </w:pPr>
            <w:r>
              <w:rPr>
                <w:rFonts w:ascii="Arial" w:cs="Arial" w:eastAsia="Arial" w:hAnsi="Arial"/>
                <w:sz w:val="18"/>
                <w:szCs w:val="18"/>
                <w:b w:val="1"/>
                <w:bCs w:val="1"/>
                <w:color w:val="auto"/>
              </w:rPr>
              <w:t>Total Expenses</w:t>
            </w:r>
          </w:p>
        </w:tc>
        <w:tc>
          <w:tcPr>
            <w:tcW w:w="1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11,490,772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4,663,670</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(4,769,768)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(2,999,225)</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(308,827)</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(432,448)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(225,089)</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Other Income (Expense)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(533,916)</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Loss Before Provision for Income Taxes And Non-Controlling Interest</w:t>
            </w:r>
          </w:p>
        </w:tc>
        <w:tc>
          <w:tcPr>
            <w:tcW w:w="1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(4,657,817)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(3,533,141)</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Loss Before Non-Controlling Interest</w:t>
            </w:r>
          </w:p>
        </w:tc>
        <w:tc>
          <w:tcPr>
            <w:tcW w:w="1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(4,871,817)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(3,533,141)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GTI Group of Companies</w:t>
            </w:r>
          </w:p>
        </w:tc>
        <w:tc>
          <w:tcPr>
            <w:tcW w:w="1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(4,249,775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(3,533,141</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 diluted</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63,123,183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47,174,962</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125730</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Members’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Members’</w:t>
            </w:r>
          </w:p>
        </w:tc>
        <w:tc>
          <w:tcPr>
            <w:tcW w:w="1440" w:type="dxa"/>
            <w:vAlign w:val="bottom"/>
            <w:gridSpan w:val="4"/>
          </w:tcPr>
          <w:p>
            <w:pPr>
              <w:ind w:left="18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2016</w:t>
            </w:r>
          </w:p>
        </w:tc>
        <w:tc>
          <w:tcPr>
            <w:tcW w:w="1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$ 23,560,315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$ 23,560,315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11,401,809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11,401,809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(3,533,141)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(3,533,141)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31,423,983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31,423,983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65,385,608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774,468</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66,160,076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 payable and accrued interest into Class B units</w:t>
            </w:r>
          </w:p>
        </w:tc>
        <w:tc>
          <w:tcPr>
            <w:tcW w:w="1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2,279,452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Member contributions receivable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members</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(279,750)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Initial consolidation of Maryland Entities</w:t>
            </w:r>
          </w:p>
        </w:tc>
        <w:tc>
          <w:tcPr>
            <w:tcW w:w="1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934,472</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934,472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(34,007,599)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(34,007,599)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(4,249,775)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(622,042)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(4,871,817)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$ 61,058,465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$ 64,424,815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Net loss attributable to GTI Group of Companies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(4,249,775)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(3,533,141)</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(622,042)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Income from joint venture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(184,796)</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(592,026)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(238,166)</w:t>
            </w: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(1,804,844)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(537,714)</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(394,922)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(132,490)</w:t>
            </w: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Deposits and other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(901,768)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202,074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(296,989)</w:t>
            </w: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780,774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payable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(4,288,708)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(3,447,263)</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(14,244,340)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(1,130,082)</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related party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(1,188,686)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Purchases of licenses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(3,321,075)</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business, net of cash acquired</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(10,372,385)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(26,025,411)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(4,451,157)</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Contributions from members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66,160,076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11,401,809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members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(34,007,599)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Proceeds from issuance of notes payable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repayments of notes payable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46,924,098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13,396,809</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16,609,979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5,498,389</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12,955,518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7,457,129</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29,565,497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12,955,518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Interest paid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149,081</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Conversion of convertible notes and accrued interest into equity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2,279,452</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Initial consolidation of Maryland Entities, net of cash aquired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1,287,356</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160,000</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(514,805)</w:t>
            </w: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Acquisition (Note 5)</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483,058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Identifiable intangible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10,600,480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Liability assumed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(1,296,428)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10,372,385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Distributions payable to members</w:t>
            </w: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279,750</w:t>
            </w:r>
          </w:p>
        </w:tc>
        <w:tc>
          <w:tcPr>
            <w:tcW w:w="180" w:type="dxa"/>
            <w:vAlign w:val="bottom"/>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2,785,998</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1200"/>
        <w:spacing w:after="0" w:line="279" w:lineRule="auto"/>
        <w:rPr>
          <w:sz w:val="20"/>
          <w:szCs w:val="20"/>
          <w:color w:val="auto"/>
        </w:rPr>
      </w:pPr>
      <w:r>
        <w:rPr>
          <w:rFonts w:ascii="Arial" w:cs="Arial" w:eastAsia="Arial" w:hAnsi="Arial"/>
          <w:sz w:val="17"/>
          <w:szCs w:val="17"/>
          <w:color w:val="auto"/>
        </w:rPr>
        <w:t>Green Thumb Industries (the “Company” or “GTI”) is a vertically integrated cannabis operator that focuses on limited-licensed markets in the United States. As a vertically integrated provider, the Company owns cultivation, processing, and retail licenses across five State markets (Illinois, Maryland, Nevada, Pennsylvania and Massachusetts). The Company is fully licensed in its State markets and has acquired its various State licenses through competitive application processes and / or via purchase.</w:t>
      </w:r>
    </w:p>
    <w:p>
      <w:pPr>
        <w:spacing w:after="0" w:line="63" w:lineRule="exact"/>
        <w:rPr>
          <w:sz w:val="20"/>
          <w:szCs w:val="20"/>
          <w:color w:val="auto"/>
        </w:rPr>
      </w:pPr>
    </w:p>
    <w:p>
      <w:pPr>
        <w:ind w:left="1200" w:right="40"/>
        <w:spacing w:after="0" w:line="264" w:lineRule="auto"/>
        <w:rPr>
          <w:sz w:val="20"/>
          <w:szCs w:val="20"/>
          <w:color w:val="auto"/>
        </w:rPr>
      </w:pPr>
      <w:r>
        <w:rPr>
          <w:rFonts w:ascii="Arial" w:cs="Arial" w:eastAsia="Arial" w:hAnsi="Arial"/>
          <w:sz w:val="18"/>
          <w:szCs w:val="18"/>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w:t>
      </w:r>
    </w:p>
    <w:p>
      <w:pPr>
        <w:spacing w:after="0" w:line="326" w:lineRule="exact"/>
        <w:rPr>
          <w:sz w:val="20"/>
          <w:szCs w:val="20"/>
          <w:color w:val="auto"/>
        </w:rPr>
      </w:pPr>
    </w:p>
    <w:p>
      <w:pPr>
        <w:ind w:left="640" w:hanging="436"/>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12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combined financial statements for the year ended December 31, 2017 and 2016, have been prepared in accordance with accounting principles generally accepted in the United States of America (“GAAP”).</w:t>
      </w:r>
    </w:p>
    <w:p>
      <w:pPr>
        <w:spacing w:after="0" w:line="62"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80"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 Such share consolidation has been reflected retrospectively in these consolidated financial statements.</w:t>
      </w:r>
    </w:p>
    <w:p>
      <w:pPr>
        <w:spacing w:after="0" w:line="78" w:lineRule="exact"/>
        <w:rPr>
          <w:rFonts w:ascii="Arial" w:cs="Arial" w:eastAsia="Arial" w:hAnsi="Arial"/>
          <w:sz w:val="18"/>
          <w:szCs w:val="18"/>
          <w:b w:val="1"/>
          <w:bCs w:val="1"/>
          <w:color w:val="auto"/>
        </w:rPr>
      </w:pPr>
    </w:p>
    <w:p>
      <w:pPr>
        <w:ind w:left="1200" w:right="4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78"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GTI was the acquirer for accounting purposes and the net assets of Bayswater acquired were nil.</w:t>
      </w:r>
    </w:p>
    <w:p>
      <w:pPr>
        <w:spacing w:after="0" w:line="117"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to reflect that of the legal acquirer.</w:t>
      </w:r>
    </w:p>
    <w:p>
      <w:pPr>
        <w:spacing w:after="0" w:line="33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2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combined financial statements have been prepared on the going concern basis, under the historical cost convention, except for certain financial instruments that are measured at fair value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-4135755</wp:posOffset>
            </wp:positionV>
            <wp:extent cx="6997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20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combined financial statements are presented in U.S. dollars.</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Combination</w:t>
      </w:r>
    </w:p>
    <w:p>
      <w:pPr>
        <w:spacing w:after="0" w:line="121" w:lineRule="exact"/>
        <w:rPr>
          <w:rFonts w:ascii="Arial" w:cs="Arial" w:eastAsia="Arial" w:hAnsi="Arial"/>
          <w:sz w:val="18"/>
          <w:szCs w:val="18"/>
          <w:b w:val="1"/>
          <w:bCs w:val="1"/>
          <w:color w:val="auto"/>
        </w:rPr>
      </w:pPr>
    </w:p>
    <w:p>
      <w:pPr>
        <w:ind w:left="12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include entities which are controlled either through common control or common management. Common control exists when the same group of shareholders and/or Board members have the power, directly or indirectly, to govern the financial and operating policies of multiple entities and to expose them to variable returns from their activities. Common management exists when entities operate under the terms of management service agreements that empower the same group of people or entities to directly or indirectly govern the financial and operating policies of multiple entities and to expose them to the variable returns from their activities. All entities were either under common control or common management throughout the year ended December 31, 2017.</w:t>
      </w:r>
    </w:p>
    <w:p>
      <w:pPr>
        <w:spacing w:after="0" w:line="81" w:lineRule="exact"/>
        <w:rPr>
          <w:rFonts w:ascii="Arial" w:cs="Arial" w:eastAsia="Arial" w:hAnsi="Arial"/>
          <w:sz w:val="18"/>
          <w:szCs w:val="18"/>
          <w:b w:val="1"/>
          <w:bCs w:val="1"/>
          <w:color w:val="auto"/>
        </w:rPr>
      </w:pPr>
    </w:p>
    <w:p>
      <w:pPr>
        <w:ind w:left="120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combined financial statements for the year ended December 31, 2017 included the accounts of the following entities, either through common control (“CC”) or common management (“CM”).</w:t>
      </w:r>
    </w:p>
    <w:p>
      <w:pPr>
        <w:spacing w:after="0" w:line="75" w:lineRule="exact"/>
        <w:rPr>
          <w:rFonts w:ascii="Arial" w:cs="Arial" w:eastAsia="Arial" w:hAnsi="Arial"/>
          <w:sz w:val="18"/>
          <w:szCs w:val="18"/>
          <w:b w:val="1"/>
          <w:bCs w:val="1"/>
          <w:color w:val="auto"/>
        </w:rPr>
      </w:pPr>
    </w:p>
    <w:p>
      <w:pPr>
        <w:ind w:left="1620" w:hanging="322"/>
        <w:spacing w:after="0"/>
        <w:tabs>
          <w:tab w:leader="none" w:pos="16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RCP23, LLC, a Delaware limited liability company – CC and CM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VCP23, LLC, a Delaware limited liability company – CC and CM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GTI Clinic Illinois Holdings, LLC, an Illinois limited liability company – 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-2960370</wp:posOffset>
            </wp:positionV>
            <wp:extent cx="6997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All significant intercompany balances and transactions were eliminated in combination.</w:t>
      </w:r>
    </w:p>
    <w:p>
      <w:pPr>
        <w:spacing w:after="0" w:line="370" w:lineRule="exact"/>
        <w:rPr>
          <w:sz w:val="20"/>
          <w:szCs w:val="20"/>
          <w:color w:val="auto"/>
        </w:rPr>
      </w:pPr>
    </w:p>
    <w:p>
      <w:pPr>
        <w:ind w:left="1180" w:hanging="544"/>
        <w:spacing w:after="0"/>
        <w:tabs>
          <w:tab w:leader="none" w:pos="1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2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309"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2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As of December 31, 2017, and 2016, the Company determined that an allowance for doubtful accounts was not required and no accounts were written off during the periods presented</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60"/>
          </w:cols>
          <w:pgMar w:left="240" w:top="460"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200" w:right="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Net realizable value is determined as the estimated selling price in the ordinary course of business less the estimated costs of completion and the estimated costs necessary to make the sale. Cost is determined using the weighted average cost basis. The Company reviews inventory for obsolete, redundant and slow-moving goods and any such inventories are written down to net realizable value.</w:t>
      </w:r>
    </w:p>
    <w:p>
      <w:pPr>
        <w:spacing w:after="0" w:line="29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2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-2298065</wp:posOffset>
            </wp:positionV>
            <wp:extent cx="6997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4"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Land</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92"/>
              </w:rPr>
              <w:t>Not Depreciated</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88"/>
              </w:rPr>
              <w:t>39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86"/>
              </w:rPr>
              <w:t>5 - 7 Years</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200" w:right="4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331" w:lineRule="exact"/>
        <w:rPr>
          <w:sz w:val="20"/>
          <w:szCs w:val="20"/>
          <w:color w:val="auto"/>
        </w:rPr>
      </w:pPr>
    </w:p>
    <w:p>
      <w:pPr>
        <w:ind w:left="1180" w:hanging="544"/>
        <w:spacing w:after="0"/>
        <w:tabs>
          <w:tab w:leader="none" w:pos="11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20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which do not exceed the contractual period, if any, over the following terms:</w:t>
      </w:r>
    </w:p>
    <w:p>
      <w:pPr>
        <w:spacing w:after="0" w:line="7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Licenses and Permits</w:t>
            </w:r>
          </w:p>
        </w:tc>
        <w:tc>
          <w:tcPr>
            <w:tcW w:w="2960" w:type="dxa"/>
            <w:vAlign w:val="bottom"/>
          </w:tcPr>
          <w:p>
            <w:pPr>
              <w:jc w:val="center"/>
              <w:ind w:left="2150"/>
              <w:spacing w:after="0"/>
              <w:rPr>
                <w:sz w:val="20"/>
                <w:szCs w:val="20"/>
                <w:color w:val="auto"/>
              </w:rPr>
            </w:pPr>
            <w:r>
              <w:rPr>
                <w:rFonts w:ascii="Arial" w:cs="Arial" w:eastAsia="Arial" w:hAnsi="Arial"/>
                <w:sz w:val="18"/>
                <w:szCs w:val="18"/>
                <w:color w:val="auto"/>
                <w:w w:val="86"/>
              </w:rPr>
              <w:t>15 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Tradenames</w:t>
            </w:r>
          </w:p>
        </w:tc>
        <w:tc>
          <w:tcPr>
            <w:tcW w:w="2960" w:type="dxa"/>
            <w:vAlign w:val="bottom"/>
          </w:tcPr>
          <w:p>
            <w:pPr>
              <w:jc w:val="center"/>
              <w:ind w:left="2170"/>
              <w:spacing w:after="0"/>
              <w:rPr>
                <w:sz w:val="20"/>
                <w:szCs w:val="20"/>
                <w:color w:val="auto"/>
              </w:rPr>
            </w:pPr>
            <w:r>
              <w:rPr>
                <w:rFonts w:ascii="Arial" w:cs="Arial" w:eastAsia="Arial" w:hAnsi="Arial"/>
                <w:sz w:val="18"/>
                <w:szCs w:val="18"/>
                <w:color w:val="auto"/>
                <w:w w:val="95"/>
              </w:rPr>
              <w:t>Indefinite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Patient Relationships</w:t>
            </w:r>
          </w:p>
        </w:tc>
        <w:tc>
          <w:tcPr>
            <w:tcW w:w="2960" w:type="dxa"/>
            <w:vAlign w:val="bottom"/>
          </w:tcPr>
          <w:p>
            <w:pPr>
              <w:jc w:val="center"/>
              <w:ind w:left="2150"/>
              <w:spacing w:after="0"/>
              <w:rPr>
                <w:sz w:val="20"/>
                <w:szCs w:val="20"/>
                <w:color w:val="auto"/>
              </w:rPr>
            </w:pPr>
            <w:r>
              <w:rPr>
                <w:rFonts w:ascii="Arial" w:cs="Arial" w:eastAsia="Arial" w:hAnsi="Arial"/>
                <w:sz w:val="18"/>
                <w:szCs w:val="18"/>
                <w:color w:val="auto"/>
                <w:w w:val="88"/>
              </w:rPr>
              <w:t>5 years</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960" w:type="dxa"/>
            <w:vAlign w:val="bottom"/>
          </w:tcPr>
          <w:p>
            <w:pPr>
              <w:jc w:val="center"/>
              <w:ind w:left="2150"/>
              <w:spacing w:after="0"/>
              <w:rPr>
                <w:sz w:val="20"/>
                <w:szCs w:val="20"/>
                <w:color w:val="auto"/>
              </w:rPr>
            </w:pPr>
            <w:r>
              <w:rPr>
                <w:rFonts w:ascii="Arial" w:cs="Arial" w:eastAsia="Arial" w:hAnsi="Arial"/>
                <w:sz w:val="18"/>
                <w:szCs w:val="18"/>
                <w:color w:val="auto"/>
                <w:w w:val="88"/>
              </w:rPr>
              <w:t>2 years</w:t>
            </w:r>
          </w:p>
        </w:tc>
      </w:tr>
    </w:tbl>
    <w:p>
      <w:pPr>
        <w:spacing w:after="0" w:line="94" w:lineRule="exact"/>
        <w:rPr>
          <w:sz w:val="20"/>
          <w:szCs w:val="20"/>
          <w:color w:val="auto"/>
        </w:rPr>
      </w:pPr>
    </w:p>
    <w:p>
      <w:pPr>
        <w:ind w:left="1200" w:right="400"/>
        <w:spacing w:after="0" w:line="277" w:lineRule="auto"/>
        <w:rPr>
          <w:sz w:val="20"/>
          <w:szCs w:val="20"/>
          <w:color w:val="auto"/>
        </w:rPr>
      </w:pPr>
      <w:r>
        <w:rPr>
          <w:rFonts w:ascii="Arial" w:cs="Arial" w:eastAsia="Arial" w:hAnsi="Arial"/>
          <w:sz w:val="18"/>
          <w:szCs w:val="18"/>
          <w:color w:val="auto"/>
        </w:rPr>
        <w:t>The estimated useful lives, residual values, and amortization methods are reviewed at each year end, and any changes in estimates are accounted for prospectively.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3" w:lineRule="exact"/>
        <w:rPr>
          <w:rFonts w:ascii="Arial" w:cs="Arial" w:eastAsia="Arial" w:hAnsi="Arial"/>
          <w:sz w:val="18"/>
          <w:szCs w:val="18"/>
          <w:b w:val="1"/>
          <w:bCs w:val="1"/>
          <w:color w:val="auto"/>
        </w:rPr>
      </w:pPr>
    </w:p>
    <w:p>
      <w:pPr>
        <w:ind w:left="120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is not subject to amortization and is tested annually for impairment, or more frequently if events or changes in circumstances indicate that they might be impaired.</w:t>
      </w:r>
    </w:p>
    <w:p>
      <w:pPr>
        <w:spacing w:after="0" w:line="62" w:lineRule="exact"/>
        <w:rPr>
          <w:rFonts w:ascii="Arial" w:cs="Arial" w:eastAsia="Arial" w:hAnsi="Arial"/>
          <w:sz w:val="18"/>
          <w:szCs w:val="18"/>
          <w:b w:val="1"/>
          <w:bCs w:val="1"/>
          <w:color w:val="auto"/>
        </w:rPr>
      </w:pPr>
    </w:p>
    <w:p>
      <w:pPr>
        <w:ind w:left="120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32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lease is classified as a finance lease if it transfers substantially all the risks and rewards incidental to ownership to the lessee. All other leases are classified as operating leases. Lease payments under operating leases are recognized as an expense on a straight-line basis over the lease term, except where another systematic basis is more representative of the time pattern in which the economic benefits are consumed. Lease inducement, which corresponds to a free rent period are deferred and recognized as an expense on straight line basis over the period the inducement was received.</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 Payable</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2017, the Company had a convertible promissory note. Management evaluated the convertible note to determine whether the conversion feature required bifurcation from the host instrument, which management concluded it did not, and whether the conversion feature was a beneficial conversion feature, which similarly was concluded to not be beneficial. Accordingly, the convertible note was accounted for entirely as a liability instrument through conversion.</w:t>
      </w:r>
    </w:p>
    <w:p>
      <w:pPr>
        <w:spacing w:after="0" w:line="33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1200" w:right="4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-5505450</wp:posOffset>
            </wp:positionV>
            <wp:extent cx="6997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reduced by a valuation allowance when, in the opinion of management, it is more likely than not that some portion or all of the deferred tax assets will not be realized.</w:t>
      </w:r>
    </w:p>
    <w:p>
      <w:pPr>
        <w:spacing w:after="0" w:line="62"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the year ended December 31, 2017, Federal and State income tax expense totaled $214,000 and is computed on taxable income of GTI Nevada LLC, in which GTI Core, LLC holds a 57.5% ownership interest. In 2017, GTI Core, LLC elected to be taxed as a C Corporation. For the years ended December 31, 2017 and 2016, all of the other Green Thumb Industries (GTI) Group of Companies were treated as limited liability companies and, accordingly, taxable income and losses flowed through to the respective members.</w:t>
      </w:r>
    </w:p>
    <w:p>
      <w:pPr>
        <w:spacing w:after="0" w:line="46" w:lineRule="exact"/>
        <w:rPr>
          <w:rFonts w:ascii="Arial" w:cs="Arial" w:eastAsia="Arial" w:hAnsi="Arial"/>
          <w:sz w:val="18"/>
          <w:szCs w:val="18"/>
          <w:b w:val="1"/>
          <w:bCs w:val="1"/>
          <w:color w:val="auto"/>
        </w:rPr>
      </w:pPr>
    </w:p>
    <w:p>
      <w:pPr>
        <w:ind w:left="12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Company operates in the cannabis industry, it is subject to the limits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at the fair value of consideration received or receivable. Revenue from the sale of goods is recognized when all the following conditions have been satisfied, which are generally met once the products are shipped to customers:</w:t>
      </w:r>
    </w:p>
    <w:p>
      <w:pPr>
        <w:spacing w:after="0" w:line="51" w:lineRule="exact"/>
        <w:rPr>
          <w:rFonts w:ascii="Arial" w:cs="Arial" w:eastAsia="Arial" w:hAnsi="Arial"/>
          <w:sz w:val="18"/>
          <w:szCs w:val="18"/>
          <w:b w:val="1"/>
          <w:bCs w:val="1"/>
          <w:color w:val="auto"/>
        </w:rPr>
      </w:pPr>
    </w:p>
    <w:p>
      <w:pPr>
        <w:ind w:left="1620" w:hanging="322"/>
        <w:spacing w:after="0"/>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Company has transferred the significant risks and rewards of ownership of the goods to the customer;</w:t>
      </w:r>
    </w:p>
    <w:p>
      <w:pPr>
        <w:spacing w:after="0" w:line="130" w:lineRule="exact"/>
        <w:rPr>
          <w:rFonts w:ascii="Arial" w:cs="Arial" w:eastAsia="Arial" w:hAnsi="Arial"/>
          <w:sz w:val="18"/>
          <w:szCs w:val="18"/>
          <w:color w:val="auto"/>
        </w:rPr>
      </w:pPr>
    </w:p>
    <w:p>
      <w:pPr>
        <w:ind w:left="1620" w:right="420" w:hanging="322"/>
        <w:spacing w:after="0" w:line="277" w:lineRule="auto"/>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customer;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369" w:lineRule="exact"/>
        <w:rPr>
          <w:rFonts w:ascii="Arial" w:cs="Arial" w:eastAsia="Arial" w:hAnsi="Arial"/>
          <w:sz w:val="18"/>
          <w:szCs w:val="18"/>
          <w:color w:val="auto"/>
        </w:rPr>
      </w:pPr>
    </w:p>
    <w:p>
      <w:pPr>
        <w:ind w:left="1180" w:hanging="544"/>
        <w:spacing w:after="0"/>
        <w:tabs>
          <w:tab w:leader="none" w:pos="1180"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12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-5236845</wp:posOffset>
            </wp:positionV>
            <wp:extent cx="6997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80"/>
          </w:cols>
          <w:pgMar w:left="240" w:top="460"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5" w:lineRule="exact"/>
        <w:rPr>
          <w:sz w:val="20"/>
          <w:szCs w:val="20"/>
          <w:color w:val="auto"/>
        </w:rPr>
      </w:pPr>
    </w:p>
    <w:p>
      <w:pPr>
        <w:ind w:left="1200" w:right="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9"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right="128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There have been no transfers between fair value levels during the years ended December 31, 2017 and 2016.</w:t>
      </w:r>
    </w:p>
    <w:p>
      <w:pPr>
        <w:spacing w:after="0" w:line="370" w:lineRule="exact"/>
        <w:rPr>
          <w:sz w:val="20"/>
          <w:szCs w:val="20"/>
          <w:color w:val="auto"/>
        </w:rPr>
      </w:pPr>
    </w:p>
    <w:p>
      <w:pPr>
        <w:ind w:left="1180" w:hanging="544"/>
        <w:spacing w:after="0"/>
        <w:tabs>
          <w:tab w:leader="none" w:pos="1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3" w:lineRule="exact"/>
        <w:rPr>
          <w:rFonts w:ascii="Arial" w:cs="Arial" w:eastAsia="Arial" w:hAnsi="Arial"/>
          <w:sz w:val="18"/>
          <w:szCs w:val="18"/>
          <w:b w:val="1"/>
          <w:bCs w:val="1"/>
          <w:color w:val="auto"/>
        </w:rPr>
      </w:pPr>
    </w:p>
    <w:p>
      <w:pPr>
        <w:jc w:val="both"/>
        <w:ind w:left="12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combined statement of operations.</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20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w:t>
      </w:r>
    </w:p>
    <w:p>
      <w:pPr>
        <w:spacing w:after="0" w:line="38" w:lineRule="exact"/>
        <w:rPr>
          <w:rFonts w:ascii="Arial" w:cs="Arial" w:eastAsia="Arial" w:hAnsi="Arial"/>
          <w:sz w:val="18"/>
          <w:szCs w:val="18"/>
          <w:b w:val="1"/>
          <w:bCs w:val="1"/>
          <w:color w:val="auto"/>
        </w:rPr>
      </w:pPr>
    </w:p>
    <w:p>
      <w:pPr>
        <w:ind w:left="1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Diluted income per share is calculated by adjusting the weighted average number of common shares outstanding to assume conversion of all dilutive potential common shares. 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increase diluted earnings per share or decrease loss per share. The Company did not issue nor were there any restricted stock units or stock options outstanding at December 31, 2017 and 2016.</w:t>
      </w:r>
    </w:p>
    <w:p>
      <w:pPr>
        <w:spacing w:after="0" w:line="337"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20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Business combinations are accounted for using the acquisition method. The consideration transferred in a business combination is measured at fair value at the date of acquisition. Acquisition related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Combined Statements of Operations immediately as a gain or loss on acquisition.</w:t>
      </w:r>
    </w:p>
    <w:p>
      <w:pPr>
        <w:spacing w:after="0" w:line="85"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20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denominated in currencies other than GTI’s functional currency are initially measured in the functional currencies at the transaction date exchange rate (as applicable).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 GTI did not have any foreign currency transactions during 2017 or 2016.</w:t>
      </w:r>
    </w:p>
    <w:p>
      <w:pPr>
        <w:spacing w:after="0" w:line="29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2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was no impairment charge related to intangible assets or property, plant and equipment for the years ended December 31, 2017 and 2016.</w:t>
      </w:r>
    </w:p>
    <w:p>
      <w:pPr>
        <w:spacing w:after="0" w:line="327"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Company’s combined financial statements requires management to make judgments, estimates and assumptions that affect the application of policies and reported amounts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-5567680</wp:posOffset>
            </wp:positionV>
            <wp:extent cx="6997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38"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combined financial statements are described below.</w:t>
      </w:r>
    </w:p>
    <w:p>
      <w:pPr>
        <w:spacing w:after="0" w:line="319" w:lineRule="exact"/>
        <w:rPr>
          <w:rFonts w:ascii="Arial" w:cs="Arial" w:eastAsia="Arial" w:hAnsi="Arial"/>
          <w:sz w:val="18"/>
          <w:szCs w:val="18"/>
          <w:b w:val="1"/>
          <w:bCs w:val="1"/>
          <w:color w:val="auto"/>
        </w:rPr>
      </w:pPr>
    </w:p>
    <w:p>
      <w:pPr>
        <w:ind w:left="1620" w:hanging="430"/>
        <w:spacing w:after="0"/>
        <w:tabs>
          <w:tab w:leader="none" w:pos="1620" w:val="left"/>
        </w:tabs>
        <w:numPr>
          <w:ilvl w:val="2"/>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2(j))</w:t>
      </w:r>
    </w:p>
    <w:p>
      <w:pPr>
        <w:spacing w:after="0" w:line="117" w:lineRule="exact"/>
        <w:rPr>
          <w:rFonts w:ascii="Arial" w:cs="Arial" w:eastAsia="Arial" w:hAnsi="Arial"/>
          <w:sz w:val="18"/>
          <w:szCs w:val="18"/>
          <w:i w:val="1"/>
          <w:iCs w:val="1"/>
          <w:color w:val="auto"/>
        </w:rPr>
      </w:pPr>
    </w:p>
    <w:p>
      <w:pPr>
        <w:ind w:left="16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might be impaired.</w:t>
      </w:r>
    </w:p>
    <w:p>
      <w:pPr>
        <w:spacing w:after="0" w:line="57" w:lineRule="exact"/>
        <w:rPr>
          <w:rFonts w:ascii="Arial" w:cs="Arial" w:eastAsia="Arial" w:hAnsi="Arial"/>
          <w:sz w:val="18"/>
          <w:szCs w:val="18"/>
          <w:i w:val="1"/>
          <w:iCs w:val="1"/>
          <w:color w:val="auto"/>
        </w:rPr>
      </w:pPr>
    </w:p>
    <w:p>
      <w:pPr>
        <w:ind w:left="1640" w:right="10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From time to time, the Company reviews the useful lives assigned to each of its intangible assets and may make adjusts to those useful lives if the Company determines that the pattern in which the economic benefits associated with those intangibles is different than initially determined.</w:t>
      </w:r>
    </w:p>
    <w:p>
      <w:pPr>
        <w:spacing w:after="0" w:line="329"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64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3" w:lineRule="exact"/>
        <w:rPr>
          <w:rFonts w:ascii="Arial" w:cs="Arial" w:eastAsia="Arial" w:hAnsi="Arial"/>
          <w:sz w:val="18"/>
          <w:szCs w:val="18"/>
          <w:i w:val="1"/>
          <w:iCs w:val="1"/>
          <w:color w:val="auto"/>
        </w:rPr>
      </w:pPr>
    </w:p>
    <w:p>
      <w:pPr>
        <w:ind w:left="1640" w:right="2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w:t>
      </w:r>
    </w:p>
    <w:p>
      <w:pPr>
        <w:spacing w:after="0" w:line="326"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6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-5962650</wp:posOffset>
            </wp:positionV>
            <wp:extent cx="6997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6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321"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64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10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 operates as of December 31, 2017: Illinois, Maryland, Massachusetts, Nevada and Pennsylvania.</w:t>
      </w:r>
    </w:p>
    <w:p>
      <w:pPr>
        <w:spacing w:after="0" w:line="341"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640" w:right="26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30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7"/>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64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 For further details,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-4876800</wp:posOffset>
            </wp:positionV>
            <wp:extent cx="6997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2" w:lineRule="exact"/>
        <w:rPr>
          <w:sz w:val="20"/>
          <w:szCs w:val="20"/>
          <w:color w:val="auto"/>
        </w:rPr>
      </w:pPr>
    </w:p>
    <w:p>
      <w:pPr>
        <w:ind w:left="1180" w:hanging="544"/>
        <w:spacing w:after="0"/>
        <w:tabs>
          <w:tab w:leader="none" w:pos="11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Pronouncements Applicable in Future Years</w:t>
      </w:r>
    </w:p>
    <w:p>
      <w:pPr>
        <w:spacing w:after="0" w:line="134" w:lineRule="exact"/>
        <w:rPr>
          <w:rFonts w:ascii="Arial" w:cs="Arial" w:eastAsia="Arial" w:hAnsi="Arial"/>
          <w:sz w:val="18"/>
          <w:szCs w:val="18"/>
          <w:b w:val="1"/>
          <w:bCs w:val="1"/>
          <w:color w:val="auto"/>
        </w:rPr>
      </w:pPr>
    </w:p>
    <w:p>
      <w:pPr>
        <w:ind w:left="1620" w:right="520" w:hanging="430"/>
        <w:spacing w:after="0" w:line="277" w:lineRule="auto"/>
        <w:tabs>
          <w:tab w:leader="none" w:pos="1620" w:val="left"/>
        </w:tabs>
        <w:numPr>
          <w:ilvl w:val="1"/>
          <w:numId w:val="148"/>
        </w:numPr>
        <w:rPr>
          <w:rFonts w:ascii="Arial" w:cs="Arial" w:eastAsia="Arial" w:hAnsi="Arial"/>
          <w:sz w:val="18"/>
          <w:szCs w:val="18"/>
          <w:i w:val="1"/>
          <w:iCs w:val="1"/>
          <w:color w:val="auto"/>
        </w:rPr>
      </w:pPr>
      <w:r>
        <w:rPr>
          <w:rFonts w:ascii="Arial" w:cs="Arial" w:eastAsia="Arial" w:hAnsi="Arial"/>
          <w:sz w:val="18"/>
          <w:szCs w:val="18"/>
          <w:color w:val="auto"/>
        </w:rPr>
        <w:t>In January 2017, the FASB issued Accounting Standards Update No. 2017-04 “Intangibles—Goodwill and Other (Topic 350): Simplifying the Test for Goodwill Impairment” (“ASU</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Pronouncements Applicable in Future Years </w:t>
      </w:r>
      <w:r>
        <w:rPr>
          <w:rFonts w:ascii="Arial" w:cs="Arial" w:eastAsia="Arial" w:hAnsi="Arial"/>
          <w:sz w:val="18"/>
          <w:szCs w:val="18"/>
          <w:color w:val="auto"/>
        </w:rPr>
        <w:t>(continued)</w:t>
      </w:r>
    </w:p>
    <w:p>
      <w:pPr>
        <w:spacing w:after="0" w:line="135" w:lineRule="exact"/>
        <w:rPr>
          <w:sz w:val="20"/>
          <w:szCs w:val="20"/>
          <w:color w:val="auto"/>
        </w:rPr>
      </w:pPr>
    </w:p>
    <w:p>
      <w:pPr>
        <w:ind w:left="1640" w:right="80"/>
        <w:spacing w:after="0" w:line="257" w:lineRule="auto"/>
        <w:rPr>
          <w:sz w:val="20"/>
          <w:szCs w:val="20"/>
          <w:color w:val="auto"/>
        </w:rPr>
      </w:pPr>
      <w:r>
        <w:rPr>
          <w:rFonts w:ascii="Arial" w:cs="Arial" w:eastAsia="Arial" w:hAnsi="Arial"/>
          <w:sz w:val="18"/>
          <w:szCs w:val="18"/>
          <w:color w:val="auto"/>
        </w:rPr>
        <w:t>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94" w:lineRule="exact"/>
        <w:rPr>
          <w:sz w:val="20"/>
          <w:szCs w:val="20"/>
          <w:color w:val="auto"/>
        </w:rPr>
      </w:pPr>
    </w:p>
    <w:p>
      <w:pPr>
        <w:ind w:left="1620" w:right="120" w:hanging="430"/>
        <w:spacing w:after="0" w:line="285" w:lineRule="auto"/>
        <w:tabs>
          <w:tab w:leader="none" w:pos="1620" w:val="left"/>
        </w:tabs>
        <w:numPr>
          <w:ilvl w:val="0"/>
          <w:numId w:val="151"/>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w:t>
      </w:r>
    </w:p>
    <w:p>
      <w:pPr>
        <w:spacing w:after="0" w:line="2" w:lineRule="exact"/>
        <w:rPr>
          <w:rFonts w:ascii="Arial" w:cs="Arial" w:eastAsia="Arial" w:hAnsi="Arial"/>
          <w:sz w:val="16"/>
          <w:szCs w:val="16"/>
          <w:i w:val="1"/>
          <w:iCs w:val="1"/>
          <w:color w:val="auto"/>
        </w:rPr>
      </w:pPr>
    </w:p>
    <w:p>
      <w:pPr>
        <w:ind w:left="1620" w:right="20"/>
        <w:spacing w:after="0" w:line="261" w:lineRule="auto"/>
        <w:rPr>
          <w:rFonts w:ascii="Arial" w:cs="Arial" w:eastAsia="Arial" w:hAnsi="Arial"/>
          <w:sz w:val="16"/>
          <w:szCs w:val="16"/>
          <w:i w:val="1"/>
          <w:iCs w:val="1"/>
          <w:color w:val="auto"/>
        </w:rPr>
      </w:pPr>
      <w:r>
        <w:rPr>
          <w:rFonts w:ascii="Arial" w:cs="Arial" w:eastAsia="Arial" w:hAnsi="Arial"/>
          <w:sz w:val="18"/>
          <w:szCs w:val="18"/>
          <w:color w:val="auto"/>
        </w:rPr>
        <w:t>2016-02 is permitted; however the Company plans to adopt the standard in the first quarter of 2019. Upon adoption of ASU 2016-02, the Company anticipates recording material right-of-use assets and lease liabilities.</w:t>
      </w:r>
    </w:p>
    <w:p>
      <w:pPr>
        <w:spacing w:after="0" w:line="89" w:lineRule="exact"/>
        <w:rPr>
          <w:rFonts w:ascii="Arial" w:cs="Arial" w:eastAsia="Arial" w:hAnsi="Arial"/>
          <w:sz w:val="16"/>
          <w:szCs w:val="16"/>
          <w:i w:val="1"/>
          <w:iCs w:val="1"/>
          <w:color w:val="auto"/>
        </w:rPr>
      </w:pPr>
    </w:p>
    <w:p>
      <w:pPr>
        <w:ind w:left="1620" w:right="20" w:hanging="430"/>
        <w:spacing w:after="0" w:line="285" w:lineRule="auto"/>
        <w:tabs>
          <w:tab w:leader="none" w:pos="1620" w:val="left"/>
        </w:tabs>
        <w:numPr>
          <w:ilvl w:val="0"/>
          <w:numId w:val="151"/>
        </w:numPr>
        <w:rPr>
          <w:rFonts w:ascii="Arial" w:cs="Arial" w:eastAsia="Arial" w:hAnsi="Arial"/>
          <w:sz w:val="16"/>
          <w:szCs w:val="16"/>
          <w:i w:val="1"/>
          <w:iCs w:val="1"/>
          <w:color w:val="auto"/>
        </w:rPr>
      </w:pPr>
      <w:r>
        <w:rPr>
          <w:rFonts w:ascii="Arial" w:cs="Arial" w:eastAsia="Arial" w:hAnsi="Arial"/>
          <w:sz w:val="16"/>
          <w:szCs w:val="16"/>
          <w:color w:val="auto"/>
        </w:rPr>
        <w:t>In May 2014, the FASB issued ASU 2014-09 “Revenue from Contracts with Customers (Topic 606)” (“ASU 2014-09”), which outlines a single comprehensive model for entities to use in accounting for revenue using a five-step process that supersedes virtually all existing revenue guidance. ASU 2014-09 also requires additional quantitative and qualitative disclosures. In August 2015, the FASB issued Accounting Standards Update No. 2015-14 “Revenue from Contracts with Customers (Topic 606): Deferral of the Effective Date” (“ASU 2015-14”), which defers the effective date of ASU 2014-09 to January 1, 2018. Early adoption of ASU</w:t>
      </w:r>
    </w:p>
    <w:p>
      <w:pPr>
        <w:spacing w:after="0" w:line="2" w:lineRule="exact"/>
        <w:rPr>
          <w:rFonts w:ascii="Arial" w:cs="Arial" w:eastAsia="Arial" w:hAnsi="Arial"/>
          <w:sz w:val="16"/>
          <w:szCs w:val="16"/>
          <w:i w:val="1"/>
          <w:iCs w:val="1"/>
          <w:color w:val="auto"/>
        </w:rPr>
      </w:pPr>
    </w:p>
    <w:p>
      <w:pPr>
        <w:ind w:left="1620" w:right="120"/>
        <w:spacing w:after="0" w:line="271" w:lineRule="auto"/>
        <w:rPr>
          <w:rFonts w:ascii="Arial" w:cs="Arial" w:eastAsia="Arial" w:hAnsi="Arial"/>
          <w:sz w:val="16"/>
          <w:szCs w:val="16"/>
          <w:i w:val="1"/>
          <w:iCs w:val="1"/>
          <w:color w:val="auto"/>
        </w:rPr>
      </w:pPr>
      <w:r>
        <w:rPr>
          <w:rFonts w:ascii="Arial" w:cs="Arial" w:eastAsia="Arial" w:hAnsi="Arial"/>
          <w:sz w:val="17"/>
          <w:szCs w:val="17"/>
          <w:color w:val="auto"/>
        </w:rPr>
        <w:t>2014-09 is permitted; however, the Company will adopt the standard in the first quarter of 2018. The standard allows the option of either a full retrospective adoption, meaning the standard is applied to all periods presented, or a modified retrospective adoption, meaning the standard is applied only to the most current period. The Company will apply the modified retrospective approach when adopting the standard in 2018. Based on the Company’s assessment, the adoption of this new standard is not expected to have an impact on the amounts recognized in its combined financial statements.</w:t>
      </w:r>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48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8"/>
        </w:trPr>
        <w:tc>
          <w:tcPr>
            <w:tcW w:w="1340" w:type="dxa"/>
            <w:vAlign w:val="bottom"/>
            <w:tcBorders>
              <w:bottom w:val="single" w:sz="8" w:color="auto"/>
            </w:tcBorders>
            <w:gridSpan w:val="2"/>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18"/>
        </w:trPr>
        <w:tc>
          <w:tcPr>
            <w:tcW w:w="5080" w:type="dxa"/>
            <w:vAlign w:val="bottom"/>
            <w:gridSpan w:val="3"/>
          </w:tcPr>
          <w:p>
            <w:pPr>
              <w:spacing w:after="0"/>
              <w:rPr>
                <w:sz w:val="20"/>
                <w:szCs w:val="20"/>
                <w:color w:val="auto"/>
              </w:rPr>
            </w:pPr>
            <w:r>
              <w:rPr>
                <w:rFonts w:ascii="Arial" w:cs="Arial" w:eastAsia="Arial" w:hAnsi="Arial"/>
                <w:sz w:val="18"/>
                <w:szCs w:val="18"/>
                <w:color w:val="auto"/>
                <w:w w:val="96"/>
              </w:rPr>
              <w:t>The Company’s inventories include the following at December 31:</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4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2016</w:t>
            </w:r>
          </w:p>
        </w:tc>
        <w:tc>
          <w:tcPr>
            <w:tcW w:w="13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601,227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477,675</w:t>
            </w: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Miscellaneous</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500,765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138,378</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480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1,101,992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616,053</w:t>
            </w: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1,357,535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686,745</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Finished Goods</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1,403,335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272,162</w:t>
            </w: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3,862,862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1,574,960</w:t>
            </w:r>
          </w:p>
        </w:tc>
        <w:tc>
          <w:tcPr>
            <w:tcW w:w="134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80" w:type="dxa"/>
            <w:vAlign w:val="bottom"/>
            <w:gridSpan w:val="2"/>
          </w:tcPr>
          <w:p>
            <w:pPr>
              <w:jc w:val="right"/>
              <w:ind w:right="1780"/>
              <w:spacing w:after="0"/>
              <w:rPr>
                <w:sz w:val="20"/>
                <w:szCs w:val="20"/>
                <w:color w:val="auto"/>
              </w:rPr>
            </w:pPr>
            <w:r>
              <w:rPr>
                <w:rFonts w:ascii="Arial" w:cs="Arial" w:eastAsia="Arial" w:hAnsi="Arial"/>
                <w:sz w:val="18"/>
                <w:szCs w:val="18"/>
                <w:color w:val="auto"/>
              </w:rPr>
              <w:t>F-62</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8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8"/>
        </w:trPr>
        <w:tc>
          <w:tcPr>
            <w:tcW w:w="1340" w:type="dxa"/>
            <w:vAlign w:val="bottom"/>
            <w:tcBorders>
              <w:bottom w:val="single" w:sz="8" w:color="auto"/>
            </w:tcBorders>
            <w:gridSpan w:val="2"/>
          </w:tcPr>
          <w:p>
            <w:pPr>
              <w:spacing w:after="0"/>
              <w:rPr>
                <w:sz w:val="5"/>
                <w:szCs w:val="5"/>
                <w:color w:val="auto"/>
              </w:rPr>
            </w:pPr>
          </w:p>
        </w:tc>
        <w:tc>
          <w:tcPr>
            <w:tcW w:w="5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18"/>
        </w:trPr>
        <w:tc>
          <w:tcPr>
            <w:tcW w:w="7100" w:type="dxa"/>
            <w:vAlign w:val="bottom"/>
            <w:gridSpan w:val="3"/>
          </w:tcPr>
          <w:p>
            <w:pPr>
              <w:spacing w:after="0"/>
              <w:rPr>
                <w:sz w:val="20"/>
                <w:szCs w:val="20"/>
                <w:color w:val="auto"/>
              </w:rPr>
            </w:pPr>
            <w:r>
              <w:rPr>
                <w:rFonts w:ascii="Arial" w:cs="Arial" w:eastAsia="Arial" w:hAnsi="Arial"/>
                <w:sz w:val="18"/>
                <w:szCs w:val="18"/>
                <w:color w:val="auto"/>
              </w:rPr>
              <w:t>At December 31, property and equipment consists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4"/>
                <w:szCs w:val="24"/>
                <w:color w:val="auto"/>
              </w:rPr>
            </w:pPr>
          </w:p>
        </w:tc>
        <w:tc>
          <w:tcPr>
            <w:tcW w:w="1340" w:type="dxa"/>
            <w:vAlign w:val="bottom"/>
          </w:tcPr>
          <w:p>
            <w:pPr>
              <w:spacing w:after="0"/>
              <w:rPr>
                <w:sz w:val="24"/>
                <w:szCs w:val="24"/>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1,116,641</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13,999,703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13,814,275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258,135</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381,029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15,958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298,037</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1,128,835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761,717</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12,762,563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561,200</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820" w:type="dxa"/>
            <w:vAlign w:val="bottom"/>
            <w:gridSpan w:val="2"/>
          </w:tcPr>
          <w:p>
            <w:pPr>
              <w:ind w:left="1040"/>
              <w:spacing w:after="0"/>
              <w:rPr>
                <w:sz w:val="20"/>
                <w:szCs w:val="20"/>
                <w:color w:val="auto"/>
              </w:rPr>
            </w:pPr>
            <w:r>
              <w:rPr>
                <w:rFonts w:ascii="Arial" w:cs="Arial" w:eastAsia="Arial" w:hAnsi="Arial"/>
                <w:sz w:val="18"/>
                <w:szCs w:val="18"/>
                <w:color w:val="auto"/>
              </w:rPr>
              <w:t>Total Property and Equipment, Gross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32,754,674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16,825,963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(1,196,317)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(549,389)</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820" w:type="dxa"/>
            <w:vAlign w:val="bottom"/>
            <w:gridSpan w:val="2"/>
          </w:tcPr>
          <w:p>
            <w:pPr>
              <w:ind w:left="104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31,558,357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16,276,574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placed in service.</w:t>
      </w:r>
    </w:p>
    <w:p>
      <w:pPr>
        <w:spacing w:after="0" w:line="17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Depreciation expense for the years ended December 31, 2017 and 2016, totaled $646,928 and $493,185, respectively, of which $428,724 and $421,378, respectively, is included in cost of goods sold.</w:t>
      </w:r>
    </w:p>
    <w:p>
      <w:pPr>
        <w:spacing w:after="0" w:line="315"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3C Compassionate Care Center, LLC</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On October 2, 2017, the Company acquired all of the assets of 3C Compassionate Care Center, LLC in exchange for a total consideration of</w:t>
      </w:r>
    </w:p>
    <w:p>
      <w:pPr>
        <w:spacing w:after="0" w:line="34" w:lineRule="exact"/>
        <w:rPr>
          <w:rFonts w:ascii="Arial" w:cs="Arial" w:eastAsia="Arial" w:hAnsi="Arial"/>
          <w:sz w:val="18"/>
          <w:szCs w:val="18"/>
          <w:b w:val="1"/>
          <w:bCs w:val="1"/>
          <w:color w:val="auto"/>
        </w:rPr>
      </w:pPr>
    </w:p>
    <w:p>
      <w:pPr>
        <w:ind w:left="64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$11,668,813. The acquisition was accounted for in accordance with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assets consisted primarily of the state of Illinois issued dispensary license and customer relationships.</w:t>
      </w:r>
    </w:p>
    <w:p>
      <w:pPr>
        <w:spacing w:after="0" w:line="75" w:lineRule="exact"/>
        <w:rPr>
          <w:rFonts w:ascii="Arial" w:cs="Arial" w:eastAsia="Arial" w:hAnsi="Arial"/>
          <w:sz w:val="18"/>
          <w:szCs w:val="18"/>
          <w:b w:val="1"/>
          <w:bCs w:val="1"/>
          <w:color w:val="auto"/>
        </w:rPr>
      </w:pPr>
    </w:p>
    <w:p>
      <w:pPr>
        <w:ind w:left="6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is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-1228090</wp:posOffset>
            </wp:positionV>
            <wp:extent cx="6997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10,372,385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Liability Assumed (See Note 7)</w:t>
            </w:r>
          </w:p>
        </w:tc>
        <w:tc>
          <w:tcPr>
            <w:tcW w:w="3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1,296,428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0" w:type="dxa"/>
            <w:vAlign w:val="bottom"/>
            <w:gridSpan w:val="2"/>
          </w:tcPr>
          <w:p>
            <w:pPr>
              <w:jc w:val="right"/>
              <w:ind w:right="2530"/>
              <w:spacing w:after="0"/>
              <w:rPr>
                <w:sz w:val="20"/>
                <w:szCs w:val="20"/>
                <w:color w:val="auto"/>
              </w:rPr>
            </w:pPr>
            <w:r>
              <w:rPr>
                <w:rFonts w:ascii="Arial" w:cs="Arial" w:eastAsia="Arial" w:hAnsi="Arial"/>
                <w:sz w:val="18"/>
                <w:szCs w:val="18"/>
                <w:color w:val="auto"/>
              </w:rPr>
              <w:t>F-63</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3C Compassionate Care Center, LLC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finalized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-413385</wp:posOffset>
            </wp:positionV>
            <wp:extent cx="6997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483,058</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397,015</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9,400,000</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11,480,553</w:t>
            </w:r>
          </w:p>
        </w:tc>
        <w:tc>
          <w:tcPr>
            <w:tcW w:w="6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60"/>
        <w:spacing w:after="0" w:line="308" w:lineRule="auto"/>
        <w:rPr>
          <w:sz w:val="20"/>
          <w:szCs w:val="20"/>
          <w:color w:val="auto"/>
        </w:rPr>
      </w:pPr>
      <w:r>
        <w:rPr>
          <w:rFonts w:ascii="Arial" w:cs="Arial" w:eastAsia="Arial" w:hAnsi="Arial"/>
          <w:sz w:val="17"/>
          <w:szCs w:val="17"/>
          <w:color w:val="auto"/>
        </w:rPr>
        <w:t>Acquisition costs, which are expensed as incurred, were not significant and were excluded from the consideration transferred. Goodwill is allocated to the reporting unit or reporting unit’s which are expected to benefit from the synergies of the combination.</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1, 2018, the Company recorded $2,800,000 of deferred tax liabilities as a result of tax consequences of this acquisition.</w:t>
      </w:r>
    </w:p>
    <w:p>
      <w:pPr>
        <w:spacing w:after="0" w:line="117" w:lineRule="exact"/>
        <w:rPr>
          <w:sz w:val="20"/>
          <w:szCs w:val="20"/>
          <w:color w:val="auto"/>
        </w:rPr>
      </w:pPr>
    </w:p>
    <w:p>
      <w:pPr>
        <w:ind w:left="640" w:right="80"/>
        <w:spacing w:after="0" w:line="342" w:lineRule="auto"/>
        <w:rPr>
          <w:sz w:val="20"/>
          <w:szCs w:val="20"/>
          <w:color w:val="auto"/>
        </w:rPr>
      </w:pPr>
      <w:r>
        <w:rPr>
          <w:rFonts w:ascii="Arial" w:cs="Arial" w:eastAsia="Arial" w:hAnsi="Arial"/>
          <w:sz w:val="16"/>
          <w:szCs w:val="16"/>
          <w:color w:val="auto"/>
        </w:rPr>
        <w:t>For the year ended December 31, 2017, the acquired entity accounted for $368,961 in net income since October 2, 2017. This amount included revenues of $1,887,433. Revenues and net income from January 1, 2017 through the acquisition date were $4,334,408 and $911,399, respectively.</w:t>
      </w:r>
    </w:p>
    <w:p>
      <w:pPr>
        <w:spacing w:after="0" w:line="147"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2017 and 2016 intangible assets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Licenses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Customer</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89"/>
              </w:rPr>
              <w:t>Tradenames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6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0"/>
              </w:rPr>
              <w:t>Competition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and Permits</w:t>
            </w:r>
          </w:p>
        </w:tc>
        <w:tc>
          <w:tcPr>
            <w:tcW w:w="1240" w:type="dxa"/>
            <w:vAlign w:val="bottom"/>
            <w:gridSpan w:val="3"/>
            <w:vMerge w:val="continue"/>
          </w:tcPr>
          <w:p>
            <w:pPr>
              <w:spacing w:after="0"/>
              <w:rPr>
                <w:sz w:val="14"/>
                <w:szCs w:val="14"/>
                <w:color w:val="auto"/>
              </w:rPr>
            </w:pP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Relationships</w:t>
            </w:r>
          </w:p>
        </w:tc>
        <w:tc>
          <w:tcPr>
            <w:tcW w:w="5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1"/>
              </w:rPr>
              <w:t>Agreements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0"/>
              </w:rPr>
              <w:t>Cost</w:t>
            </w:r>
          </w:p>
        </w:tc>
        <w:tc>
          <w:tcPr>
            <w:tcW w:w="3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As at December 31, 2016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3,384,575</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Additions from acquisitions</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9,400,000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360,000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820,000</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10,600,480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13,004,575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360,000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14,205,055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420" w:type="dxa"/>
            <w:vAlign w:val="bottom"/>
            <w:gridSpan w:val="4"/>
          </w:tcPr>
          <w:p>
            <w:pPr>
              <w:spacing w:after="0"/>
              <w:rPr>
                <w:sz w:val="20"/>
                <w:szCs w:val="20"/>
                <w:color w:val="auto"/>
              </w:rPr>
            </w:pPr>
            <w:r>
              <w:rPr>
                <w:rFonts w:ascii="Arial" w:cs="Arial" w:eastAsia="Arial" w:hAnsi="Arial"/>
                <w:sz w:val="18"/>
                <w:szCs w:val="18"/>
                <w:color w:val="auto"/>
              </w:rPr>
              <w:t>Accumulated Amortization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20" w:type="dxa"/>
            <w:vAlign w:val="bottom"/>
            <w:gridSpan w:val="4"/>
          </w:tcPr>
          <w:p>
            <w:pPr>
              <w:spacing w:after="0"/>
              <w:rPr>
                <w:sz w:val="20"/>
                <w:szCs w:val="20"/>
                <w:color w:val="auto"/>
              </w:rPr>
            </w:pPr>
            <w:r>
              <w:rPr>
                <w:rFonts w:ascii="Arial" w:cs="Arial" w:eastAsia="Arial" w:hAnsi="Arial"/>
                <w:sz w:val="18"/>
                <w:szCs w:val="18"/>
                <w:color w:val="auto"/>
              </w:rPr>
              <w:t>Net book value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3,384,575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As at December 31, 2017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13,004,575</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360,000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779,500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14,161,995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F-64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Intangible assets with finite lives are amortized over their estimated useful lives. The Company recorded amortization expense of $43,060 and $0 for the years ended December 31, 2017 and 2016, respectively. Amortization periods of assets with finite lives are based on management’s estimates at the date of acquisition. Management determined amortization of licenses are immaterial for 2017 and 2016.</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2017:</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2018</w:t>
            </w:r>
          </w:p>
        </w:tc>
        <w:tc>
          <w:tcPr>
            <w:tcW w:w="4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1,064,500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14,161,995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(if the Company determines that the pattern in which the economic benefits associated with those intangibles is different than initially determined) or other relevant factors or changes.</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7.</w:t>
            </w:r>
          </w:p>
        </w:tc>
        <w:tc>
          <w:tcPr>
            <w:tcW w:w="9180" w:type="dxa"/>
            <w:vAlign w:val="bottom"/>
          </w:tcPr>
          <w:p>
            <w:pPr>
              <w:ind w:left="280"/>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r>
        <w:trPr>
          <w:trHeight w:val="318"/>
        </w:trPr>
        <w:tc>
          <w:tcPr>
            <w:tcW w:w="9340" w:type="dxa"/>
            <w:vAlign w:val="bottom"/>
            <w:gridSpan w:val="3"/>
          </w:tcPr>
          <w:p>
            <w:pPr>
              <w:spacing w:after="0"/>
              <w:rPr>
                <w:sz w:val="20"/>
                <w:szCs w:val="20"/>
                <w:color w:val="auto"/>
              </w:rPr>
            </w:pPr>
            <w:r>
              <w:rPr>
                <w:rFonts w:ascii="Arial" w:cs="Arial" w:eastAsia="Arial" w:hAnsi="Arial"/>
                <w:sz w:val="18"/>
                <w:szCs w:val="18"/>
                <w:color w:val="auto"/>
              </w:rPr>
              <w:t>At December 31, notes payable consisted of the following:</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93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Promissory note dated October 2, 2017, in the original amount of $2,500,000 issued to accredited investors, which matures</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2022; monthly payments of $55,611 including interest at 12.5% per annum.</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$ 2,438,472</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tcPr>
          <w:p>
            <w:pPr>
              <w:spacing w:after="0" w:line="201" w:lineRule="exact"/>
              <w:rPr>
                <w:sz w:val="20"/>
                <w:szCs w:val="20"/>
                <w:color w:val="auto"/>
              </w:rPr>
            </w:pPr>
            <w:r>
              <w:rPr>
                <w:rFonts w:ascii="Arial" w:cs="Arial" w:eastAsia="Arial" w:hAnsi="Arial"/>
                <w:sz w:val="18"/>
                <w:szCs w:val="18"/>
                <w:color w:val="auto"/>
                <w:w w:val="94"/>
              </w:rPr>
              <w:t>Promissory note dated October 2, 2017, in the original amount of $5,000,000 issued to accredited investors, which matures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October 1, 2022; monthly payments of $112,490 including interest at 12.5% per annum.</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4,876,943</w:t>
            </w:r>
          </w:p>
        </w:tc>
        <w:tc>
          <w:tcPr>
            <w:tcW w:w="2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In connection with the acquisition described in note 5, the Company is required to make quarterly charitable contributions of</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$50,000 through October 2024. The net present value of these required payments has been recorded as a liability with 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of 2.17%.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1,252,634</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tcPr>
          <w:p>
            <w:pPr>
              <w:spacing w:after="0" w:line="201" w:lineRule="exact"/>
              <w:rPr>
                <w:sz w:val="20"/>
                <w:szCs w:val="20"/>
                <w:color w:val="auto"/>
              </w:rPr>
            </w:pPr>
            <w:r>
              <w:rPr>
                <w:rFonts w:ascii="Arial" w:cs="Arial" w:eastAsia="Arial" w:hAnsi="Arial"/>
                <w:sz w:val="18"/>
                <w:szCs w:val="18"/>
                <w:color w:val="auto"/>
                <w:w w:val="93"/>
              </w:rPr>
              <w:t>Convertible note dated October 31, 2017, in the original amount of $3,000,000 issued to accredited investors, which matures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w w:val="92"/>
              </w:rPr>
              <w:t>January 31, 2019, and bears interest at a rate of 8.00% per annum. The note and unpaid accrued interest were converted on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April 1, 2018, to an 11% member interest in GTI Pennsylvania, LLC.</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2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Convertible note dated September 22, 2017, in the original amount of $4,500,000 issued to accredited investors, which matures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December 22, 2018, and bears interest at a rate of 8.00% per annum. The note and unpaid accrued interest were converted 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2018, to a 16.5% member interest in GTI Pennsylvania, LLC.</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tcPr>
          <w:p>
            <w:pPr>
              <w:ind w:left="5180"/>
              <w:spacing w:after="0"/>
              <w:rPr>
                <w:sz w:val="20"/>
                <w:szCs w:val="20"/>
                <w:color w:val="auto"/>
              </w:rPr>
            </w:pPr>
            <w:r>
              <w:rPr>
                <w:rFonts w:ascii="Arial" w:cs="Arial" w:eastAsia="Arial" w:hAnsi="Arial"/>
                <w:sz w:val="18"/>
                <w:szCs w:val="18"/>
                <w:color w:val="auto"/>
              </w:rPr>
              <w:t>F-65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7.</w:t>
            </w:r>
          </w:p>
        </w:tc>
        <w:tc>
          <w:tcPr>
            <w:tcW w:w="4900" w:type="dxa"/>
            <w:vAlign w:val="bottom"/>
            <w:gridSpan w:val="5"/>
          </w:tcPr>
          <w:p>
            <w:pPr>
              <w:ind w:left="280"/>
              <w:spacing w:after="0"/>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0" w:type="dxa"/>
            <w:vAlign w:val="bottom"/>
            <w:gridSpan w:val="15"/>
            <w:shd w:val="clear" w:color="auto" w:fill="CCEEFF"/>
          </w:tcPr>
          <w:p>
            <w:pPr>
              <w:spacing w:after="0" w:line="182" w:lineRule="exact"/>
              <w:rPr>
                <w:sz w:val="20"/>
                <w:szCs w:val="20"/>
                <w:color w:val="auto"/>
              </w:rPr>
            </w:pPr>
            <w:r>
              <w:rPr>
                <w:rFonts w:ascii="Arial" w:cs="Arial" w:eastAsia="Arial" w:hAnsi="Arial"/>
                <w:sz w:val="18"/>
                <w:szCs w:val="18"/>
                <w:color w:val="auto"/>
                <w:w w:val="92"/>
              </w:rPr>
              <w:t>Convertible note dated March 18, 2016, in the original amount of $2,000,000 issued to accredited investors and</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w w:val="89"/>
              </w:rPr>
              <w:t>bore interest at a rate of 15% per annum. The note and unpaid accrued interest were converted into 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9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membership units of GTI Nevada LLC during 2017.</w:t>
            </w: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gridSpan w:val="7"/>
          </w:tcPr>
          <w:p>
            <w:pPr>
              <w:spacing w:after="0"/>
              <w:rPr>
                <w:sz w:val="20"/>
                <w:szCs w:val="20"/>
                <w:color w:val="auto"/>
              </w:rPr>
            </w:pPr>
            <w:r>
              <w:rPr>
                <w:rFonts w:ascii="Arial" w:cs="Arial" w:eastAsia="Arial" w:hAnsi="Arial"/>
                <w:sz w:val="18"/>
                <w:szCs w:val="18"/>
                <w:color w:val="auto"/>
              </w:rPr>
              <w:t>Total Notes Payable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16,068,049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Less: Current Portion of Notes Payable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1"/>
              </w:rPr>
              <w:t>(8,861,376)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(2,000,000)</w:t>
            </w:r>
          </w:p>
        </w:tc>
        <w:tc>
          <w:tcPr>
            <w:tcW w:w="0" w:type="dxa"/>
            <w:vAlign w:val="bottom"/>
          </w:tcPr>
          <w:p>
            <w:pPr>
              <w:spacing w:after="0"/>
              <w:rPr>
                <w:sz w:val="1"/>
                <w:szCs w:val="1"/>
                <w:color w:val="auto"/>
              </w:rPr>
            </w:pPr>
          </w:p>
        </w:tc>
      </w:tr>
      <w:tr>
        <w:trPr>
          <w:trHeight w:val="223"/>
        </w:trPr>
        <w:tc>
          <w:tcPr>
            <w:tcW w:w="5060" w:type="dxa"/>
            <w:vAlign w:val="bottom"/>
            <w:gridSpan w:val="7"/>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7,206,673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7"/>
            <w:vMerge w:val="restart"/>
          </w:tcPr>
          <w:p>
            <w:pPr>
              <w:spacing w:after="0"/>
              <w:rPr>
                <w:sz w:val="20"/>
                <w:szCs w:val="20"/>
                <w:color w:val="auto"/>
              </w:rPr>
            </w:pPr>
            <w:r>
              <w:rPr>
                <w:rFonts w:ascii="Arial" w:cs="Arial" w:eastAsia="Arial" w:hAnsi="Arial"/>
                <w:sz w:val="18"/>
                <w:szCs w:val="18"/>
                <w:color w:val="auto"/>
              </w:rPr>
              <w:t>Stated maturities of debt obligations are as follows:</w:t>
            </w: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7"/>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vMerge w:val="restart"/>
          </w:tcPr>
          <w:p>
            <w:pPr>
              <w:spacing w:after="0"/>
              <w:rPr>
                <w:sz w:val="21"/>
                <w:szCs w:val="21"/>
                <w:color w:val="auto"/>
              </w:rPr>
            </w:pPr>
          </w:p>
        </w:tc>
        <w:tc>
          <w:tcPr>
            <w:tcW w:w="9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Year Ending December 31,</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rPr>
              <w:t>2018</w:t>
            </w:r>
          </w:p>
        </w:tc>
        <w:tc>
          <w:tcPr>
            <w:tcW w:w="1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5"/>
          </w:tcPr>
          <w:p>
            <w:pPr>
              <w:jc w:val="right"/>
              <w:spacing w:after="0"/>
              <w:rPr>
                <w:sz w:val="20"/>
                <w:szCs w:val="20"/>
                <w:color w:val="auto"/>
              </w:rPr>
            </w:pPr>
            <w:r>
              <w:rPr>
                <w:rFonts w:ascii="Arial" w:cs="Arial" w:eastAsia="Arial" w:hAnsi="Arial"/>
                <w:sz w:val="18"/>
                <w:szCs w:val="18"/>
                <w:color w:val="auto"/>
              </w:rPr>
              <w:t>8,861,376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2019</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888,412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2020</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831,815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2021</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768,041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2022</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585,513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4,132,893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16,068,049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Notes Payable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6"/>
          </w:tcPr>
          <w:p>
            <w:pPr>
              <w:jc w:val="right"/>
              <w:ind w:right="270"/>
              <w:spacing w:after="0"/>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7"/>
          </w:tcPr>
          <w:p>
            <w:pPr>
              <w:ind w:left="20"/>
              <w:spacing w:after="0"/>
              <w:rPr>
                <w:sz w:val="20"/>
                <w:szCs w:val="20"/>
                <w:color w:val="auto"/>
              </w:rPr>
            </w:pPr>
            <w:r>
              <w:rPr>
                <w:rFonts w:ascii="Arial" w:cs="Arial" w:eastAsia="Arial" w:hAnsi="Arial"/>
                <w:sz w:val="14"/>
                <w:szCs w:val="14"/>
                <w:b w:val="1"/>
                <w:bCs w:val="1"/>
                <w:color w:val="auto"/>
              </w:rPr>
              <w:t>Notes Payable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Issuances</w:t>
            </w: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2,000,000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2,000,000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9"/>
              </w:rPr>
              <w:t>2,000,000</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2,000,000</w:t>
            </w: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Issuances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8,796,429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80"/>
              <w:spacing w:after="0"/>
              <w:rPr>
                <w:sz w:val="20"/>
                <w:szCs w:val="20"/>
                <w:color w:val="auto"/>
              </w:rPr>
            </w:pPr>
            <w:r>
              <w:rPr>
                <w:rFonts w:ascii="Arial" w:cs="Arial" w:eastAsia="Arial" w:hAnsi="Arial"/>
                <w:sz w:val="18"/>
                <w:szCs w:val="18"/>
                <w:color w:val="auto"/>
                <w:w w:val="99"/>
              </w:rPr>
              <w:t>8,248,940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82"/>
              </w:rPr>
              <w:t>17,045,369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(228,380)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(228,380)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Conversion to equity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w w:val="93"/>
              </w:rPr>
              <w:t>(2,748,940)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w w:val="86"/>
              </w:rPr>
              <w:t>(2,748,940)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$ 8,568,049</w:t>
            </w:r>
          </w:p>
        </w:tc>
        <w:tc>
          <w:tcPr>
            <w:tcW w:w="5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9"/>
              </w:rPr>
              <w:t>7,500,000</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16,068,049</w:t>
            </w: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The promissory notes with outstanding balances at December 31, 2017 of $2,438,472 and $4,876,943 are collateralized by substantially all of the assets of GTI Clinic Illinois Holdings LLC and affiliates and certain real estate which totaled $35,193,524 as of December 31, 2017.</w:t>
      </w:r>
    </w:p>
    <w:p>
      <w:pPr>
        <w:spacing w:after="0" w:line="14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Interest expense associated with notes payable and convertible notes payable included in the combined statement of operations totaled $222,235 and $0 for the years ended December 31, 2017 and 2016, respectively and $210,132 and $236,712 for the years ended December 31, 2017 and 2016, respectively.</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In connection with the notes dated October 2, 2017, the Company is required to comply with certain financial covenants. At December 31, 2017, the Company was in compliance with these covenants.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0" w:lineRule="exact"/>
        <w:rPr>
          <w:rFonts w:ascii="Arial" w:cs="Arial" w:eastAsia="Arial" w:hAnsi="Arial"/>
          <w:sz w:val="18"/>
          <w:szCs w:val="18"/>
          <w:b w:val="1"/>
          <w:bCs w:val="1"/>
          <w:color w:val="auto"/>
        </w:rPr>
      </w:pPr>
    </w:p>
    <w:p>
      <w:pPr>
        <w:ind w:left="1620" w:hanging="430"/>
        <w:spacing w:after="0"/>
        <w:tabs>
          <w:tab w:leader="none" w:pos="1620" w:val="left"/>
        </w:tabs>
        <w:numPr>
          <w:ilvl w:val="2"/>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6997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ind w:left="1200" w:right="40"/>
        <w:spacing w:after="0" w:line="312"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w:t>
      </w:r>
    </w:p>
    <w:p>
      <w:pPr>
        <w:spacing w:after="0" w:line="291" w:lineRule="exact"/>
        <w:rPr>
          <w:sz w:val="20"/>
          <w:szCs w:val="20"/>
          <w:color w:val="auto"/>
        </w:rPr>
      </w:pPr>
    </w:p>
    <w:p>
      <w:pPr>
        <w:ind w:left="1620" w:hanging="430"/>
        <w:spacing w:after="0"/>
        <w:tabs>
          <w:tab w:leader="none" w:pos="162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Multiple Voting share is exchangeable for 100 Subordinate Voting shares. The Company has 376,811 issued and outstanding multiple voting shares, which convert into 37,681,100 subordinate voting shares. The Company is authorized to issue an unlimited number of Multiple Voting shares.</w:t>
      </w:r>
    </w:p>
    <w:p>
      <w:pPr>
        <w:spacing w:after="0" w:line="326"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Super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Super Voting share is exchangeable for 100 Subordinate Voting shares. The Company has 402,289 issued and outstanding Super Voting shares which converts into 40,228,900 subordinate voting shares. The Company is authorized to issue an unlimited number of super voting shares.</w:t>
      </w:r>
    </w:p>
    <w:p>
      <w:pPr>
        <w:spacing w:after="0" w:line="18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authorized members’ equity of the Company consists of Class A, B and C units. Total authorized shares by class are designated by the Board of Directors for specific purposes. Shares are issued directly or upon exercise of conversion of debt.</w:t>
      </w:r>
    </w:p>
    <w:p>
      <w:pPr>
        <w:spacing w:after="0" w:line="17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2014, the Company issued 100 shares of Class A units of Clinic Illinois Holdings, LLC, of which 75% are owned by GTI II, LLC and 25% by an unrelated third party. Contributions by members totaling $5,958,500 were made during the year ended December 31, 2014, of which $4,000,000 was repaid as distributions. These Class A units remain outstanding at December 31, 2016 and 2017 with a value of $1,958,500 included in members’ equity at January 1, 2016.</w:t>
      </w:r>
    </w:p>
    <w:p>
      <w:pPr>
        <w:spacing w:after="0" w:line="187"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During the years ended December 31, 2017 and 2016, contributions by members, net of distributions to members, were $31,403,537 and $11,396,809, respectively, representing the issuance of Class B member units. In addition, at December 31, 2017, certain Class B unit holders owed the Company approximately $2,786,000 for their share of capital committed to the Company, all of which was collected in the following year. Accordingly, this amount is included in members’ equity with offset in members contribution receivable within the accompanying combined balance sheet.</w:t>
      </w:r>
    </w:p>
    <w:p>
      <w:pPr>
        <w:spacing w:after="0" w:line="154"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During the year ended December 31, 2017, 16.29 Class C shares were issued. however, no cash was received for these shares. These shares had no value as of December 31, 2017.</w:t>
      </w:r>
    </w:p>
    <w:p>
      <w:pPr>
        <w:spacing w:after="0" w:line="315" w:lineRule="exact"/>
        <w:rPr>
          <w:sz w:val="20"/>
          <w:szCs w:val="20"/>
          <w:color w:val="auto"/>
        </w:rPr>
      </w:pPr>
    </w:p>
    <w:p>
      <w:pPr>
        <w:ind w:left="640" w:hanging="436"/>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In February 2017, an unrelated third party converted its note and accrued interest totaling $2,279,452 for an approximate 42.5% interest (20 membership units) in GTI Nevada LLC. Subsequently, the third party contributed $748,940 to GTI Nevada LLC, representing its share of total amounts contributed to expand retail operations.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 connection with an operating agreement reached in August 2017, GTI Core, LLC effectively assumed control over the operations of an entity which holds multiple Maryland licenses. This entity also contributed assets in exchange for an ownership interest in a GTI subsidiary. Both entities are included in the combined financial statements with a resulting non-controlling interest reflected therein.</w:t>
      </w:r>
    </w:p>
    <w:p>
      <w:pPr>
        <w:spacing w:after="0" w:line="326"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leases certain business facilities from third parties under operating lease agreements that specify minimum rentals. The leases expire through 2028 and contain renewal provisions. Additionally, certain leases provide for rent abatement, and rent expense is calculated on straight-line basis over the terms of the leases with the incentives reported as deferred rent. The Company’s net rent expense for the years ended December 31, 2017 and 2016, was approximately $927,000 and $197,000, respectively.</w:t>
      </w:r>
    </w:p>
    <w:p>
      <w:pPr>
        <w:spacing w:after="0" w:line="46" w:lineRule="exact"/>
        <w:rPr>
          <w:rFonts w:ascii="Arial" w:cs="Arial" w:eastAsia="Arial" w:hAnsi="Arial"/>
          <w:sz w:val="18"/>
          <w:szCs w:val="18"/>
          <w:b w:val="1"/>
          <w:bCs w:val="1"/>
          <w:color w:val="auto"/>
        </w:rPr>
      </w:pPr>
    </w:p>
    <w:p>
      <w:pPr>
        <w:ind w:left="12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-1228725</wp:posOffset>
            </wp:positionV>
            <wp:extent cx="6997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Related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0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Parties</w:t>
            </w:r>
          </w:p>
        </w:tc>
        <w:tc>
          <w:tcPr>
            <w:tcW w:w="120" w:type="dxa"/>
            <w:vAlign w:val="bottom"/>
          </w:tcPr>
          <w:p>
            <w:pPr>
              <w:spacing w:after="0"/>
              <w:rPr>
                <w:sz w:val="15"/>
                <w:szCs w:val="15"/>
                <w:color w:val="auto"/>
              </w:rPr>
            </w:pPr>
          </w:p>
        </w:tc>
        <w:tc>
          <w:tcPr>
            <w:tcW w:w="10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Parties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jc w:val="right"/>
              <w:ind w:right="810"/>
              <w:spacing w:after="0" w:line="203" w:lineRule="exact"/>
              <w:rPr>
                <w:sz w:val="20"/>
                <w:szCs w:val="20"/>
                <w:color w:val="auto"/>
              </w:rPr>
            </w:pPr>
            <w:r>
              <w:rPr>
                <w:rFonts w:ascii="Arial" w:cs="Arial" w:eastAsia="Arial" w:hAnsi="Arial"/>
                <w:sz w:val="18"/>
                <w:szCs w:val="18"/>
                <w:color w:val="auto"/>
              </w:rPr>
              <w:t>2018</w:t>
            </w:r>
          </w:p>
        </w:tc>
        <w:tc>
          <w:tcPr>
            <w:tcW w:w="2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964,311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447,328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1,411,639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2019</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989,716</w:t>
            </w:r>
          </w:p>
        </w:tc>
        <w:tc>
          <w:tcPr>
            <w:tcW w:w="1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456,274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1,445,990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2020</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925,154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465,400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1,390,554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2021</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915,718</w:t>
            </w:r>
          </w:p>
        </w:tc>
        <w:tc>
          <w:tcPr>
            <w:tcW w:w="1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474,708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1,390,426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2022</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726,757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378,817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1,105,574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1,604,343</w:t>
            </w:r>
          </w:p>
        </w:tc>
        <w:tc>
          <w:tcPr>
            <w:tcW w:w="1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349,322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1,953,665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2"/>
              </w:rPr>
              <w:t>6,125,999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7"/>
              </w:rPr>
              <w:t>2,571,849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8,697,848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0" w:right="260"/>
        <w:spacing w:after="0" w:line="255" w:lineRule="auto"/>
        <w:rPr>
          <w:sz w:val="20"/>
          <w:szCs w:val="20"/>
          <w:color w:val="auto"/>
        </w:rPr>
      </w:pPr>
      <w:r>
        <w:rPr>
          <w:rFonts w:ascii="Arial" w:cs="Arial" w:eastAsia="Arial" w:hAnsi="Arial"/>
          <w:sz w:val="18"/>
          <w:szCs w:val="18"/>
          <w:color w:val="auto"/>
        </w:rPr>
        <w:t>During 2017, GTI entered into several related party transactions with respect to its leasing arrangements for three GTI dispensaries operating in Maryland, Nevada and Massachusetts. Wendy Berger, a director of the Corporation, is a principal of WBS Equities, LLC, which is the Manager of Mosaic Real Estate, LLC. Additionally, Mosaic Real Estate, LLC is owned in part by Ms. Berger (through the Wendy Berger 1998 Revocable Trust), Benjamin Kovler, the Chief Executive Officer and a director of the Corporation (through KP Capital, LLC), and Mr. Georgiadis, the Chief Financial Officer and a director of the Corporation (through Three One Four Holdings, LLC). The terms of these leases vary from 7 to 15. Rent expense under these leases totaled $144,000 and $0 for the years ended December 31, 2017, and 2016, respectively.</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additional information on related party transactions, see Note 11.</w:t>
      </w:r>
    </w:p>
    <w:p>
      <w:pPr>
        <w:spacing w:after="0" w:line="248" w:lineRule="exact"/>
        <w:rPr>
          <w:sz w:val="20"/>
          <w:szCs w:val="20"/>
          <w:color w:val="auto"/>
        </w:rPr>
      </w:pPr>
    </w:p>
    <w:p>
      <w:pPr>
        <w:ind w:left="1180" w:hanging="544"/>
        <w:spacing w:after="0"/>
        <w:tabs>
          <w:tab w:leader="none" w:pos="11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December 31, 2017,</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medical cannabis regulations continue to evolve and are subject to differing interpretations. As a result, the Company may be subject to regulatory fines, penalties, or restrictions in the future.</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2017, there were no pending or threatened lawsuits that could reasonably be expected to have a material effect on the results of the Company’s combined operations. There are also no proceedings in which any of the Company’s directors, officers or affiliates is an adverse party or has a material interest adverse to the Company’s interest.</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Due from Related Party</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At December 31, 2017 and 2016, amounts due from related party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-2394585</wp:posOffset>
            </wp:positionV>
            <wp:extent cx="6997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-404495</wp:posOffset>
            </wp:positionV>
            <wp:extent cx="6997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color w:val="auto"/>
              </w:rPr>
              <w:t>2017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6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Note receivable dated December 15, 2017, principal due by December 31, 2018, plus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at 1.52%.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w w:val="97"/>
              </w:rPr>
              <w:t>Note receivable dated July 20, 2017, principal due the earlier of July 19, 2018 or upon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w w:val="97"/>
              </w:rPr>
              <w:t>the achievement of defined capital raising activities; plus interest at 2%; note repaid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on February 13,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575,000</w:t>
            </w:r>
          </w:p>
        </w:tc>
        <w:tc>
          <w:tcPr>
            <w:tcW w:w="46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Due from Related Party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1,188,686</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The note receivable of $605,000 is due from Wendy Berger, a director of the Company. In addition, the note receivable of $575,000 is due from Mosaic Real Estate Sparks LLC which is managed by an entity in which Wendy Berger is a principal.</w:t>
      </w:r>
    </w:p>
    <w:p>
      <w:pPr>
        <w:spacing w:after="0" w:line="315" w:lineRule="exact"/>
        <w:rPr>
          <w:sz w:val="20"/>
          <w:szCs w:val="20"/>
          <w:color w:val="auto"/>
        </w:rPr>
      </w:pPr>
    </w:p>
    <w:p>
      <w:pPr>
        <w:ind w:left="640" w:hanging="436"/>
        <w:spacing w:after="0"/>
        <w:tabs>
          <w:tab w:leader="none" w:pos="6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-706755</wp:posOffset>
            </wp:positionV>
            <wp:extent cx="6997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76"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right="106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As of December 31, 2017</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Level 1</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8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Members Contribution Receivable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46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As of December 31, 2016</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Level 1</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8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$12,955,518</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$12,955,518</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2017 and 2016.</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315" w:lineRule="exact"/>
        <w:rPr>
          <w:sz w:val="20"/>
          <w:szCs w:val="20"/>
          <w:color w:val="auto"/>
        </w:rPr>
      </w:pPr>
    </w:p>
    <w:p>
      <w:pPr>
        <w:ind w:left="1180" w:hanging="544"/>
        <w:spacing w:after="0"/>
        <w:tabs>
          <w:tab w:leader="none" w:pos="1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2017 and 2016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2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provides credit to its customers in the normal course of business and has established credit evaluation and monitoring processes to mitigate credit risk, but has limited risk as the majority of its sales are transacted with cash.</w:t>
      </w:r>
    </w:p>
    <w:p>
      <w:pPr>
        <w:spacing w:after="0" w:line="291"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20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management of its capital structure.</w:t>
      </w:r>
    </w:p>
    <w:p>
      <w:pPr>
        <w:spacing w:after="0" w:line="62" w:lineRule="exact"/>
        <w:rPr>
          <w:rFonts w:ascii="Arial" w:cs="Arial" w:eastAsia="Arial" w:hAnsi="Arial"/>
          <w:sz w:val="18"/>
          <w:szCs w:val="18"/>
          <w:b w:val="1"/>
          <w:bCs w:val="1"/>
          <w:color w:val="auto"/>
        </w:rPr>
      </w:pPr>
    </w:p>
    <w:p>
      <w:pPr>
        <w:ind w:left="12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approach to managing liquidity is to ensure that it will have sufficient liquidity to settle obligations and liabilities when due.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00"/>
          </w:cols>
          <w:pgMar w:left="240" w:top="460" w:right="6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Liquidity Risk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commitments outlined in Note 10, the Company has the following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6997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&lt; 1 Year</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1 to 3 Years</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to 5 Years</w:t>
            </w: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&gt; 5 Years</w:t>
            </w: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9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9"/>
              </w:rPr>
              <w:t>5,205,281</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5,205,281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Notes Payable</w:t>
            </w:r>
          </w:p>
        </w:tc>
        <w:tc>
          <w:tcPr>
            <w:tcW w:w="940" w:type="dxa"/>
            <w:vAlign w:val="bottom"/>
          </w:tcPr>
          <w:p>
            <w:pPr>
              <w:ind w:left="200"/>
              <w:spacing w:after="0"/>
              <w:rPr>
                <w:sz w:val="20"/>
                <w:szCs w:val="20"/>
                <w:color w:val="auto"/>
              </w:rPr>
            </w:pPr>
            <w:r>
              <w:rPr>
                <w:rFonts w:ascii="Arial" w:cs="Arial" w:eastAsia="Arial" w:hAnsi="Arial"/>
                <w:sz w:val="18"/>
                <w:szCs w:val="18"/>
                <w:color w:val="auto"/>
                <w:w w:val="89"/>
              </w:rPr>
              <w:t>8,861,376</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1,720,227</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1,353,553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4,132,893</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16,068,049</w:t>
            </w:r>
          </w:p>
        </w:tc>
        <w:tc>
          <w:tcPr>
            <w:tcW w:w="80" w:type="dxa"/>
            <w:vAlign w:val="bottom"/>
          </w:tcPr>
          <w:p>
            <w:pPr>
              <w:spacing w:after="0"/>
              <w:rPr>
                <w:sz w:val="20"/>
                <w:szCs w:val="20"/>
                <w:color w:val="auto"/>
              </w:rPr>
            </w:pPr>
          </w:p>
        </w:tc>
      </w:tr>
    </w:tbl>
    <w:p>
      <w:pPr>
        <w:spacing w:after="0" w:line="332" w:lineRule="exact"/>
        <w:rPr>
          <w:sz w:val="20"/>
          <w:szCs w:val="20"/>
          <w:color w:val="auto"/>
        </w:rPr>
      </w:pPr>
    </w:p>
    <w:p>
      <w:pPr>
        <w:ind w:left="1180" w:hanging="544"/>
        <w:spacing w:after="0"/>
        <w:tabs>
          <w:tab w:leader="none" w:pos="1180"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Risk</w:t>
      </w:r>
    </w:p>
    <w:p>
      <w:pPr>
        <w:spacing w:after="0" w:line="121"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color w:val="auto"/>
        </w:rPr>
        <w:t>The Company operates in two segments: the cultivation, production and sale of cannabis via retail stores (wholesale) and retailing of cannabis to patients and consumers (retail). The below table presents revenues by segment for the years ended December 31, 2017 and 2016:</w:t>
      </w:r>
    </w:p>
    <w:p>
      <w:pPr>
        <w:spacing w:after="0" w:line="14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Revenues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0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Wholesale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8,375,953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$ 4,227,102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9,924,970</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3,752,352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Eliminations/Corporate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(1,772,144)</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(782,214)</w:t>
            </w: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16,528,779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$ 7,197,240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10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All revenues are derived from customers domiciled in the United States and all assets are located in the United States.</w:t>
      </w:r>
    </w:p>
    <w:p>
      <w:pPr>
        <w:spacing w:after="0" w:line="18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Goodwill assigned to the Retail segment as of December 31, 2017 and 2016 was $188,260 and $0 respectively. Intangible assets assigned to the Retail segment as of December 31, 2017 and 2016 was $14,161,995 and $3,384,575, respectively.</w:t>
      </w:r>
    </w:p>
    <w:p>
      <w:pPr>
        <w:spacing w:after="0" w:line="315" w:lineRule="exact"/>
        <w:rPr>
          <w:sz w:val="20"/>
          <w:szCs w:val="20"/>
          <w:color w:val="auto"/>
        </w:rPr>
      </w:pPr>
    </w:p>
    <w:p>
      <w:pPr>
        <w:ind w:left="640" w:hanging="436"/>
        <w:spacing w:after="0"/>
        <w:tabs>
          <w:tab w:leader="none" w:pos="6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The Company closed on a number of acquisitions during 2019. The Company evaluated each acquisition under ASC 805, Business Combinations and determined that each qualified as a business combination. Each acquisition was accounted for by applying the acquisition method, whereby the assets acquired, and liabilities assumed are recorded at fair values with any excess of the aggregate consideration over the fair values of the identifiable net assets allocated to goodwill. Each acquisition was completed to further facilitate GTI’s expansion plans.</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080"/>
          </w:cols>
          <w:pgMar w:left="240" w:top="460" w:right="5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 is a summary of the total consideration and initial accounting estimates for each acquisition (unaudited):</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4"/>
                <w:szCs w:val="14"/>
                <w:color w:val="auto"/>
                <w:w w:val="98"/>
              </w:rPr>
              <w:t>Advanced Grow</w:t>
            </w:r>
          </w:p>
        </w:tc>
        <w:tc>
          <w:tcPr>
            <w:tcW w:w="140" w:type="dxa"/>
            <w:vAlign w:val="bottom"/>
          </w:tcPr>
          <w:p>
            <w:pPr>
              <w:spacing w:after="0"/>
              <w:rPr>
                <w:sz w:val="14"/>
                <w:szCs w:val="1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color w:val="auto"/>
              </w:rPr>
              <w:t>Integral</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rPr>
              <w:t>Labs, LLC</w:t>
            </w:r>
          </w:p>
        </w:tc>
        <w:tc>
          <w:tcPr>
            <w:tcW w:w="1560" w:type="dxa"/>
            <w:vAlign w:val="bottom"/>
            <w:gridSpan w:val="3"/>
          </w:tcPr>
          <w:p>
            <w:pPr>
              <w:jc w:val="right"/>
              <w:ind w:right="540"/>
              <w:spacing w:after="0"/>
              <w:rPr>
                <w:sz w:val="20"/>
                <w:szCs w:val="20"/>
                <w:color w:val="auto"/>
              </w:rPr>
            </w:pPr>
            <w:r>
              <w:rPr>
                <w:rFonts w:ascii="Arial" w:cs="Arial" w:eastAsia="Arial" w:hAnsi="Arial"/>
                <w:sz w:val="14"/>
                <w:szCs w:val="14"/>
                <w:color w:val="auto"/>
                <w:w w:val="98"/>
              </w:rPr>
              <w:t>Associates, LLC</w:t>
            </w: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Acquisitions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15,481,967</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52,807,500</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42,612,694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Shares of the Company Issued</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79,959,170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273,146,014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118,038,863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Previous Notes Receivable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Acquisition Liability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6,616,916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2,421,068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8,197,000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35,531,000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110,255,053</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744,825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10,107,303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1,427,034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420,649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492,571</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Right-of-Use Asset</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470,703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1,655,309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1,198,042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200,340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122,826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 and Permits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28,920,000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130,000,000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930,000</w:t>
            </w: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17,750,000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Non-competition Agreements</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(1,174,361)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(9,134,651)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(12,815,000)</w:t>
            </w: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(17,191,200)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44,049,831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174,297,411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57,643,531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66,205,222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189,608,171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149,359,826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9"/>
              </w:rPr>
              <w:t>110,255,053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below table summarizes the pro forma financial information for Advanced Grow Labs, LLC and Integral Associates, LLC as if the acquisition had occurred at January 1, 2017. Other acquisitions were not included in the pro forma financial information described below as they were not considered material to the combined results of GTI.</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For the Year ended December 31, 2017</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w w:val="99"/>
              </w:rPr>
              <w:t>Advanced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Integral</w:t>
            </w: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Grow Labs,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300" w:type="dxa"/>
            <w:vAlign w:val="bottom"/>
            <w:gridSpan w:val="2"/>
            <w:vMerge w:val="continue"/>
          </w:tcPr>
          <w:p>
            <w:pPr>
              <w:spacing w:after="0"/>
              <w:rPr>
                <w:sz w:val="12"/>
                <w:szCs w:val="12"/>
                <w:color w:val="auto"/>
              </w:rPr>
            </w:pPr>
          </w:p>
        </w:tc>
        <w:tc>
          <w:tcPr>
            <w:tcW w:w="8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Industries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LLC</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vMerge w:val="continue"/>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64"/>
              <w:spacing w:after="0" w:line="142" w:lineRule="exact"/>
              <w:rPr>
                <w:sz w:val="20"/>
                <w:szCs w:val="20"/>
                <w:color w:val="auto"/>
              </w:rPr>
            </w:pPr>
            <w:r>
              <w:rPr>
                <w:rFonts w:ascii="Arial" w:cs="Arial" w:eastAsia="Arial" w:hAnsi="Arial"/>
                <w:sz w:val="14"/>
                <w:szCs w:val="14"/>
                <w:i w:val="1"/>
                <w:iCs w:val="1"/>
                <w:color w:val="auto"/>
                <w:w w:val="93"/>
              </w:rPr>
              <w:t>Unaudited</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43"/>
              <w:spacing w:after="0" w:line="142" w:lineRule="exact"/>
              <w:rPr>
                <w:sz w:val="20"/>
                <w:szCs w:val="20"/>
                <w:color w:val="auto"/>
              </w:rPr>
            </w:pPr>
            <w:r>
              <w:rPr>
                <w:rFonts w:ascii="Arial" w:cs="Arial" w:eastAsia="Arial" w:hAnsi="Arial"/>
                <w:sz w:val="14"/>
                <w:szCs w:val="14"/>
                <w:i w:val="1"/>
                <w:iCs w:val="1"/>
                <w:color w:val="auto"/>
                <w:w w:val="97"/>
              </w:rPr>
              <w:t>Unaudited</w:t>
            </w:r>
          </w:p>
        </w:tc>
        <w:tc>
          <w:tcPr>
            <w:tcW w:w="1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16,528,779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13,979,514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30,420,101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60,928,394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Industries Inc.</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(4,249,775)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7,721,627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6,983,028</w:t>
            </w:r>
          </w:p>
        </w:tc>
        <w:tc>
          <w:tcPr>
            <w:tcW w:w="16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(16,699,653)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(a),(b)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(6,244,772)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500" w:hanging="436"/>
        <w:spacing w:after="0" w:line="258" w:lineRule="auto"/>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$13,997,336.</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Represents estimated income tax expense of $2,702,317 based on a 24% effective tax rate.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180" w:hanging="544"/>
        <w:spacing w:after="0"/>
        <w:tabs>
          <w:tab w:leader="none" w:pos="11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640" w:right="80"/>
        <w:spacing w:after="0" w:line="288"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facility and an ownership stake in a recently awarded dispensary, making AGL the only vertically licensed operator in the state. The transaction consideration was approximately</w:t>
      </w:r>
    </w:p>
    <w:p>
      <w:pPr>
        <w:ind w:left="640"/>
        <w:spacing w:after="0" w:line="255" w:lineRule="auto"/>
        <w:rPr>
          <w:sz w:val="20"/>
          <w:szCs w:val="20"/>
          <w:color w:val="auto"/>
        </w:rPr>
      </w:pPr>
      <w:r>
        <w:rPr>
          <w:rFonts w:ascii="Arial" w:cs="Arial" w:eastAsia="Arial" w:hAnsi="Arial"/>
          <w:sz w:val="18"/>
          <w:szCs w:val="18"/>
          <w:color w:val="auto"/>
        </w:rPr>
        <w:t>$110.3 million, which included $15 million of cash, approximately 7.0 million Subordinate Voting Shares of GTI which were valued at approximately $80.0 million. The purchase agreement also included additional consideration based upon future performance targets (as detailed in the above table).</w:t>
      </w:r>
    </w:p>
    <w:p>
      <w:pPr>
        <w:spacing w:after="0" w:line="335" w:lineRule="exact"/>
        <w:rPr>
          <w:sz w:val="20"/>
          <w:szCs w:val="20"/>
          <w:color w:val="auto"/>
        </w:rPr>
      </w:pPr>
    </w:p>
    <w:p>
      <w:pPr>
        <w:ind w:left="1180" w:hanging="544"/>
        <w:spacing w:after="0"/>
        <w:tabs>
          <w:tab w:leader="none" w:pos="11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640" w:right="240"/>
        <w:spacing w:after="0" w:line="302" w:lineRule="auto"/>
        <w:rPr>
          <w:sz w:val="20"/>
          <w:szCs w:val="20"/>
          <w:color w:val="auto"/>
        </w:rPr>
      </w:pPr>
      <w:r>
        <w:rPr>
          <w:rFonts w:ascii="Arial" w:cs="Arial" w:eastAsia="Arial" w:hAnsi="Arial"/>
          <w:sz w:val="16"/>
          <w:szCs w:val="16"/>
          <w:color w:val="auto"/>
        </w:rPr>
        <w:t>On June 5, 2019, the Company acquired 100% of the ownership interests of Integral Associates. The acquisition included Integral Associate’s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 of which an additional 3.9 million Subordinate Voting Shares have been issued as of November 30, 2019.</w:t>
      </w:r>
    </w:p>
    <w:p>
      <w:pPr>
        <w:spacing w:after="0" w:line="299" w:lineRule="exact"/>
        <w:rPr>
          <w:sz w:val="20"/>
          <w:szCs w:val="20"/>
          <w:color w:val="auto"/>
        </w:rPr>
      </w:pPr>
    </w:p>
    <w:p>
      <w:pPr>
        <w:ind w:left="1180" w:hanging="544"/>
        <w:spacing w:after="0"/>
        <w:tabs>
          <w:tab w:leader="none" w:pos="1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640" w:right="140"/>
        <w:spacing w:after="0" w:line="302" w:lineRule="auto"/>
        <w:rPr>
          <w:sz w:val="20"/>
          <w:szCs w:val="20"/>
          <w:color w:val="auto"/>
        </w:rPr>
      </w:pPr>
      <w:r>
        <w:rPr>
          <w:rFonts w:ascii="Arial" w:cs="Arial" w:eastAsia="Arial" w:hAnsi="Arial"/>
          <w:sz w:val="16"/>
          <w:szCs w:val="16"/>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of GTI Subordinate Voting Shares. The purchase agreement also includes additional consideration based upon performance targets.</w:t>
      </w:r>
    </w:p>
    <w:p>
      <w:pPr>
        <w:spacing w:after="0" w:line="299" w:lineRule="exact"/>
        <w:rPr>
          <w:sz w:val="20"/>
          <w:szCs w:val="20"/>
          <w:color w:val="auto"/>
        </w:rPr>
      </w:pPr>
    </w:p>
    <w:p>
      <w:pPr>
        <w:ind w:left="1180" w:hanging="544"/>
        <w:spacing w:after="0"/>
        <w:tabs>
          <w:tab w:leader="none" w:pos="11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color w:val="auto"/>
        </w:rPr>
        <w:t>On August 23, 2019, the Company acquired 100% of the ownership interests of New York-based Fiorello Pharmaceuticals, Inc. The consideration paid includes $46,000,000 of cash and 1,700,000 of the Company’s Subordinate Voting Shares. The acquisition includes the license and assets for one cultivation, one processing, and four retail facilities in New York.</w:t>
      </w:r>
    </w:p>
    <w:p>
      <w:pPr>
        <w:spacing w:after="0" w:line="326" w:lineRule="exact"/>
        <w:rPr>
          <w:sz w:val="20"/>
          <w:szCs w:val="20"/>
          <w:color w:val="auto"/>
        </w:rPr>
      </w:pPr>
    </w:p>
    <w:p>
      <w:pPr>
        <w:ind w:left="1180" w:hanging="544"/>
        <w:spacing w:after="0"/>
        <w:tabs>
          <w:tab w:leader="none" w:pos="11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KW Ventures Holdings, LLC</w:t>
      </w:r>
    </w:p>
    <w:p>
      <w:pPr>
        <w:spacing w:after="0" w:line="121" w:lineRule="exact"/>
        <w:rPr>
          <w:sz w:val="20"/>
          <w:szCs w:val="20"/>
          <w:color w:val="auto"/>
        </w:rPr>
      </w:pPr>
    </w:p>
    <w:p>
      <w:pPr>
        <w:ind w:left="640" w:right="80"/>
        <w:spacing w:after="0" w:line="312" w:lineRule="auto"/>
        <w:rPr>
          <w:sz w:val="20"/>
          <w:szCs w:val="20"/>
          <w:color w:val="auto"/>
        </w:rPr>
      </w:pPr>
      <w:r>
        <w:rPr>
          <w:rFonts w:ascii="Arial" w:cs="Arial" w:eastAsia="Arial" w:hAnsi="Arial"/>
          <w:sz w:val="16"/>
          <w:szCs w:val="16"/>
          <w:color w:val="auto"/>
        </w:rPr>
        <w:t>On January 1, 2019, the Company closed on its acquisition of KW Ventures Holdings, LLC (Firefly). Firefly holds a medical marijuana dispensary license from the Pennsylvania Department of Health and has operating dispensaries in Steelton, Carlisle, and York, Pennsylvania. The acquisition was an all stock transaction whereby consideration was satisfied through the issuance of Subordinate Voting Shares.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Noncontrolling Interests</w:t>
      </w:r>
    </w:p>
    <w:p>
      <w:pPr>
        <w:spacing w:after="0" w:line="127" w:lineRule="exact"/>
        <w:rPr>
          <w:sz w:val="20"/>
          <w:szCs w:val="20"/>
          <w:color w:val="auto"/>
        </w:rPr>
      </w:pPr>
    </w:p>
    <w:p>
      <w:pPr>
        <w:ind w:left="1180" w:hanging="544"/>
        <w:spacing w:after="0"/>
        <w:tabs>
          <w:tab w:leader="none" w:pos="1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of Noncontrolling Interests in GTI Pennsylvania, LLC</w:t>
      </w:r>
    </w:p>
    <w:p>
      <w:pPr>
        <w:spacing w:after="0" w:line="121" w:lineRule="exact"/>
        <w:rPr>
          <w:sz w:val="20"/>
          <w:szCs w:val="20"/>
          <w:color w:val="auto"/>
        </w:rPr>
      </w:pPr>
    </w:p>
    <w:p>
      <w:pPr>
        <w:ind w:left="640" w:right="80"/>
        <w:spacing w:after="0" w:line="302" w:lineRule="auto"/>
        <w:rPr>
          <w:sz w:val="20"/>
          <w:szCs w:val="20"/>
          <w:color w:val="auto"/>
        </w:rPr>
      </w:pPr>
      <w:r>
        <w:rPr>
          <w:rFonts w:ascii="Arial" w:cs="Arial" w:eastAsia="Arial" w:hAnsi="Arial"/>
          <w:sz w:val="16"/>
          <w:szCs w:val="16"/>
          <w:color w:val="auto"/>
        </w:rPr>
        <w:t>In December 2018, the Company issued the reciprocal put and call options to the noncontrolling interest holders of GTI Pennsylvania, LLC. On January 7, 2019, the Company closed on its acquisition of the remaining membership interest in GTI Pennsylvania, LLC from two noncontrolling partners. Following the transaction, the Company owns 100% of GTI Pennsylvania, LLC. The acquisition was an all stock transaction whereby consideration was satisfied through the issuance of 31,000 Multiple Voting Shares. Please see Note 15 for additional detail.</w:t>
      </w:r>
    </w:p>
    <w:p>
      <w:pPr>
        <w:spacing w:after="0" w:line="56" w:lineRule="exact"/>
        <w:rPr>
          <w:sz w:val="20"/>
          <w:szCs w:val="20"/>
          <w:color w:val="auto"/>
        </w:rPr>
      </w:pPr>
    </w:p>
    <w:p>
      <w:pPr>
        <w:ind w:left="1180" w:hanging="544"/>
        <w:spacing w:after="0"/>
        <w:tabs>
          <w:tab w:leader="none" w:pos="11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Interests in JB17, LLC</w:t>
      </w:r>
    </w:p>
    <w:p>
      <w:pPr>
        <w:spacing w:after="0" w:line="121"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to contributed surplus of $33,662,548 after the reclassification of the noncontrolling interest carrying balance upon the issuance date.</w:t>
      </w:r>
    </w:p>
    <w:p>
      <w:pPr>
        <w:spacing w:after="0" w:line="88" w:lineRule="exact"/>
        <w:rPr>
          <w:sz w:val="20"/>
          <w:szCs w:val="20"/>
          <w:color w:val="auto"/>
        </w:rPr>
      </w:pPr>
    </w:p>
    <w:p>
      <w:pPr>
        <w:ind w:left="1180" w:hanging="544"/>
        <w:spacing w:after="0"/>
        <w:tabs>
          <w:tab w:leader="none" w:pos="11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Nevada, LLC</w:t>
      </w:r>
    </w:p>
    <w:p>
      <w:pPr>
        <w:spacing w:after="0" w:line="12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In December 2018, the Company acquired the noncontrolling interests of GTI Nevada, LLC, in exchange for shares of the Company. The shares are to be issued in six tranches, the first of which was delivered in December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Transactions:</w:t>
      </w:r>
    </w:p>
    <w:p>
      <w:pPr>
        <w:spacing w:after="0" w:line="127" w:lineRule="exact"/>
        <w:rPr>
          <w:sz w:val="20"/>
          <w:szCs w:val="20"/>
          <w:color w:val="auto"/>
        </w:rPr>
      </w:pPr>
    </w:p>
    <w:p>
      <w:pPr>
        <w:ind w:left="1180" w:hanging="544"/>
        <w:spacing w:after="0"/>
        <w:tabs>
          <w:tab w:leader="none" w:pos="11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GTI Restructuring (Illinois and non-Illinois Businesses)</w:t>
      </w:r>
    </w:p>
    <w:p>
      <w:pPr>
        <w:spacing w:after="0" w:line="121" w:lineRule="exact"/>
        <w:rPr>
          <w:sz w:val="20"/>
          <w:szCs w:val="20"/>
          <w:color w:val="auto"/>
        </w:rPr>
      </w:pPr>
    </w:p>
    <w:p>
      <w:pPr>
        <w:ind w:left="640" w:right="100"/>
        <w:spacing w:after="0" w:line="257" w:lineRule="auto"/>
        <w:rPr>
          <w:sz w:val="20"/>
          <w:szCs w:val="20"/>
          <w:color w:val="auto"/>
        </w:rPr>
      </w:pPr>
      <w:r>
        <w:rPr>
          <w:rFonts w:ascii="Arial" w:cs="Arial" w:eastAsia="Arial" w:hAnsi="Arial"/>
          <w:sz w:val="18"/>
          <w:szCs w:val="18"/>
          <w:color w:val="auto"/>
        </w:rPr>
        <w:t>On January 1, 2018,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by GTI senior management. Subsequent to January 1, 2018, VCP23, LLC was controlled by the members of GTI-Clinic Illinois Holdings, LLC and RCP 23, LLC.</w:t>
      </w:r>
    </w:p>
    <w:p>
      <w:pPr>
        <w:spacing w:after="0" w:line="333" w:lineRule="exact"/>
        <w:rPr>
          <w:sz w:val="20"/>
          <w:szCs w:val="20"/>
          <w:color w:val="auto"/>
        </w:rPr>
      </w:pPr>
    </w:p>
    <w:p>
      <w:pPr>
        <w:ind w:left="1180" w:hanging="544"/>
        <w:spacing w:after="0"/>
        <w:tabs>
          <w:tab w:leader="none" w:pos="11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iAnthus Debenture Investment</w:t>
      </w:r>
    </w:p>
    <w:p>
      <w:pPr>
        <w:spacing w:after="0" w:line="121"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On January 17, 2018, GTI entered into a Debenture Purchase Agreement with iAnthus Capital Holdings, Inc. whereby GTI loaned $20 million to iAnthus for the purchase of a Florida medical cannabis business. As part of the Debenture Purchase Agreement, GTI received (i) an Unsecured Debenture with a principal amount of $20 million accruing interest at the rate of 15% per annum, and (ii) a Warrant Certificate providing GTI with 10,040,000 iAnthus warrants at a price of $1.9928 per common share. The Unsecured Debenture had a maturity of 12 months but had certain early repayment provisions in the event of subsequent capital offerings made by iAnthus. On May 16, 2018 iAnthus completed a capital raise and subsequently repaid the outstanding principal of $20,000,000 and accrued interest of $978,082 on the Unsecured Debenture.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w:t>
      </w:r>
    </w:p>
    <w:p>
      <w:pPr>
        <w:spacing w:after="0" w:line="121"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w:t>
      </w:r>
    </w:p>
    <w:p>
      <w:pPr>
        <w:spacing w:after="0" w:line="73"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73"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80"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w:t>
      </w:r>
    </w:p>
    <w:p>
      <w:pPr>
        <w:spacing w:after="0" w:line="73"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acquired net assets of Bayswater were nil, and all value was attributed to the acquiror (GTI).</w:t>
      </w:r>
    </w:p>
    <w:p>
      <w:pPr>
        <w:spacing w:after="0" w:line="370" w:lineRule="exact"/>
        <w:rPr>
          <w:sz w:val="20"/>
          <w:szCs w:val="20"/>
          <w:color w:val="auto"/>
        </w:rPr>
      </w:pPr>
    </w:p>
    <w:p>
      <w:pPr>
        <w:ind w:left="1180" w:hanging="544"/>
        <w:spacing w:after="0"/>
        <w:tabs>
          <w:tab w:leader="none" w:pos="1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640"/>
        <w:spacing w:after="0" w:line="297" w:lineRule="auto"/>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Upon the RTO transaction, the convertible notes payable were converted into 122,442 Multiple Voting shares and 2,211 Super Voting shares, carrying a total value of $44,140,526.</w:t>
      </w:r>
    </w:p>
    <w:p>
      <w:pPr>
        <w:spacing w:after="0" w:line="50" w:lineRule="exact"/>
        <w:rPr>
          <w:sz w:val="20"/>
          <w:szCs w:val="20"/>
          <w:color w:val="auto"/>
        </w:rPr>
      </w:pPr>
    </w:p>
    <w:p>
      <w:pPr>
        <w:ind w:left="640" w:right="120"/>
        <w:spacing w:after="0" w:line="255" w:lineRule="auto"/>
        <w:rPr>
          <w:sz w:val="20"/>
          <w:szCs w:val="20"/>
          <w:color w:val="auto"/>
        </w:rPr>
      </w:pPr>
      <w:r>
        <w:rPr>
          <w:rFonts w:ascii="Arial" w:cs="Arial" w:eastAsia="Arial" w:hAnsi="Arial"/>
          <w:sz w:val="18"/>
          <w:szCs w:val="18"/>
          <w:color w:val="auto"/>
        </w:rPr>
        <w:t>On April 25, 2018, Subscription Receipts were sold at a price of CAD $7.75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of Shares in Connection with Reverse Takeover </w:t>
      </w:r>
      <w:r>
        <w:rPr>
          <w:rFonts w:ascii="Arial" w:cs="Arial" w:eastAsia="Arial" w:hAnsi="Arial"/>
          <w:sz w:val="18"/>
          <w:szCs w:val="18"/>
          <w:color w:val="auto"/>
        </w:rPr>
        <w:t>(continued)</w:t>
      </w:r>
    </w:p>
    <w:p>
      <w:pPr>
        <w:spacing w:after="0" w:line="135"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CAD $7.75 per share. The options vested immediately and had a contractual life of two years.</w:t>
      </w:r>
    </w:p>
    <w:p>
      <w:pPr>
        <w:spacing w:after="0" w:line="310" w:lineRule="exact"/>
        <w:rPr>
          <w:sz w:val="20"/>
          <w:szCs w:val="20"/>
          <w:color w:val="auto"/>
        </w:rPr>
      </w:pPr>
    </w:p>
    <w:p>
      <w:pPr>
        <w:ind w:left="1180" w:hanging="544"/>
        <w:spacing w:after="0"/>
        <w:tabs>
          <w:tab w:leader="none" w:pos="11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color w:val="auto"/>
        </w:rPr>
        <w:t>In June 2018, the Company established the GTII Stock and Incentive Plan (the “Plan”). The maximum number of shares issued under the Plan shall not exceed 10% of the issued and outstanding shares. Equity incentives granted generally vest over one to three years, and typically have a life of ten years. Option grants are determined by the Compensation Committee of the Board with the option price set at no less than 100% of the fair market value of a share on the date of grant.</w:t>
      </w:r>
    </w:p>
    <w:p>
      <w:pPr>
        <w:spacing w:after="0" w:line="79"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During 2018 the Company granted 1,604,000 restricted stock units, to employees and directors, vesting over one to two years. During 2018, 15,000 of the restricted stock units were forfeited. Such units will be equity settled.</w:t>
      </w:r>
    </w:p>
    <w:p>
      <w:pPr>
        <w:spacing w:after="0" w:line="315" w:lineRule="exact"/>
        <w:rPr>
          <w:sz w:val="20"/>
          <w:szCs w:val="20"/>
          <w:color w:val="auto"/>
        </w:rPr>
      </w:pPr>
    </w:p>
    <w:p>
      <w:pPr>
        <w:ind w:left="1180" w:hanging="544"/>
        <w:spacing w:after="0"/>
        <w:tabs>
          <w:tab w:leader="none" w:pos="118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Bought Deals</w:t>
      </w:r>
    </w:p>
    <w:p>
      <w:pPr>
        <w:spacing w:after="0" w:line="121"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On August 2, 2018 the Company closed on its $61.7 million bought deal financing (the “Offering”) for 7,300,000 shares, co-led by Canaccord Genuity Corp. and GMP Securities L.P. and including Beacon Securities Limited, Echelon Wealth Partners Inc. and Eight Capital. Financing costs related to the Offering totaled $3.0 million (CAD $3.9 million).</w:t>
      </w:r>
    </w:p>
    <w:p>
      <w:pPr>
        <w:spacing w:after="0" w:line="73" w:lineRule="exact"/>
        <w:rPr>
          <w:sz w:val="20"/>
          <w:szCs w:val="20"/>
          <w:color w:val="auto"/>
        </w:rPr>
      </w:pPr>
    </w:p>
    <w:p>
      <w:pPr>
        <w:jc w:val="both"/>
        <w:ind w:left="640" w:right="100"/>
        <w:spacing w:after="0" w:line="259" w:lineRule="auto"/>
        <w:rPr>
          <w:sz w:val="20"/>
          <w:szCs w:val="20"/>
          <w:color w:val="auto"/>
        </w:rPr>
      </w:pPr>
      <w:r>
        <w:rPr>
          <w:rFonts w:ascii="Arial" w:cs="Arial" w:eastAsia="Arial" w:hAnsi="Arial"/>
          <w:sz w:val="18"/>
          <w:szCs w:val="18"/>
          <w:color w:val="auto"/>
        </w:rPr>
        <w:t>On October 17, 2018 the Company closed on its $78.8 million bought deal financing (the “Offering”) for 5,083,000 shares, co-led by Canaccord Genuity Corp. and GMP Securities L.P. and including Beacon Securities Limited, Echelon Wealth Partners Inc. and Eight Capital. The proceeds are intended to be used for business development, including wholesale capacity, strategic initiatives, and working capital. Financing costs related to the Offering totaled $4.3 million.</w:t>
      </w:r>
    </w:p>
    <w:p>
      <w:pPr>
        <w:spacing w:after="0" w:line="331" w:lineRule="exact"/>
        <w:rPr>
          <w:sz w:val="20"/>
          <w:szCs w:val="20"/>
          <w:color w:val="auto"/>
        </w:rPr>
      </w:pPr>
    </w:p>
    <w:p>
      <w:pPr>
        <w:ind w:left="1180" w:hanging="544"/>
        <w:spacing w:after="0"/>
        <w:tabs>
          <w:tab w:leader="none" w:pos="1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April 12, 2019, the Company completed a private placement of $12,500,000 in six-month senior secured</w:t>
      </w:r>
    </w:p>
    <w:p>
      <w:pPr>
        <w:spacing w:after="0" w:line="23" w:lineRule="exact"/>
        <w:rPr>
          <w:sz w:val="20"/>
          <w:szCs w:val="20"/>
          <w:color w:val="auto"/>
        </w:rPr>
      </w:pPr>
    </w:p>
    <w:p>
      <w:pPr>
        <w:ind w:left="640" w:right="60"/>
        <w:spacing w:after="0" w:line="302" w:lineRule="auto"/>
        <w:rPr>
          <w:sz w:val="20"/>
          <w:szCs w:val="20"/>
          <w:color w:val="auto"/>
        </w:rPr>
      </w:pPr>
      <w:r>
        <w:rPr>
          <w:rFonts w:ascii="Arial" w:cs="Arial" w:eastAsia="Arial" w:hAnsi="Arial"/>
          <w:sz w:val="16"/>
          <w:szCs w:val="16"/>
          <w:color w:val="auto"/>
        </w:rPr>
        <w:t>promissory notes. The Company has the right to draw an additional $12,500,000 from the lenders at any time within 120 days of closing. The notes accrue interest at an annual rate of 10.5%, payable on a monthly basis commencing June 1, 2019. Each $12,500,000 tranche also includes warrants to purchase 109,484 Subordinate Voting Shares at an exercise price of CAD $22.90, which can be exercised 42 months after the closing.</w:t>
      </w:r>
    </w:p>
    <w:p>
      <w:pPr>
        <w:spacing w:after="0" w:line="155"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On May 22, 2019, the Company completed a private placement of approximately $105.5 million in three-year senior secured promissory notes and extinguished the notes issued on April 12, 2019. The Company has the right to raise an additional approximately $44.5 million under the credit facility at any time within 180 days of closing. The Company also has the sole discretion to extend the financing an additional twelve months. The notes accrue interest at an annual rate of 12.0%, payable in cash on a quarterly basis commencing June 30, 2019. The purchasers of the Notes also received warrants to purchase 1,822,771 Subordinate Voting Shares at an exercise price of CAD $19.39, which can be exercised 60 months after the closing.</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80"/>
          </w:cols>
          <w:pgMar w:left="240" w:top="460"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121" w:lineRule="exact"/>
        <w:rPr>
          <w:sz w:val="20"/>
          <w:szCs w:val="20"/>
          <w:color w:val="auto"/>
        </w:rPr>
      </w:pPr>
    </w:p>
    <w:p>
      <w:pPr>
        <w:ind w:left="640" w:right="2740"/>
        <w:spacing w:after="0" w:line="264" w:lineRule="auto"/>
        <w:rPr>
          <w:sz w:val="20"/>
          <w:szCs w:val="20"/>
          <w:color w:val="auto"/>
        </w:rPr>
      </w:pPr>
      <w:r>
        <w:rPr>
          <w:rFonts w:ascii="Arial" w:cs="Arial" w:eastAsia="Arial" w:hAnsi="Arial"/>
          <w:sz w:val="18"/>
          <w:szCs w:val="18"/>
          <w:color w:val="auto"/>
        </w:rPr>
        <w:t>On November 12, 2019, the Company closed on a transaction to sell its Danville, Pennsylvania cultivation and processing facility to an unrelated third party. GTI will lease back the facility via a long-term agreement and continue to operate and manage it.</w:t>
      </w:r>
    </w:p>
    <w:p>
      <w:pPr>
        <w:spacing w:after="0" w:line="73"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color w:val="auto"/>
        </w:rPr>
        <w:t>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73"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As part of the transaction, GTI entered into the first amendment of the Notes Purchase Agreement whereby among other things, the amended agreement reduced the additional amount of funds available for borrowing from $44.5 million to $24.5 million and extended the time frame in which GTI may borrow these funds an additional 180 days to May 2020. As of September 30, 2019, GTI has not drawn any additional funds from the lenders.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80"/>
          </w:cols>
          <w:pgMar w:left="24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Members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Integral Associates Group of Companies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on the Combined Financial Statements</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We have audited the accompanying combined financial statements of Integral Associates Group of Companies (the “Company”) which comprise the combined balance sheets as of December 31, 2018 and 2017, and the related combined statements of income, members’ equity, and cash flows for the years then ended, and the related notes to the combined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Responsibility for the Combined Financial Statements</w:t>
      </w:r>
    </w:p>
    <w:p>
      <w:pPr>
        <w:spacing w:after="0" w:line="117"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combined financial statements that are free from material misstatement, whether due to fraud or error.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Our responsibility is to express an opinion on these combined financial statements based on our audits. We conducted our audits in accordance with auditing standards generally accepted in the United States of America. Those standards require that we plan and perform the audits to obtain reasonable assurance about whether the combined financial statements are free from material misstatement.</w:t>
      </w:r>
    </w:p>
    <w:p>
      <w:pPr>
        <w:spacing w:after="0" w:line="18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the Company’s preparation and fair presentation of the combined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In our opinion, the combined financial statements referred to on the previous page present fairly, in all material respects, the combined balance sheets of Integral Associates Group of Companies as of December 31, 2018 and 2017, and the combined statements of income, members’ equity and cash flows for the years then ended in accordance with accounting principles generally accepted in the United States of America.</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60"/>
          </w:cols>
          <w:pgMar w:left="24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ind w:left="3840"/>
              <w:spacing w:after="0" w:line="196" w:lineRule="exact"/>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5,368,074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1,441,739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8,479,260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447,042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15,736,115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6,761,047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8,362,970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156,160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22,653,322</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17,572,368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MEMBERS’ EQUITY</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Liabilities: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1,717,437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3,858,269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Liability</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5,585,760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3,753,474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Notes Payable, Net of Current Portion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Liability</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700"/>
              <w:spacing w:after="0"/>
              <w:rPr>
                <w:sz w:val="20"/>
                <w:szCs w:val="20"/>
                <w:color w:val="auto"/>
              </w:rPr>
            </w:pPr>
            <w:r>
              <w:rPr>
                <w:rFonts w:ascii="Arial" w:cs="Arial" w:eastAsia="Arial" w:hAnsi="Arial"/>
                <w:sz w:val="18"/>
                <w:szCs w:val="18"/>
                <w:color w:val="auto"/>
              </w:rPr>
              <w:t>Total Long-Term Liabilities</w:t>
            </w: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5,589,948</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 MEMBERS’ EQUITY</w:t>
            </w: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17,063,374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13,504,651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22,653,322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17,572,368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Income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6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2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$ 60,261,432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30,420,101</w:t>
            </w: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Goods Sold</w:t>
            </w:r>
          </w:p>
        </w:tc>
        <w:tc>
          <w:tcPr>
            <w:tcW w:w="26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35,192,662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15,702,502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25,068,770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14,717,599</w:t>
            </w:r>
          </w:p>
        </w:tc>
        <w:tc>
          <w:tcPr>
            <w:tcW w:w="14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7,614,328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6,741,483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1,198,423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1,006,311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616,547</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6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9,509,144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8,364,341</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15,559,626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6,353,258</w:t>
            </w:r>
          </w:p>
        </w:tc>
        <w:tc>
          <w:tcPr>
            <w:tcW w:w="14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6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w:t>
            </w: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Income from Sale of License</w:t>
            </w:r>
          </w:p>
        </w:tc>
        <w:tc>
          <w:tcPr>
            <w:tcW w:w="26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187,500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Licensing Agreement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447,770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License Application Fees</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(3,108,536)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3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Total Other (Expense) Income, Net</w:t>
            </w:r>
          </w:p>
        </w:tc>
        <w:tc>
          <w:tcPr>
            <w:tcW w:w="26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(2,341,467)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629,770</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$ 13,218,159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6,983,028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Members’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2017</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16,335,438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6,983,028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Members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Distributions to Members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Distributions to Members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(7,763,815)</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2017</w:t>
            </w:r>
          </w:p>
        </w:tc>
        <w:tc>
          <w:tcPr>
            <w:tcW w:w="3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13,504,651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13,218,159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Distributions to Members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(9,659,436)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17,063,374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13,218,159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6,983,028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1,998,379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1,003,926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Reserve for Allowance and Bad Debt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(1,052,676)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(3,756,984)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(4,193,151)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(89,534)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from Related Party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Liabilities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2,479,110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Other Current Liability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11,752,990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6,645,204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(396,456)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(1,042,386)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(396,456)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(1,042,386)</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Members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Distributions to Members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(9,659,436)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(4,020,000)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Repayments of Notes Payable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(9,669,490)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(2,060,054)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3,542,764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BEGINNING OF YEAR</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3,681,030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YEAR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5,368,074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3,681,030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TRANSACTIONS: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Issued for Purchase of Property and Equipment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40"/>
              <w:spacing w:after="0"/>
              <w:rPr>
                <w:sz w:val="20"/>
                <w:szCs w:val="20"/>
                <w:color w:val="auto"/>
              </w:rPr>
            </w:pPr>
            <w:r>
              <w:rPr>
                <w:rFonts w:ascii="Arial" w:cs="Arial" w:eastAsia="Arial" w:hAnsi="Arial"/>
                <w:sz w:val="18"/>
                <w:szCs w:val="18"/>
                <w:color w:val="auto"/>
              </w:rPr>
              <w:t>Non-Cash Payment of Property and Equipment and Due from Related Party</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5,564,764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Distributions to Members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7,763,815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Integral Associates Group of Companies includes the following companies: Integral Associates, LLC (“IA”), ABCATM, LLC (ABCATM), and Integral Associates CA, LLC (“IACA”) (collectively,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Prior to 2018, Integral Associates Group of Companies includes the following companies: IA, Integral Associates II, LLC (“IA II”) and ABCATM.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2018, the Company was reorganized to merge IA II into IA and created IACA to hold and operate various entities and operations in California.</w:t>
      </w:r>
    </w:p>
    <w:p>
      <w:pPr>
        <w:spacing w:after="0" w:line="23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Through IA, the Company leases and operates a 54,000 square foot state-of-the art cultivation and production facility (see “Note 10 – Commitments and Contingencies”). The cultivation operation is controlled by a sophisticated computerized system that manages the cultivation cycle such as water mix, nutrient consumption and temperatures. The production operations produce various products, including concentrates, edibles and disposable electronic vaporizers. All products produced from the cultivation operation and production operations are sold to various dispensaries. IA also owns and operates three strategically located dispensaries in Nevada. The dispensaries are located in Clark County on Tropicana Avenue, in the city of Las Vegas on Las Vegas Boulevard, and in the city of Henderson on Sunset Boulevard.</w:t>
      </w:r>
    </w:p>
    <w:p>
      <w:pPr>
        <w:spacing w:after="0" w:line="17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Through IACA, the Company intends to own and operate manufacturing, cultivation, distribution and dispensaries in the state of California, which are currently subject to regulatory approval.</w:t>
      </w:r>
    </w:p>
    <w:p>
      <w:pPr>
        <w:spacing w:after="0" w:line="17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Prior to March 31, 2017, IA, IA II and ABCATM were each owned equally by three members: KHOD Holdings, LLC (“KHOD”), GV Health Partners, LLC (“GV”) and Unified, LLC (“Unified”). On March 31, 2017, the members entered into a Membership Interest Agreement (the “MIA”) whereby Unified agreed to exchange its membership interests in IA, IA II and ABCATM for the membership interest of a related party company. As a result of the MIA, IA, IA II and ABCATM are now each owned equally by KHOD and GV. In conjunction with the MIA, Unified agreed to repay the related party balance due to the Company through a contribution of property and equipment. The remaining balance due to the Company was forgiven and distributed to Unified (see “Note 8 – Members’ Equity”).</w:t>
      </w:r>
    </w:p>
    <w:p>
      <w:pPr>
        <w:spacing w:after="0" w:line="338"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are presented in accordance with accounting principles generally accepted in the United States of America (“GAAP”).</w:t>
      </w:r>
    </w:p>
    <w:p>
      <w:pPr>
        <w:spacing w:after="0" w:line="62"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6"/>
          <w:szCs w:val="16"/>
          <w:color w:val="auto"/>
        </w:rPr>
        <w:t>The following are the Company’s subsidiaries that are included in these combined financial statements 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-767715</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Integral Associates, LLC</w:t>
      </w:r>
    </w:p>
    <w:p>
      <w:pPr>
        <w:spacing w:after="0" w:line="20"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5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Entity</w:t>
            </w:r>
          </w:p>
        </w:tc>
        <w:tc>
          <w:tcPr>
            <w:tcW w:w="16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w w:val="92"/>
              </w:rPr>
              <w:t>Ownership</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Essence Henderson, LLC</w:t>
            </w:r>
          </w:p>
        </w:tc>
        <w:tc>
          <w:tcPr>
            <w:tcW w:w="1680" w:type="dxa"/>
            <w:vAlign w:val="bottom"/>
            <w:shd w:val="clear" w:color="auto" w:fill="CCEEFF"/>
          </w:tcPr>
          <w:p>
            <w:pPr>
              <w:ind w:left="118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Essence LV Blvd, LLC</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Tropicana, LLC</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Integral Production, LLC</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Cultivation, LLC</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Integral Associates (New Jersey Limted Liability Company)</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ENJ Acquisitions, LLC</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Essence Route 22, LLC</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80" w:type="dxa"/>
            <w:vAlign w:val="bottom"/>
          </w:tcPr>
          <w:p>
            <w:pPr>
              <w:ind w:left="3640"/>
              <w:spacing w:after="0"/>
              <w:rPr>
                <w:sz w:val="20"/>
                <w:szCs w:val="20"/>
                <w:color w:val="auto"/>
              </w:rPr>
            </w:pPr>
            <w:r>
              <w:rPr>
                <w:rFonts w:ascii="Arial" w:cs="Arial" w:eastAsia="Arial" w:hAnsi="Arial"/>
                <w:sz w:val="18"/>
                <w:szCs w:val="18"/>
                <w:color w:val="auto"/>
              </w:rPr>
              <w:t>F-83</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Integral Associates CA, LLC</w:t>
      </w:r>
    </w:p>
    <w:p>
      <w:pPr>
        <w:spacing w:after="0" w:line="20"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4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Entity</w:t>
            </w:r>
          </w:p>
        </w:tc>
        <w:tc>
          <w:tcPr>
            <w:tcW w:w="28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color w:val="auto"/>
                <w:w w:val="92"/>
              </w:rPr>
              <w:t>Ownership</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Essense WeHo, LLC</w:t>
            </w:r>
          </w:p>
        </w:tc>
        <w:tc>
          <w:tcPr>
            <w:tcW w:w="2800" w:type="dxa"/>
            <w:vAlign w:val="bottom"/>
            <w:shd w:val="clear" w:color="auto" w:fill="CCEEFF"/>
          </w:tcPr>
          <w:p>
            <w:pPr>
              <w:jc w:val="right"/>
              <w:ind w:right="31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97.5%</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Essence DTLA, LLC</w:t>
            </w:r>
          </w:p>
        </w:tc>
        <w:tc>
          <w:tcPr>
            <w:tcW w:w="2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La Cienaga, LLC</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Essence Melrose, LLC</w:t>
            </w:r>
          </w:p>
        </w:tc>
        <w:tc>
          <w:tcPr>
            <w:tcW w:w="2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CC, LLC</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Ant Distribution, LLC</w:t>
            </w:r>
          </w:p>
        </w:tc>
        <w:tc>
          <w:tcPr>
            <w:tcW w:w="2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Dena, LLC</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ind w:left="640" w:hanging="436"/>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Nevada Limited Liability Company</w:t>
      </w:r>
    </w:p>
    <w:p>
      <w:pPr>
        <w:spacing w:after="0" w:line="23" w:lineRule="exact"/>
        <w:rPr>
          <w:sz w:val="20"/>
          <w:szCs w:val="20"/>
          <w:color w:val="auto"/>
        </w:rPr>
      </w:pPr>
    </w:p>
    <w:p>
      <w:pPr>
        <w:ind w:left="640" w:hanging="436"/>
        <w:spacing w:after="0"/>
        <w:tabs>
          <w:tab w:leader="none" w:pos="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New Jersey Limited Liability Company, for which operations have not commenced as of December 31,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California Limited Liability Company, for which operations have not commenced as of December 31, 2018</w:t>
      </w:r>
    </w:p>
    <w:p>
      <w:pPr>
        <w:spacing w:after="0" w:line="355"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Combination</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include entities which are controlled either through common control or common management. Control exists when the Company has the power, directly and indirectly, to govern the financial and operating policies of an entity and be exposed to the variable returns from its activities. Common management exists when entities operate under the terms of management service agreements. All entities were either under common control or management throughout the years ended December 31, 2018 and 2017.</w:t>
      </w:r>
    </w:p>
    <w:p>
      <w:pPr>
        <w:spacing w:after="0" w:line="80"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combined financial statements include the accounts of the Company and its affiliates: IA, IACA and ABCATM. All significant intercompany balances and transactions have been eliminated in combination.</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Cash include cash deposits in financial institutions and cash held at its facilities.</w:t>
      </w:r>
    </w:p>
    <w:p>
      <w:pPr>
        <w:spacing w:after="0" w:line="36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at the invoiced amount and do not bear interest. An allowance for doubtful accounts is recorded for any amounts deemed uncollectable. The Company reviews all outstanding accounts receivable for collectability on a quarterly basis and does not accrue interest receivable on past due accounts receivable. As of December 31, 2018, the Company recorded an allowance of $29,615. There was no allowance as of December 31, 2017.</w:t>
      </w:r>
    </w:p>
    <w:p>
      <w:pPr>
        <w:spacing w:after="0" w:line="33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 Costs incurred during the growing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60"/>
          </w:cols>
          <w:pgMar w:left="240" w:top="460"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production process are capitalized as incurred to the extent that cost is less than net realizable value. These costs include materials, labor and manufacturing overhead used in the growing and production processes. Net realizable value is determined as the estimated selling price in the ordinary course of business less the estimated costs of completion and the estimated costs necessary to make the sale. Cost is determined using the weighted average cost basis. The Company reviews inventories for obsolete, redundant and slow moving goods and any such inventories identified are written down to net realizable value. At December 31, 2018 and 2017, there were no reserves for inventories required.</w:t>
      </w:r>
    </w:p>
    <w:p>
      <w:pPr>
        <w:spacing w:after="0" w:line="337"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12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investments under ASC 323, “Investment – Equity Method and Joint Ventures”. Investments are first evaluated if whether an investor has the ability to exercise significant influence. Significant influence is defined as the following: a) significant direct or indirect holding of the outstanding voting securities with more than 20 percent; b) representation on the board of directors; c) participation in the policy – making processes; d) significant intercompany transactions; e) technology dependency; f) investee dependence on the investor; g) interchange of managerial personal and g) extent of ownership by an investor in relation to the concentration of other shareholders. Investments in joint venture with significant influence are accounted for using the equity method of accounting. Interests in joint venture accounted for using the equity method are initially recognized at cost. Subsequent adjustments should be made through recognition in the profit-and-losses and through recognition in shareholders’ equity for other post-acquisition changes in the investee’s net assets. During the year ended December 31, 2017, the Company’s prior investment in a joint venture was dissolved. Accordingly, the Company has no investment as of December 31, 2018 and December 31, 2017.</w:t>
      </w:r>
    </w:p>
    <w:p>
      <w:pPr>
        <w:spacing w:after="0" w:line="32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120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Property and equipment is stated at cost,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-3830320</wp:posOffset>
            </wp:positionV>
            <wp:extent cx="6997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00" w:type="dxa"/>
            <w:vAlign w:val="bottom"/>
            <w:gridSpan w:val="2"/>
          </w:tcPr>
          <w:p>
            <w:pPr>
              <w:ind w:left="1540"/>
              <w:spacing w:after="0"/>
              <w:rPr>
                <w:sz w:val="20"/>
                <w:szCs w:val="20"/>
                <w:color w:val="auto"/>
              </w:rPr>
            </w:pPr>
            <w:r>
              <w:rPr>
                <w:rFonts w:ascii="Arial" w:cs="Arial" w:eastAsia="Arial" w:hAnsi="Arial"/>
                <w:sz w:val="18"/>
                <w:szCs w:val="18"/>
                <w:color w:val="auto"/>
                <w:w w:val="91"/>
              </w:rPr>
              <w:t>Remaining Life of the Lease</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5 –</w:t>
            </w:r>
          </w:p>
        </w:tc>
        <w:tc>
          <w:tcPr>
            <w:tcW w:w="118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Automobiles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Years</w:t>
            </w:r>
          </w:p>
        </w:tc>
      </w:tr>
    </w:tbl>
    <w:p>
      <w:pPr>
        <w:spacing w:after="0" w:line="202" w:lineRule="exact"/>
        <w:rPr>
          <w:sz w:val="20"/>
          <w:szCs w:val="20"/>
          <w:color w:val="auto"/>
        </w:rPr>
      </w:pPr>
    </w:p>
    <w:p>
      <w:pPr>
        <w:ind w:left="1200" w:right="40"/>
        <w:spacing w:after="0" w:line="279" w:lineRule="auto"/>
        <w:rPr>
          <w:sz w:val="20"/>
          <w:szCs w:val="20"/>
          <w:color w:val="auto"/>
        </w:rPr>
      </w:pPr>
      <w:r>
        <w:rPr>
          <w:rFonts w:ascii="Arial" w:cs="Arial" w:eastAsia="Arial" w:hAnsi="Arial"/>
          <w:sz w:val="17"/>
          <w:szCs w:val="17"/>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Combined Statements of Income in the year the asset is derecognized.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lease of property and equipment is classified as a capital lease if it transfers substantially all the risks and awards incidental to ownership to the Company. A lease of property and equipment is classified as an operating lease whenever the terms of the lease do not transfer substantially all of the risks and rewards of ownership to the lessee. Lease payments are recognized as an expense on a straight-line basis over the lease term, except where another systematic basis is more representative of the time pattern in which the economic benefits are consumed.</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Cost of Goods Sold</w:t>
      </w:r>
    </w:p>
    <w:p>
      <w:pPr>
        <w:spacing w:after="0" w:line="121" w:lineRule="exact"/>
        <w:rPr>
          <w:rFonts w:ascii="Arial" w:cs="Arial" w:eastAsia="Arial" w:hAnsi="Arial"/>
          <w:sz w:val="18"/>
          <w:szCs w:val="18"/>
          <w:b w:val="1"/>
          <w:bCs w:val="1"/>
          <w:color w:val="auto"/>
        </w:rPr>
      </w:pPr>
    </w:p>
    <w:p>
      <w:pPr>
        <w:ind w:left="12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Cost of goods sold includes costs directly attributable to product sales and includes amounts paid for finished goods, such as flower, edibles and concentrates, as well as production and processing costs, packaging and other supplies, fees for services and processing, other expenses for services, and allocated overhead.</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Sales and marketing costs are expensed as incurred. Costs associated with sales and marketing totaling $ 1,198,423 and $ 1,006,311 for the years ended December 31, 2018 and 2017, respectively.</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Shipping</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7"/>
          <w:szCs w:val="17"/>
          <w:color w:val="auto"/>
        </w:rPr>
        <w:t>The Company uses a third party distributor to deliver its products to third-party dispensaries. Costs associated with shipping totaling</w:t>
      </w:r>
    </w:p>
    <w:p>
      <w:pPr>
        <w:spacing w:after="0" w:line="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6"/>
          <w:szCs w:val="16"/>
          <w:color w:val="auto"/>
        </w:rPr>
        <w:t>$520,535 and $569,298 have been included as part of cost of goods sold for the years ended December 31, 2018 and 2017, respectively.</w:t>
      </w:r>
    </w:p>
    <w:p>
      <w:pPr>
        <w:spacing w:after="0" w:line="37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at the fair value of consideration received or receivable. Revenue from the sale of goods is recognized when all the following conditions have been satisfied, which are generally met once the products are shipped to customers:</w:t>
      </w:r>
    </w:p>
    <w:p>
      <w:pPr>
        <w:spacing w:after="0" w:line="51" w:lineRule="exact"/>
        <w:rPr>
          <w:rFonts w:ascii="Arial" w:cs="Arial" w:eastAsia="Arial" w:hAnsi="Arial"/>
          <w:sz w:val="18"/>
          <w:szCs w:val="18"/>
          <w:b w:val="1"/>
          <w:bCs w:val="1"/>
          <w:color w:val="auto"/>
        </w:rPr>
      </w:pPr>
    </w:p>
    <w:p>
      <w:pPr>
        <w:ind w:left="1620" w:hanging="322"/>
        <w:spacing w:after="0"/>
        <w:tabs>
          <w:tab w:leader="none" w:pos="162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Company has transferred the significant risks and rewards of ownership of the goods to the customer;</w:t>
      </w:r>
    </w:p>
    <w:p>
      <w:pPr>
        <w:spacing w:after="0" w:line="130" w:lineRule="exact"/>
        <w:rPr>
          <w:rFonts w:ascii="Arial" w:cs="Arial" w:eastAsia="Arial" w:hAnsi="Arial"/>
          <w:sz w:val="18"/>
          <w:szCs w:val="18"/>
          <w:color w:val="auto"/>
        </w:rPr>
      </w:pPr>
    </w:p>
    <w:p>
      <w:pPr>
        <w:ind w:left="1620" w:right="460" w:hanging="322"/>
        <w:spacing w:after="0" w:line="277" w:lineRule="auto"/>
        <w:tabs>
          <w:tab w:leader="none" w:pos="162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customer;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369" w:lineRule="exact"/>
        <w:rPr>
          <w:rFonts w:ascii="Arial" w:cs="Arial" w:eastAsia="Arial" w:hAnsi="Arial"/>
          <w:sz w:val="18"/>
          <w:szCs w:val="18"/>
          <w:color w:val="auto"/>
        </w:rPr>
      </w:pPr>
    </w:p>
    <w:p>
      <w:pPr>
        <w:ind w:left="1180" w:hanging="544"/>
        <w:spacing w:after="0"/>
        <w:tabs>
          <w:tab w:leader="none" w:pos="118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Loyalty Reward Program</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offers a loyalty reward program to its dispensary customers. Customers receive one point for every dollar purchase they make. For every 33 points, a customer earns $1 dollar towards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-5927725</wp:posOffset>
            </wp:positionV>
            <wp:extent cx="6997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Loyalty Reward Program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their next purchase. The Company’s loyalty point liability amounted to $535,388 and $423,988 for the years ended December 31, 2018 and 2017, respectively.</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members have elected to have the Company treated as a partnership for income tax purpose. As such, all the Company’s items of income, loss, deduction, and credit are passed through to, and taken into account by, the Company’s members in computing their own taxable income.</w:t>
      </w:r>
    </w:p>
    <w:p>
      <w:pPr>
        <w:spacing w:after="0" w:line="73"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Company operates in the cannabis industry, it is subject to the limits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120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combined financial instruments, including accounts receivable, accounts payable and accrued liabilities, approximate fair value due to the short maturity of these instruments. The carrying amounts of long-term debt approximate fair value because the interest rates fluctuate with market interest rates or the fix rate are based on current rates received by the Company for instruments with similar terms and maturities.</w:t>
      </w:r>
    </w:p>
    <w:p>
      <w:pPr>
        <w:spacing w:after="0" w:line="78" w:lineRule="exact"/>
        <w:rPr>
          <w:rFonts w:ascii="Arial" w:cs="Arial" w:eastAsia="Arial" w:hAnsi="Arial"/>
          <w:sz w:val="18"/>
          <w:szCs w:val="18"/>
          <w:b w:val="1"/>
          <w:bCs w:val="1"/>
          <w:color w:val="auto"/>
        </w:rPr>
      </w:pPr>
    </w:p>
    <w:p>
      <w:pPr>
        <w:ind w:left="120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combined financial statements.</w:t>
      </w:r>
    </w:p>
    <w:p>
      <w:pPr>
        <w:spacing w:after="0" w:line="57" w:lineRule="exact"/>
        <w:rPr>
          <w:rFonts w:ascii="Arial" w:cs="Arial" w:eastAsia="Arial" w:hAnsi="Arial"/>
          <w:sz w:val="18"/>
          <w:szCs w:val="18"/>
          <w:b w:val="1"/>
          <w:bCs w:val="1"/>
          <w:color w:val="auto"/>
        </w:rPr>
      </w:pPr>
    </w:p>
    <w:p>
      <w:pPr>
        <w:ind w:left="12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-3758565</wp:posOffset>
            </wp:positionV>
            <wp:extent cx="6997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6"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right="116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There have been no transfers between fair value levels during the years ended December 31, 2018 and 2017.</w:t>
      </w:r>
    </w:p>
    <w:p>
      <w:pPr>
        <w:spacing w:after="0" w:line="370" w:lineRule="exact"/>
        <w:rPr>
          <w:sz w:val="20"/>
          <w:szCs w:val="20"/>
          <w:color w:val="auto"/>
        </w:rPr>
      </w:pPr>
    </w:p>
    <w:p>
      <w:pPr>
        <w:ind w:left="1180" w:hanging="544"/>
        <w:spacing w:after="0"/>
        <w:tabs>
          <w:tab w:leader="none" w:pos="1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Risk</w:t>
      </w:r>
    </w:p>
    <w:p>
      <w:pPr>
        <w:spacing w:after="0" w:line="121" w:lineRule="exact"/>
        <w:rPr>
          <w:rFonts w:ascii="Arial" w:cs="Arial" w:eastAsia="Arial" w:hAnsi="Arial"/>
          <w:sz w:val="18"/>
          <w:szCs w:val="18"/>
          <w:b w:val="1"/>
          <w:bCs w:val="1"/>
          <w:color w:val="auto"/>
        </w:rPr>
      </w:pPr>
    </w:p>
    <w:p>
      <w:pPr>
        <w:ind w:left="12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concentrations of risk consists of cash. The Company maintains its cash with high-credit, quality financial institutions. At times, such deposits may be in excess of amounts insured by the Federal Deposit Insurance Corporation, up to $250,000 per bank. At December 31, 2018 and 2017, the Company had approximately $1,577,000 and $0 held in banks in excess of federally insured limits, respectively. The Company has not experienced any losses in such accounts and believes that is not exposed to any significant credit risk.</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00"/>
          </w:cols>
          <w:pgMar w:left="240" w:top="460" w:right="5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120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preparation of combined financial statements in conformity with GAAP requires management to make estimates and assumptions that affect the amounts reported in the combined financial statements and accompanying notes and related disclosures. Although these estimates are based on management’s best knowledge of current events and actions the Company may undertake in the future, actual results ultimately may differ from the estimates. Such estimates include the allowance in doubtful accounts, inventory related assumptions, loyalty program liability and useful lives and depreciation for property and equipment.</w:t>
      </w:r>
    </w:p>
    <w:p>
      <w:pPr>
        <w:spacing w:after="0" w:line="64"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a number of risks similar to those of other companies of similar size and having a focus on serving the cannabis industry, including limited number of suppliers, acquisitions and integration, and government regulations.</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Pronouncements Applicable in Future Years</w:t>
      </w:r>
    </w:p>
    <w:p>
      <w:pPr>
        <w:spacing w:after="0" w:line="134" w:lineRule="exact"/>
        <w:rPr>
          <w:rFonts w:ascii="Arial" w:cs="Arial" w:eastAsia="Arial" w:hAnsi="Arial"/>
          <w:sz w:val="18"/>
          <w:szCs w:val="18"/>
          <w:b w:val="1"/>
          <w:bCs w:val="1"/>
          <w:color w:val="auto"/>
        </w:rPr>
      </w:pPr>
    </w:p>
    <w:p>
      <w:pPr>
        <w:ind w:left="1620" w:right="40" w:hanging="430"/>
        <w:spacing w:after="0" w:line="273" w:lineRule="auto"/>
        <w:tabs>
          <w:tab w:leader="none" w:pos="1620" w:val="left"/>
        </w:tabs>
        <w:numPr>
          <w:ilvl w:val="2"/>
          <w:numId w:val="204"/>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ASU No. 2017-04 “Intangibles –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83" w:lineRule="exact"/>
        <w:rPr>
          <w:rFonts w:ascii="Arial" w:cs="Arial" w:eastAsia="Arial" w:hAnsi="Arial"/>
          <w:sz w:val="17"/>
          <w:szCs w:val="17"/>
          <w:i w:val="1"/>
          <w:iCs w:val="1"/>
          <w:color w:val="auto"/>
        </w:rPr>
      </w:pPr>
    </w:p>
    <w:p>
      <w:pPr>
        <w:ind w:left="1620" w:right="120" w:hanging="430"/>
        <w:spacing w:after="0" w:line="291" w:lineRule="auto"/>
        <w:tabs>
          <w:tab w:leader="none" w:pos="1620" w:val="left"/>
        </w:tabs>
        <w:numPr>
          <w:ilvl w:val="2"/>
          <w:numId w:val="204"/>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ASU No. 2016-02 “Leases (Topic 842)” (“ASU 2016-02”), which requires lessees to put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 2016-02 is permitted; however the Company plans to adopt the standard in the first quarter of 2019. The Company has completed its analysis of the impact of the adoption of ASU 2016-02 and expects to recognize material right-of-use assets and leased liabilities.</w:t>
      </w:r>
    </w:p>
    <w:p>
      <w:pPr>
        <w:spacing w:after="0" w:line="72" w:lineRule="exact"/>
        <w:rPr>
          <w:rFonts w:ascii="Arial" w:cs="Arial" w:eastAsia="Arial" w:hAnsi="Arial"/>
          <w:sz w:val="16"/>
          <w:szCs w:val="16"/>
          <w:i w:val="1"/>
          <w:iCs w:val="1"/>
          <w:color w:val="auto"/>
        </w:rPr>
      </w:pPr>
    </w:p>
    <w:p>
      <w:pPr>
        <w:ind w:left="1620" w:hanging="430"/>
        <w:spacing w:after="0" w:line="286" w:lineRule="auto"/>
        <w:tabs>
          <w:tab w:leader="none" w:pos="1620" w:val="left"/>
        </w:tabs>
        <w:numPr>
          <w:ilvl w:val="2"/>
          <w:numId w:val="204"/>
        </w:numPr>
        <w:rPr>
          <w:rFonts w:ascii="Arial" w:cs="Arial" w:eastAsia="Arial" w:hAnsi="Arial"/>
          <w:sz w:val="16"/>
          <w:szCs w:val="16"/>
          <w:i w:val="1"/>
          <w:iCs w:val="1"/>
          <w:color w:val="auto"/>
        </w:rPr>
      </w:pPr>
      <w:r>
        <w:rPr>
          <w:rFonts w:ascii="Arial" w:cs="Arial" w:eastAsia="Arial" w:hAnsi="Arial"/>
          <w:sz w:val="16"/>
          <w:szCs w:val="16"/>
          <w:color w:val="auto"/>
        </w:rPr>
        <w:t>In May 2014, the FASB issued ASU 2014-09 “Revenue from Contracts with Customers (Topic 606)” (“ASU 2014-09”), which outlines a single comprehensive model for entities to use in accounting for revenue using a five-step process that supersedes virtually all existing revenue guidance. ASU 2014-09 also requires additional quantitative and qualitative disclosures. In August 2015, the FASB issued ASU No. 2015-14 “Revenue from Contracts with Customers (Topic 606): Deferral of the Effective Date” (“ASU</w:t>
      </w:r>
    </w:p>
    <w:p>
      <w:pPr>
        <w:spacing w:after="0" w:line="1" w:lineRule="exact"/>
        <w:rPr>
          <w:rFonts w:ascii="Arial" w:cs="Arial" w:eastAsia="Arial" w:hAnsi="Arial"/>
          <w:sz w:val="16"/>
          <w:szCs w:val="16"/>
          <w:i w:val="1"/>
          <w:iCs w:val="1"/>
          <w:color w:val="auto"/>
        </w:rPr>
      </w:pPr>
    </w:p>
    <w:p>
      <w:pPr>
        <w:ind w:left="1620" w:right="20"/>
        <w:spacing w:after="0" w:line="277" w:lineRule="auto"/>
        <w:rPr>
          <w:rFonts w:ascii="Arial" w:cs="Arial" w:eastAsia="Arial" w:hAnsi="Arial"/>
          <w:sz w:val="16"/>
          <w:szCs w:val="16"/>
          <w:i w:val="1"/>
          <w:iCs w:val="1"/>
          <w:color w:val="auto"/>
        </w:rPr>
      </w:pPr>
      <w:r>
        <w:rPr>
          <w:rFonts w:ascii="Arial" w:cs="Arial" w:eastAsia="Arial" w:hAnsi="Arial"/>
          <w:sz w:val="17"/>
          <w:szCs w:val="17"/>
          <w:color w:val="auto"/>
        </w:rPr>
        <w:t>2015-14”), which defers the effective date of ASU 2014-09 to beginning after December 15, 2018 for private entities. Early adoption of ASU 2016-02 is permitted; however the Company plans to adopt the standard on January 1, 2019. The Company has completed its analysis of the impact of the adoption of ASU 2014-09 and has determined there will be no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-4708525</wp:posOffset>
            </wp:positionV>
            <wp:extent cx="6997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0"/>
          <w:szCs w:val="20"/>
          <w:color w:val="auto"/>
        </w:rPr>
      </w:pPr>
    </w:p>
    <w:p>
      <w:pPr>
        <w:ind w:left="640" w:hanging="436"/>
        <w:spacing w:after="0"/>
        <w:tabs>
          <w:tab w:leader="none" w:pos="6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accounts receivables include the following at December 31:</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12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$ 1,425,447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$ 265,394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Receivables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16,292</w:t>
            </w:r>
          </w:p>
        </w:tc>
        <w:tc>
          <w:tcPr>
            <w:tcW w:w="460" w:type="dxa"/>
            <w:vAlign w:val="bottom"/>
            <w:gridSpan w:val="3"/>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153,284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Accounts Receivables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$ 1,441,739</w:t>
            </w:r>
          </w:p>
        </w:tc>
        <w:tc>
          <w:tcPr>
            <w:tcW w:w="12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$ 418,678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6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INVENTORIES</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gridSpan w:val="3"/>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580" w:type="dxa"/>
            <w:vAlign w:val="bottom"/>
            <w:gridSpan w:val="3"/>
          </w:tcPr>
          <w:p>
            <w:pPr>
              <w:spacing w:after="0"/>
              <w:rPr>
                <w:sz w:val="20"/>
                <w:szCs w:val="20"/>
                <w:color w:val="auto"/>
              </w:rPr>
            </w:pPr>
            <w:r>
              <w:rPr>
                <w:rFonts w:ascii="Arial" w:cs="Arial" w:eastAsia="Arial" w:hAnsi="Arial"/>
                <w:sz w:val="18"/>
                <w:szCs w:val="18"/>
                <w:color w:val="auto"/>
              </w:rPr>
              <w:t>The Company’s inventories include the following at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8"/>
              </w:rPr>
              <w:t>$ 1,593,457</w:t>
            </w:r>
          </w:p>
        </w:tc>
        <w:tc>
          <w:tcPr>
            <w:tcW w:w="24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  887,213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supplies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438,028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30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2,031,486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887,213</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Work-in-Progress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3,255,692</w:t>
            </w:r>
          </w:p>
        </w:tc>
        <w:tc>
          <w:tcPr>
            <w:tcW w:w="2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1,207,290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Finished Goods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3,192,083</w:t>
            </w:r>
          </w:p>
        </w:tc>
        <w:tc>
          <w:tcPr>
            <w:tcW w:w="2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2,627,773</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$ 8,479,260</w:t>
            </w:r>
          </w:p>
        </w:tc>
        <w:tc>
          <w:tcPr>
            <w:tcW w:w="2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$ 4,722,276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6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gridSpan w:val="3"/>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580" w:type="dxa"/>
            <w:vAlign w:val="bottom"/>
            <w:gridSpan w:val="3"/>
          </w:tcPr>
          <w:p>
            <w:pPr>
              <w:spacing w:after="0"/>
              <w:rPr>
                <w:sz w:val="20"/>
                <w:szCs w:val="20"/>
                <w:color w:val="auto"/>
              </w:rPr>
            </w:pPr>
            <w:r>
              <w:rPr>
                <w:rFonts w:ascii="Arial" w:cs="Arial" w:eastAsia="Arial" w:hAnsi="Arial"/>
                <w:sz w:val="18"/>
                <w:szCs w:val="18"/>
                <w:color w:val="auto"/>
              </w:rPr>
              <w:t>The Company’s property and equipment consists of the following at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6,724,286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$ 6,549,520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3,381,107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3,255,422</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55,755</w:t>
            </w:r>
          </w:p>
        </w:tc>
        <w:tc>
          <w:tcPr>
            <w:tcW w:w="12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Computer Equipment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96,005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Gross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10,257,153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9,860,697</w:t>
            </w:r>
          </w:p>
        </w:tc>
        <w:tc>
          <w:tcPr>
            <w:tcW w:w="12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(3,496,106)</w:t>
            </w:r>
          </w:p>
        </w:tc>
        <w:tc>
          <w:tcPr>
            <w:tcW w:w="24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(1,497,727)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6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6,761,047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$ 8,362,970</w:t>
            </w:r>
          </w:p>
        </w:tc>
        <w:tc>
          <w:tcPr>
            <w:tcW w:w="12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Depreciation expense for the years ended December 31, 2018 and 2017, totaled $1,998,379 and $1,003,926, of which $1,301,986 and $387,379, respectively, was included in cost of goods sold.</w:t>
      </w:r>
    </w:p>
    <w:p>
      <w:pPr>
        <w:spacing w:after="0" w:line="315"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On April 27, 2014, the Company entered into an agreement with a consultant. The agreement provides that the consultant is entitled to receive annually an amount equal to 9% of the annual net profits earned by the Company solely attributed to their respective licensed business. On August 30, 2017, the Company entered into another agreement with the consultant. Pursuant to the agreement, the consultant agreed to forgo receiving 9% of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LIABILITY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annual net profits for $500,000, to be paid in five equal installments of $100,000 with the first payment paid on October 1, 2017 and the remaining payments of $100,000 each for the next four successive calendar years on October 1. The Company paid the remaining $400,000 on October 4, 2018. As of December 31, 2018 and 2017, the balances of other liability were $0 and $400,000, respectively.</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7.</w:t>
            </w:r>
          </w:p>
        </w:tc>
        <w:tc>
          <w:tcPr>
            <w:tcW w:w="8760" w:type="dxa"/>
            <w:vAlign w:val="bottom"/>
          </w:tcPr>
          <w:p>
            <w:pPr>
              <w:ind w:left="28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89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8920" w:type="dxa"/>
            <w:vAlign w:val="bottom"/>
            <w:gridSpan w:val="3"/>
          </w:tcPr>
          <w:p>
            <w:pPr>
              <w:spacing w:after="0"/>
              <w:rPr>
                <w:sz w:val="20"/>
                <w:szCs w:val="20"/>
                <w:color w:val="auto"/>
              </w:rPr>
            </w:pPr>
            <w:r>
              <w:rPr>
                <w:rFonts w:ascii="Arial" w:cs="Arial" w:eastAsia="Arial" w:hAnsi="Arial"/>
                <w:sz w:val="18"/>
                <w:szCs w:val="18"/>
                <w:color w:val="auto"/>
              </w:rPr>
              <w:t>The Company’s notes payable includes the following at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2"/>
              </w:rPr>
              <w:t>Automobile Loan – Secured promissory note issued for $ 20,107, which matures on February 18, 2020, and non-interest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bearing.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$ 10,892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2"/>
          </w:tcPr>
          <w:p>
            <w:pPr>
              <w:spacing w:after="0" w:line="201" w:lineRule="exact"/>
              <w:rPr>
                <w:sz w:val="20"/>
                <w:szCs w:val="20"/>
                <w:color w:val="auto"/>
              </w:rPr>
            </w:pPr>
            <w:r>
              <w:rPr>
                <w:rFonts w:ascii="Arial" w:cs="Arial" w:eastAsia="Arial" w:hAnsi="Arial"/>
                <w:sz w:val="18"/>
                <w:szCs w:val="18"/>
                <w:color w:val="auto"/>
                <w:w w:val="94"/>
              </w:rPr>
              <w:t>Automobile Loan – Secured promissory note issued for $ 20,107, which matures on August 27, 2020, and non-interest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bearing.</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(10,054)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$ 14,243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Allocations of profits and losses for each fiscal year are allocated pro rata in proportion to the member’s capital interest. There are no members units. No member has the right to transfer any or part of their membership interest without the express written permission of a vote of members.</w:t>
      </w:r>
    </w:p>
    <w:p>
      <w:pPr>
        <w:spacing w:after="0" w:line="14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During the years ended December 31, 2018 and 2017, the members of the Company contributed $0 and $1,970,000, respectively, to the Company for working capital needs.</w:t>
      </w:r>
    </w:p>
    <w:p>
      <w:pPr>
        <w:spacing w:after="0" w:line="17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During the years ended December 31, 2018 and 2017, the Company distributed $9,659,436 and $4,020,000, respectively, in cash to the members of the Company.</w:t>
      </w:r>
    </w:p>
    <w:p>
      <w:pPr>
        <w:spacing w:after="0" w:line="17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During the year ended December 31, 2017, two members of the Company agreed to repurchase the membership interest of the third member. The selling member agreed to take the interest of another related party company. As a result of this transaction, the selling member repaid a portion of the related party balance due from the related party company through a contribution of property and equipment of $5,564,764. The remaining related party balance due to the Company in the amount of $7,763,815 was forgiven. The balance forgiven was recorded as a non-cash distribution to the selling member.</w:t>
      </w:r>
    </w:p>
    <w:p>
      <w:pPr>
        <w:spacing w:after="0" w:line="299" w:lineRule="exact"/>
        <w:rPr>
          <w:sz w:val="20"/>
          <w:szCs w:val="20"/>
          <w:color w:val="auto"/>
        </w:rPr>
      </w:pPr>
    </w:p>
    <w:p>
      <w:pPr>
        <w:ind w:left="640" w:hanging="436"/>
        <w:spacing w:after="0"/>
        <w:tabs>
          <w:tab w:leader="none" w:pos="6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The Company started a joint venture during 2016 with an unaffiliated company in 50/50 ownership structure. The joint venture entity provides extraction and production of various cannabis related products. The Company used the equity method to account for its investment in the joint venture. Accordingly, the Company’s combined results of operations include its proportionate share of the net income or loss of the joint venture. There was no activity during 2016, thus, the Company had no remaining carrying value in the joint venture at December 31, 2016.</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jc w:val="both"/>
        <w:ind w:left="200" w:right="120"/>
        <w:spacing w:after="0" w:line="259" w:lineRule="auto"/>
        <w:rPr>
          <w:sz w:val="20"/>
          <w:szCs w:val="20"/>
          <w:color w:val="auto"/>
        </w:rPr>
      </w:pPr>
      <w:r>
        <w:rPr>
          <w:rFonts w:ascii="Arial" w:cs="Arial" w:eastAsia="Arial" w:hAnsi="Arial"/>
          <w:sz w:val="18"/>
          <w:szCs w:val="18"/>
          <w:color w:val="auto"/>
        </w:rPr>
        <w:t>During the year ended December 31, 2017, the Company dissolved the joint venture and entered into a licensing agreement with the unaffiliated third party. The licensing agreement provides for a license fee equal to 50 percent of the profits from the unaffiliated third party’s operations generated from the license. For the years ended December 31, 2018 and 2017, the proportionate shares of the income from the licensing agreement was $787,242 and $447,770, respectively.</w:t>
      </w:r>
    </w:p>
    <w:p>
      <w:pPr>
        <w:spacing w:after="0" w:line="331" w:lineRule="exact"/>
        <w:rPr>
          <w:sz w:val="20"/>
          <w:szCs w:val="20"/>
          <w:color w:val="auto"/>
        </w:rPr>
      </w:pPr>
    </w:p>
    <w:p>
      <w:pPr>
        <w:ind w:left="640" w:hanging="436"/>
        <w:spacing w:after="0"/>
        <w:tabs>
          <w:tab w:leader="none" w:pos="6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leases certain business facilities from third parties under operating lease agreements that specify minimum rentals. The leases expire through 2028 and contain certain renewal provisions. Additionally, certain leases provide for rent abatement, and rent expense is calculated on straight-line basis over the terms of the leases. The Company’s rent expense for the years ended December 31, 2018 and 2017, were approximately $933,000 and $635,000, of which $791,000 and $94,000, respectively was included in cost of goods sold, respectively.</w:t>
      </w:r>
    </w:p>
    <w:p>
      <w:pPr>
        <w:spacing w:after="0" w:line="80" w:lineRule="exact"/>
        <w:rPr>
          <w:rFonts w:ascii="Arial" w:cs="Arial" w:eastAsia="Arial" w:hAnsi="Arial"/>
          <w:sz w:val="18"/>
          <w:szCs w:val="18"/>
          <w:b w:val="1"/>
          <w:bCs w:val="1"/>
          <w:color w:val="auto"/>
        </w:rPr>
      </w:pPr>
    </w:p>
    <w:p>
      <w:pPr>
        <w:ind w:left="12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-1365885</wp:posOffset>
            </wp:positionV>
            <wp:extent cx="6997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Scheduled</w:t>
            </w:r>
          </w:p>
        </w:tc>
        <w:tc>
          <w:tcPr>
            <w:tcW w:w="0" w:type="dxa"/>
            <w:vAlign w:val="bottom"/>
          </w:tcPr>
          <w:p>
            <w:pPr>
              <w:spacing w:after="0"/>
              <w:rPr>
                <w:sz w:val="1"/>
                <w:szCs w:val="1"/>
                <w:color w:val="auto"/>
              </w:rPr>
            </w:pPr>
          </w:p>
        </w:tc>
      </w:tr>
      <w:tr>
        <w:trPr>
          <w:trHeight w:val="178"/>
        </w:trPr>
        <w:tc>
          <w:tcPr>
            <w:tcW w:w="4780" w:type="dxa"/>
            <w:vAlign w:val="bottom"/>
            <w:gridSpan w:val="3"/>
            <w:vMerge w:val="continue"/>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31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1,528,811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2020</w:t>
            </w:r>
          </w:p>
        </w:tc>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1,389,434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1,430,488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2022</w:t>
            </w:r>
          </w:p>
        </w:tc>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1,332,947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2,327,881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8,985,252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180" w:hanging="544"/>
        <w:spacing w:after="0"/>
        <w:tabs>
          <w:tab w:leader="none" w:pos="11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December 31, 2018, medical cannabis regulations continue to evolve and are subject to differing interpretations. As a result, the Company may be subject to regulatory fines, penalties, or restrictions in the future.</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jc w:val="both"/>
        <w:ind w:left="1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December 31, 2018 and 2017, there were no pending or threatened lawsuits that could reasonably be expected to have a material effect on the results of the Company’s combined operations. There are also no proceedings in which any of the Company’s directors, officers or affiliates is an adverse party or has a material interest adverse to the Company’s interest.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0"/>
          <w:szCs w:val="20"/>
          <w:color w:val="auto"/>
        </w:rPr>
      </w:pPr>
    </w:p>
    <w:p>
      <w:pPr>
        <w:ind w:left="640" w:hanging="436"/>
        <w:spacing w:after="0"/>
        <w:tabs>
          <w:tab w:leader="none" w:pos="6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During the year ended December 31, 2017 and as a result of the membership interest transaction during the year (see “Note 1 – Nature of Operations” and “Note 8 – Members’ Equity”), the Company’s former member contributed $5,564,764 of property and equipment to the Company for partial repayment of the $13,328,579 balance due from a related party entity that the former member owned. The succeeding members of the Company forgave the remaining balance of $7,763,815 due to the Company as a non-cash distribution to the selling member. As a result of the transaction, no amount is due from the related party as of December 31, 2017.</w:t>
      </w:r>
    </w:p>
    <w:p>
      <w:pPr>
        <w:spacing w:after="0" w:line="333" w:lineRule="exact"/>
        <w:rPr>
          <w:sz w:val="20"/>
          <w:szCs w:val="20"/>
          <w:color w:val="auto"/>
        </w:rPr>
      </w:pPr>
    </w:p>
    <w:p>
      <w:pPr>
        <w:ind w:left="640" w:hanging="436"/>
        <w:spacing w:after="0"/>
        <w:tabs>
          <w:tab w:leader="none" w:pos="6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Management has evaluated subsequent events through December 20, 2019, the date the combined financial statements were available to be issued. All subsequent events requiring recognition as of December 31, 2018 have been incorporated into these combined financial statements.</w:t>
      </w:r>
    </w:p>
    <w:p>
      <w:pPr>
        <w:spacing w:after="0" w:line="14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On June 5, 2019, a publicly traded company (“GTI”) acquired 100% of the ownership interests of Integral Associates Group of Companies. The acquisition included Integral Associates Group of Companies’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Members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Advanced Grow Labs, LLC and Subsidiaries</w:t>
      </w:r>
    </w:p>
    <w:p>
      <w:pPr>
        <w:spacing w:after="0" w:line="21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have audited the accompanying financial statements of Advanced Grow Labs, LLC and Subsidiaries (a Connecticut limited liability company), which comprise the balance sheet as of December 31, 2018, and the related statements of operations, members’ equity, and cash flows for the year then ended, and the related notes to the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Advanced Grow Labs, LLC and Subsidiaries as of December 31, 2018, and the results of its operations and its cash flows for the year then ended in accordance with accounting principles generally accepted in the United States of America.</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20"/>
          </w:cols>
          <w:pgMar w:left="240" w:top="459" w:right="4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9"/>
              </w:rPr>
              <w:t>ADVANCED GROW LABS, LLC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8"/>
              </w:rPr>
              <w:t>AND SUBSIDIARIES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8"/>
              </w:rPr>
              <w:t>Consolidated Balance Sheet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9"/>
              </w:rPr>
              <w:t>Year Ended December 31,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w w:val="91"/>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Due from Members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3"/>
          </w:tcPr>
          <w:p>
            <w:pPr>
              <w:ind w:left="20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6,011,124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12,778,041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60" w:type="dxa"/>
            <w:vAlign w:val="bottom"/>
            <w:vMerge w:val="restart"/>
          </w:tcPr>
          <w:p>
            <w:pPr>
              <w:jc w:val="center"/>
              <w:ind w:right="1170"/>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4,408,524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Payable to Members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9900" w:type="dxa"/>
            <w:vAlign w:val="bottom"/>
            <w:gridSpan w:val="2"/>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5,380,589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Payable, Net of Current Portion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5,451,461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EQUITY OF ADVANCED GROWTH LABS, LLC AND SUBSIDIARIES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MEMBERS’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12,778,041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40"/>
          </w:cols>
          <w:pgMar w:left="240" w:top="446" w:right="4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9"/>
              </w:rPr>
              <w:t>ADVANCED GROW LABS, LLC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8"/>
              </w:rPr>
              <w:t>AND SUBSIDIARIES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9"/>
              </w:rPr>
              <w:t>Consolidated Statement of Operations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9"/>
              </w:rPr>
              <w:t>Year Ended December 31,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17,016,743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6,818,485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10,198,258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Salaries and Benefits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Loss From Investment</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7,918,603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(368,216)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(338,026)</w:t>
            </w:r>
          </w:p>
        </w:tc>
        <w:tc>
          <w:tcPr>
            <w:tcW w:w="0" w:type="dxa"/>
            <w:vAlign w:val="bottom"/>
          </w:tcPr>
          <w:p>
            <w:pPr>
              <w:spacing w:after="0"/>
              <w:rPr>
                <w:sz w:val="1"/>
                <w:szCs w:val="1"/>
                <w:color w:val="auto"/>
              </w:rPr>
            </w:pPr>
          </w:p>
        </w:tc>
      </w:tr>
      <w:tr>
        <w:trPr>
          <w:trHeight w:val="230"/>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Income Before Non-Controlling Interest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7,580,577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Attributable To Non-Controlling Interest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Income Attributable To Advanced Grow Labs, LLC and Subsidiaries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7,663,458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40"/>
          </w:cols>
          <w:pgMar w:left="240" w:top="446"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Statement of Members’ Equity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Year Ended December 31,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Members’</w:t>
            </w: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2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$ 8,145,304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$ 8,145,304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24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3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(8,524,301)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(8,524,301)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2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7,663,458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(82,881)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7,580,577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$ 7,284,461</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$ 7,326,580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240" w:top="459" w:right="41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07"/>
        </w:trPr>
        <w:tc>
          <w:tcPr>
            <w:tcW w:w="102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8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ADVANCED GROW LABS, LLC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AND SUBSIDIARIES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60" w:type="dxa"/>
            <w:vAlign w:val="bottom"/>
          </w:tcPr>
          <w:p>
            <w:pPr>
              <w:jc w:val="center"/>
              <w:ind w:right="50"/>
              <w:spacing w:after="0"/>
              <w:rPr>
                <w:sz w:val="20"/>
                <w:szCs w:val="20"/>
                <w:color w:val="auto"/>
              </w:rPr>
            </w:pPr>
            <w:r>
              <w:rPr>
                <w:rFonts w:ascii="Arial" w:cs="Arial" w:eastAsia="Arial" w:hAnsi="Arial"/>
                <w:sz w:val="18"/>
                <w:szCs w:val="18"/>
                <w:color w:val="auto"/>
                <w:w w:val="89"/>
              </w:rPr>
              <w:t>Consolidated Statement of Cash Flows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60" w:type="dxa"/>
            <w:vAlign w:val="bottom"/>
          </w:tcPr>
          <w:p>
            <w:pPr>
              <w:jc w:val="center"/>
              <w:ind w:right="70"/>
              <w:spacing w:after="0"/>
              <w:rPr>
                <w:sz w:val="20"/>
                <w:szCs w:val="20"/>
                <w:color w:val="auto"/>
              </w:rPr>
            </w:pPr>
            <w:r>
              <w:rPr>
                <w:rFonts w:ascii="Arial" w:cs="Arial" w:eastAsia="Arial" w:hAnsi="Arial"/>
                <w:sz w:val="18"/>
                <w:szCs w:val="18"/>
                <w:color w:val="auto"/>
                <w:w w:val="89"/>
              </w:rPr>
              <w:t>Year Ended December 31,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Advanced Growth Labs, LLC and Subsidiaries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7,663,458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(82,881)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Net loss from 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382,487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(531,452)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(728,233)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(29,402)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(25,324)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Due from members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(85,865)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7,549,479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(778,735)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Purchase of 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(3,778,735)</w:t>
            </w: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Contributions from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Distributions to members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(9,478,058)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Principal repayments of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(6,364,235)</w:t>
            </w: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(2,593,491)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3,743,051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1,149,560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240" w:top="446"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1200" w:right="240"/>
        <w:spacing w:after="0" w:line="277" w:lineRule="auto"/>
        <w:rPr>
          <w:sz w:val="20"/>
          <w:szCs w:val="20"/>
          <w:color w:val="auto"/>
        </w:rPr>
      </w:pPr>
      <w:r>
        <w:rPr>
          <w:rFonts w:ascii="Arial" w:cs="Arial" w:eastAsia="Arial" w:hAnsi="Arial"/>
          <w:sz w:val="18"/>
          <w:szCs w:val="18"/>
          <w:color w:val="auto"/>
        </w:rPr>
        <w:t>References in this document to “the Company”, or “AGL”, are intended to mean the Advanced Grow Labs, LLC, individually, or as the context requires, collectively with its subsidiaries and affiliates on a consolidated basis.</w:t>
      </w:r>
    </w:p>
    <w:p>
      <w:pPr>
        <w:spacing w:after="0" w:line="62" w:lineRule="exact"/>
        <w:rPr>
          <w:sz w:val="20"/>
          <w:szCs w:val="20"/>
          <w:color w:val="auto"/>
        </w:rPr>
      </w:pPr>
    </w:p>
    <w:p>
      <w:pPr>
        <w:ind w:left="1200" w:right="120"/>
        <w:spacing w:after="0" w:line="264" w:lineRule="auto"/>
        <w:rPr>
          <w:sz w:val="20"/>
          <w:szCs w:val="20"/>
          <w:color w:val="auto"/>
        </w:rPr>
      </w:pPr>
      <w:r>
        <w:rPr>
          <w:rFonts w:ascii="Arial" w:cs="Arial" w:eastAsia="Arial" w:hAnsi="Arial"/>
          <w:sz w:val="18"/>
          <w:szCs w:val="18"/>
          <w:color w:val="auto"/>
        </w:rPr>
        <w:t>The Company is a licensed producer and distributor of medical cannabis in Connecticut pursuant to the provisions of the State of Connecticut regulations on such. The Company received its license from the State of Connecticut Department of Consumer Protection on February 6, 2014.</w:t>
      </w:r>
    </w:p>
    <w:p>
      <w:pPr>
        <w:spacing w:after="0" w:line="73"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In January 2018, the Company formed a wholly-owned subsidiary, AGLMA, LLC. In January and February 2018, AGLMA, LLC invested $3,000,000 for a 27% interest in CAL FUNDING, LLC, a Massachusetts limited liability company, which is a holding company for Mass Alternative Care, Inc. (“MAC”).</w:t>
      </w:r>
    </w:p>
    <w:p>
      <w:pPr>
        <w:spacing w:after="0" w:line="73" w:lineRule="exact"/>
        <w:rPr>
          <w:sz w:val="20"/>
          <w:szCs w:val="20"/>
          <w:color w:val="auto"/>
        </w:rPr>
      </w:pPr>
    </w:p>
    <w:p>
      <w:pPr>
        <w:jc w:val="both"/>
        <w:ind w:left="1200" w:right="180"/>
        <w:spacing w:after="0" w:line="342" w:lineRule="auto"/>
        <w:rPr>
          <w:sz w:val="20"/>
          <w:szCs w:val="20"/>
          <w:color w:val="auto"/>
        </w:rPr>
      </w:pPr>
      <w:r>
        <w:rPr>
          <w:rFonts w:ascii="Arial" w:cs="Arial" w:eastAsia="Arial" w:hAnsi="Arial"/>
          <w:sz w:val="16"/>
          <w:szCs w:val="16"/>
          <w:color w:val="auto"/>
        </w:rPr>
        <w:t>In addition to the State listed above the Company also conducts pre-licensing activities in other markets. In these markets, the Company has either applied for licenses, or plans on applying for licenses, but does not currently own any cultivation, production or retail licenses.</w:t>
      </w:r>
    </w:p>
    <w:p>
      <w:pPr>
        <w:spacing w:after="0" w:line="268" w:lineRule="exact"/>
        <w:rPr>
          <w:sz w:val="20"/>
          <w:szCs w:val="20"/>
          <w:color w:val="auto"/>
        </w:rPr>
      </w:pPr>
    </w:p>
    <w:p>
      <w:pPr>
        <w:ind w:left="640" w:hanging="436"/>
        <w:spacing w:after="0"/>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120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are presented in accordance with accounting principles generally accepted in the United States of America (“GAAP”).</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w:t>
      </w:r>
    </w:p>
    <w:p>
      <w:pPr>
        <w:spacing w:after="0" w:line="121" w:lineRule="exact"/>
        <w:rPr>
          <w:rFonts w:ascii="Arial" w:cs="Arial" w:eastAsia="Arial" w:hAnsi="Arial"/>
          <w:sz w:val="18"/>
          <w:szCs w:val="18"/>
          <w:b w:val="1"/>
          <w:bCs w:val="1"/>
          <w:color w:val="auto"/>
        </w:rPr>
      </w:pPr>
    </w:p>
    <w:p>
      <w:pPr>
        <w:ind w:left="1200" w:right="9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affiliates’ functional currency, as determined by management, is the United States (“U.S.”) dollar. These consolidated financial statements are presented in U.S. dollars.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its wholly owned subsidiaries, AGL Westport, LLC and AGLMA, LLC, and its 45.9% owned subsidiary Bluepoint Wellness of Westport, LLC. Significant intercompany accounts and transactions have been eliminated in consolidation.</w:t>
      </w:r>
    </w:p>
    <w:p>
      <w:pPr>
        <w:spacing w:after="0" w:line="73" w:lineRule="exact"/>
        <w:rPr>
          <w:rFonts w:ascii="Arial" w:cs="Arial" w:eastAsia="Arial" w:hAnsi="Arial"/>
          <w:sz w:val="18"/>
          <w:szCs w:val="18"/>
          <w:b w:val="1"/>
          <w:bCs w:val="1"/>
          <w:color w:val="auto"/>
        </w:rPr>
      </w:pPr>
    </w:p>
    <w:p>
      <w:pPr>
        <w:ind w:left="120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Non-controlling interests in the subsidiary held by parties other than by Advanced Grow Labs, LLC are presented in the consolidated balance sheet within equity, but separate from the equity of Advanced Grow Labs, LLC.</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7"/>
          <w:szCs w:val="17"/>
          <w:color w:val="auto"/>
        </w:rPr>
        <w:t>Cash and cash equivalents include cash deposits in financial institutions and other deposits that are readily convertible into cash.</w:t>
      </w:r>
    </w:p>
    <w:p>
      <w:pPr>
        <w:spacing w:after="0" w:line="1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represents funds held in escrow as required by the State of Connecticut Department of Consumer Protection. These funds are being released as the Company’s production facility remains operational in compliance with state regulations over certain periods of time. Restricted cash is included in cash and cash equivalents on the consolidated statement of cash flows. These funds were released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-3447415</wp:posOffset>
            </wp:positionV>
            <wp:extent cx="6997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Allowances</w:t>
      </w:r>
    </w:p>
    <w:p>
      <w:pPr>
        <w:spacing w:after="0" w:line="121" w:lineRule="exact"/>
        <w:rPr>
          <w:rFonts w:ascii="Arial" w:cs="Arial" w:eastAsia="Arial" w:hAnsi="Arial"/>
          <w:sz w:val="18"/>
          <w:szCs w:val="18"/>
          <w:b w:val="1"/>
          <w:bCs w:val="1"/>
          <w:color w:val="auto"/>
        </w:rPr>
      </w:pPr>
    </w:p>
    <w:p>
      <w:pPr>
        <w:ind w:left="1200" w:right="1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5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1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Inventories purchased from third parties, which include work in process, finished goods, and packaging and supplies, are valued at the lower of cost and net realizable value. Costs incurred during the growing and production process are capitalized as incurred to the extent that cost is less than net realizable value. Cost is determined using the weighted average costing method. Net realizable value is the estimated selling price in the ordinary course of business, less the estimated costs to sell. The Company reviews inventories for obsolete, redundant and slow moving goods and any such inventories identified are written down to net realizable value. At December 31, 2018 there was no reserve for inventories required.</w:t>
      </w:r>
    </w:p>
    <w:p>
      <w:pPr>
        <w:spacing w:after="0" w:line="7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120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Property and equipment is stated at cost,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-2826385</wp:posOffset>
            </wp:positionV>
            <wp:extent cx="6997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7</w:t>
            </w:r>
          </w:p>
        </w:tc>
        <w:tc>
          <w:tcPr>
            <w:tcW w:w="244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5</w:t>
            </w:r>
          </w:p>
        </w:tc>
        <w:tc>
          <w:tcPr>
            <w:tcW w:w="244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40" w:type="dxa"/>
            <w:vAlign w:val="bottom"/>
            <w:gridSpan w:val="2"/>
          </w:tcPr>
          <w:p>
            <w:pPr>
              <w:ind w:left="1000"/>
              <w:spacing w:after="0"/>
              <w:rPr>
                <w:sz w:val="20"/>
                <w:szCs w:val="20"/>
                <w:color w:val="auto"/>
              </w:rPr>
            </w:pPr>
            <w:r>
              <w:rPr>
                <w:rFonts w:ascii="Arial" w:cs="Arial" w:eastAsia="Arial" w:hAnsi="Arial"/>
                <w:sz w:val="18"/>
                <w:szCs w:val="18"/>
                <w:color w:val="auto"/>
                <w:w w:val="89"/>
              </w:rPr>
              <w:t>Lessor of 15 Years or Life of Lease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Equipment</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5</w:t>
            </w:r>
          </w:p>
        </w:tc>
        <w:tc>
          <w:tcPr>
            <w:tcW w:w="244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Automobiles</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5</w:t>
            </w:r>
          </w:p>
        </w:tc>
        <w:tc>
          <w:tcPr>
            <w:tcW w:w="2440" w:type="dxa"/>
            <w:vAlign w:val="bottom"/>
          </w:tcPr>
          <w:p>
            <w:pPr>
              <w:ind w:left="20"/>
              <w:spacing w:after="0"/>
              <w:rPr>
                <w:sz w:val="20"/>
                <w:szCs w:val="20"/>
                <w:color w:val="auto"/>
              </w:rPr>
            </w:pPr>
            <w:r>
              <w:rPr>
                <w:rFonts w:ascii="Arial" w:cs="Arial" w:eastAsia="Arial" w:hAnsi="Arial"/>
                <w:sz w:val="18"/>
                <w:szCs w:val="18"/>
                <w:color w:val="auto"/>
              </w:rPr>
              <w:t>Years</w:t>
            </w:r>
          </w:p>
        </w:tc>
      </w:tr>
    </w:tbl>
    <w:p>
      <w:pPr>
        <w:spacing w:after="0" w:line="94" w:lineRule="exact"/>
        <w:rPr>
          <w:sz w:val="20"/>
          <w:szCs w:val="20"/>
          <w:color w:val="auto"/>
        </w:rPr>
      </w:pPr>
    </w:p>
    <w:p>
      <w:pPr>
        <w:ind w:left="1200" w:right="20"/>
        <w:spacing w:after="0" w:line="279" w:lineRule="auto"/>
        <w:rPr>
          <w:sz w:val="20"/>
          <w:szCs w:val="20"/>
          <w:color w:val="auto"/>
        </w:rPr>
      </w:pPr>
      <w:r>
        <w:rPr>
          <w:rFonts w:ascii="Arial" w:cs="Arial" w:eastAsia="Arial" w:hAnsi="Arial"/>
          <w:sz w:val="17"/>
          <w:szCs w:val="17"/>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Consolidated Statements of Operations in the year the asset is derecognized.</w:t>
      </w:r>
    </w:p>
    <w:p>
      <w:pPr>
        <w:spacing w:after="0" w:line="73" w:lineRule="exact"/>
        <w:rPr>
          <w:sz w:val="20"/>
          <w:szCs w:val="20"/>
          <w:color w:val="auto"/>
        </w:rPr>
      </w:pPr>
    </w:p>
    <w:p>
      <w:pPr>
        <w:ind w:left="1180" w:hanging="544"/>
        <w:spacing w:after="0"/>
        <w:tabs>
          <w:tab w:leader="none" w:pos="11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w:t>
      </w:r>
    </w:p>
    <w:p>
      <w:pPr>
        <w:spacing w:after="0" w:line="121" w:lineRule="exact"/>
        <w:rPr>
          <w:rFonts w:ascii="Arial" w:cs="Arial" w:eastAsia="Arial" w:hAnsi="Arial"/>
          <w:sz w:val="18"/>
          <w:szCs w:val="18"/>
          <w:b w:val="1"/>
          <w:bCs w:val="1"/>
          <w:color w:val="auto"/>
        </w:rPr>
      </w:pPr>
    </w:p>
    <w:p>
      <w:pPr>
        <w:ind w:left="1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investments under ASC 323, “Investment – Equity Method and Joint Ventures”. Investments are first evaluated if whether an investor has the ability to exercise significant influence. Significant influence is defined as the following: a) significant direct or indirect holding of the outstanding voting securities with more than 20 percent; b) representation on the board of directors; c) participation in the policy – making processes; d) significant intercompany transactions;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hanging="4"/>
        <w:spacing w:after="0" w:line="257" w:lineRule="auto"/>
        <w:tabs>
          <w:tab w:leader="none" w:pos="1385" w:val="left"/>
        </w:tabs>
        <w:numPr>
          <w:ilvl w:val="2"/>
          <w:numId w:val="219"/>
        </w:numPr>
        <w:rPr>
          <w:rFonts w:ascii="Arial" w:cs="Arial" w:eastAsia="Arial" w:hAnsi="Arial"/>
          <w:sz w:val="18"/>
          <w:szCs w:val="18"/>
          <w:color w:val="auto"/>
        </w:rPr>
      </w:pPr>
      <w:r>
        <w:rPr>
          <w:rFonts w:ascii="Arial" w:cs="Arial" w:eastAsia="Arial" w:hAnsi="Arial"/>
          <w:sz w:val="18"/>
          <w:szCs w:val="18"/>
          <w:color w:val="auto"/>
        </w:rPr>
        <w:t>technology dependency; f) investee dependence on the investor; g) interchange of managerial personal and g) extent of ownership by an investor in relation to the concentration of other shareholders. Investments accounted for using the equity method are initially recognized at cost. Subsequent adjustments should be made through recognition in the profit-and-losses and through recognition in shareholders’ equity for other post-acquisition changes in the investee’s net assets. The Company has determined that its investment in CAL FUNDING, LLC should be accounted for under the equity method.</w:t>
      </w:r>
    </w:p>
    <w:p>
      <w:pPr>
        <w:spacing w:after="0" w:line="89" w:lineRule="exact"/>
        <w:rPr>
          <w:rFonts w:ascii="Arial" w:cs="Arial" w:eastAsia="Arial" w:hAnsi="Arial"/>
          <w:sz w:val="18"/>
          <w:szCs w:val="18"/>
          <w:color w:val="auto"/>
        </w:rPr>
      </w:pPr>
    </w:p>
    <w:p>
      <w:pPr>
        <w:ind w:left="1180" w:hanging="544"/>
        <w:spacing w:after="0"/>
        <w:tabs>
          <w:tab w:leader="none" w:pos="118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jc w:val="both"/>
        <w:ind w:left="1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 lease of property and equipment is classified as an operating lease whenever the terms of the lease do not transfer substantially all of the risks and rewards of ownership to the lessee. Lease payments are recognized as an expense on a straight-line basis over the lease term, and accordingly, the difference between cash rent payments and the recognition of rent expense is recorded as a deferred rent liability.</w:t>
      </w:r>
    </w:p>
    <w:p>
      <w:pPr>
        <w:spacing w:after="0" w:line="4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12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Members have elected to have the Company treated as a partnership for income tax purposes. As such, all the Company’s items of income, loss, deduction, and credit are passed through to, and taken into account by, the Company’s Members in computing their own taxable income.</w:t>
      </w:r>
    </w:p>
    <w:p>
      <w:pPr>
        <w:spacing w:after="0" w:line="73" w:lineRule="exact"/>
        <w:rPr>
          <w:rFonts w:ascii="Arial" w:cs="Arial" w:eastAsia="Arial" w:hAnsi="Arial"/>
          <w:sz w:val="18"/>
          <w:szCs w:val="18"/>
          <w:b w:val="1"/>
          <w:bCs w:val="1"/>
          <w:color w:val="auto"/>
        </w:rPr>
      </w:pPr>
    </w:p>
    <w:p>
      <w:pPr>
        <w:ind w:left="12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Company operates in the cannabis industry, it is subject to the limits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at the fair value of consideration received or receivable. Revenue from the sale of goods is recognized when all the following conditions have been satisfied, which are generally met once the products are shipped to customers:</w:t>
      </w:r>
    </w:p>
    <w:p>
      <w:pPr>
        <w:spacing w:after="0" w:line="51" w:lineRule="exact"/>
        <w:rPr>
          <w:rFonts w:ascii="Arial" w:cs="Arial" w:eastAsia="Arial" w:hAnsi="Arial"/>
          <w:sz w:val="18"/>
          <w:szCs w:val="18"/>
          <w:b w:val="1"/>
          <w:bCs w:val="1"/>
          <w:color w:val="auto"/>
        </w:rPr>
      </w:pPr>
    </w:p>
    <w:p>
      <w:pPr>
        <w:ind w:left="1620" w:hanging="322"/>
        <w:spacing w:after="0"/>
        <w:tabs>
          <w:tab w:leader="none" w:pos="1620" w:val="left"/>
        </w:tabs>
        <w:numPr>
          <w:ilvl w:val="3"/>
          <w:numId w:val="219"/>
        </w:numPr>
        <w:rPr>
          <w:rFonts w:ascii="Arial" w:cs="Arial" w:eastAsia="Arial" w:hAnsi="Arial"/>
          <w:sz w:val="18"/>
          <w:szCs w:val="18"/>
          <w:color w:val="auto"/>
        </w:rPr>
      </w:pPr>
      <w:r>
        <w:rPr>
          <w:rFonts w:ascii="Arial" w:cs="Arial" w:eastAsia="Arial" w:hAnsi="Arial"/>
          <w:sz w:val="18"/>
          <w:szCs w:val="18"/>
          <w:color w:val="auto"/>
        </w:rPr>
        <w:t>The Company has transferred the significant risks and rewards of ownership of the goods to the customer;</w:t>
      </w:r>
    </w:p>
    <w:p>
      <w:pPr>
        <w:spacing w:after="0" w:line="130" w:lineRule="exact"/>
        <w:rPr>
          <w:rFonts w:ascii="Arial" w:cs="Arial" w:eastAsia="Arial" w:hAnsi="Arial"/>
          <w:sz w:val="18"/>
          <w:szCs w:val="18"/>
          <w:color w:val="auto"/>
        </w:rPr>
      </w:pPr>
    </w:p>
    <w:p>
      <w:pPr>
        <w:ind w:left="1620" w:right="420" w:hanging="322"/>
        <w:spacing w:after="0" w:line="277" w:lineRule="auto"/>
        <w:tabs>
          <w:tab w:leader="none" w:pos="1620" w:val="left"/>
        </w:tabs>
        <w:numPr>
          <w:ilvl w:val="3"/>
          <w:numId w:val="219"/>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3"/>
          <w:numId w:val="219"/>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3"/>
          <w:numId w:val="219"/>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customer;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3"/>
          <w:numId w:val="219"/>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-4632325</wp:posOffset>
            </wp:positionV>
            <wp:extent cx="6997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spacing w:after="0" w:line="277" w:lineRule="auto"/>
        <w:rPr>
          <w:sz w:val="20"/>
          <w:szCs w:val="20"/>
          <w:color w:val="auto"/>
        </w:rPr>
      </w:pPr>
      <w:r>
        <w:rPr>
          <w:rFonts w:ascii="Arial" w:cs="Arial" w:eastAsia="Arial" w:hAnsi="Arial"/>
          <w:sz w:val="18"/>
          <w:szCs w:val="18"/>
          <w:color w:val="auto"/>
        </w:rPr>
        <w:t>For the year ended December 31, 2018, amounts recorded as revenues are net of allowances, discounts, and rebates totaling approximately $74,000.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80"/>
          </w:cols>
          <w:pgMar w:left="240" w:top="460"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financial instruments, including accounts receivable, accounts payable, accrued expenses, and short-term borrowings, approximate fair value due to the short maturity of these instruments. The carrying amounts of long-term debt approximate fair value because the interest rates fluctuate with market interest rates or the fix rate are based on current rates received by the Company for instruments with similar terms and maturities.</w:t>
      </w:r>
    </w:p>
    <w:p>
      <w:pPr>
        <w:spacing w:after="0" w:line="78" w:lineRule="exact"/>
        <w:rPr>
          <w:rFonts w:ascii="Arial" w:cs="Arial" w:eastAsia="Arial" w:hAnsi="Arial"/>
          <w:sz w:val="18"/>
          <w:szCs w:val="18"/>
          <w:b w:val="1"/>
          <w:bCs w:val="1"/>
          <w:color w:val="auto"/>
        </w:rPr>
      </w:pPr>
    </w:p>
    <w:p>
      <w:pPr>
        <w:ind w:left="120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57" w:lineRule="exact"/>
        <w:rPr>
          <w:rFonts w:ascii="Arial" w:cs="Arial" w:eastAsia="Arial" w:hAnsi="Arial"/>
          <w:sz w:val="18"/>
          <w:szCs w:val="18"/>
          <w:b w:val="1"/>
          <w:bCs w:val="1"/>
          <w:color w:val="auto"/>
        </w:rPr>
      </w:pPr>
    </w:p>
    <w:p>
      <w:pPr>
        <w:ind w:left="120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-1708785</wp:posOffset>
            </wp:positionV>
            <wp:extent cx="6997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6" w:lineRule="exact"/>
        <w:rPr>
          <w:sz w:val="20"/>
          <w:szCs w:val="20"/>
          <w:color w:val="auto"/>
        </w:rPr>
      </w:pPr>
    </w:p>
    <w:p>
      <w:pPr>
        <w:ind w:left="1200"/>
        <w:spacing w:after="0"/>
        <w:tabs>
          <w:tab w:leader="none" w:pos="24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spacing w:after="0"/>
        <w:tabs>
          <w:tab w:leader="none" w:pos="240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other than quoted prices that are observable for the asset or liability, either directly or indirectly; and</w:t>
      </w:r>
    </w:p>
    <w:p>
      <w:pPr>
        <w:spacing w:after="0" w:line="9" w:lineRule="exact"/>
        <w:rPr>
          <w:sz w:val="20"/>
          <w:szCs w:val="20"/>
          <w:color w:val="auto"/>
        </w:rPr>
      </w:pPr>
    </w:p>
    <w:p>
      <w:pPr>
        <w:ind w:left="1200"/>
        <w:spacing w:after="0"/>
        <w:tabs>
          <w:tab w:leader="none" w:pos="240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for the asset or liability that are not based on observable market data.</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There have been no transfers between fair value levels during the year ended December 31, 2018.</w:t>
      </w:r>
    </w:p>
    <w:p>
      <w:pPr>
        <w:spacing w:after="0" w:line="127" w:lineRule="exact"/>
        <w:rPr>
          <w:sz w:val="20"/>
          <w:szCs w:val="20"/>
          <w:color w:val="auto"/>
        </w:rPr>
      </w:pPr>
    </w:p>
    <w:p>
      <w:pPr>
        <w:ind w:left="1180" w:hanging="544"/>
        <w:spacing w:after="0"/>
        <w:tabs>
          <w:tab w:leader="none" w:pos="11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12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78"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a number of risks similar to those of other companies of similar size and having a focus on serving the cannabis industry, including limited number of suppliers, acquisitions and integration, and government regulations.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120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Long-lived assets are evaluated for impairment when events or changes in circumstances indicate that the carrying amount of the assets may not be recoverable through estimated undiscounted future cash flows from the use of those assets. When any such impairment exists, the related assets will be written down to fair value. No such impairments were recorded for the year ended December 31, 2018.</w:t>
      </w:r>
    </w:p>
    <w:p>
      <w:pPr>
        <w:spacing w:after="0" w:line="48"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21" w:lineRule="exact"/>
        <w:rPr>
          <w:rFonts w:ascii="Arial" w:cs="Arial" w:eastAsia="Arial" w:hAnsi="Arial"/>
          <w:sz w:val="18"/>
          <w:szCs w:val="18"/>
          <w:b w:val="1"/>
          <w:bCs w:val="1"/>
          <w:color w:val="auto"/>
        </w:rPr>
      </w:pPr>
    </w:p>
    <w:p>
      <w:pPr>
        <w:ind w:left="120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Financial instruments that potentially subject the Company to concentrations of credit risk consist principally of accounts receivable, investments, and cash and cash equivalents. The Company places its temporary cash investments with financial institutions and limits the amount of credit exposure to any one financial institution. Concentrations of credit risk with respect to trade receivables are limited due to the historical collectability and large number of customers. The investment in CAL FUNDING, LLC represents approximately 20% of the Company’s assets. The Company does not believe it is subject to any significant risk of loss related to concentrations of credit risk.</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121" w:lineRule="exact"/>
        <w:rPr>
          <w:rFonts w:ascii="Arial" w:cs="Arial" w:eastAsia="Arial" w:hAnsi="Arial"/>
          <w:sz w:val="18"/>
          <w:szCs w:val="18"/>
          <w:b w:val="1"/>
          <w:bCs w:val="1"/>
          <w:color w:val="auto"/>
        </w:rPr>
      </w:pPr>
    </w:p>
    <w:p>
      <w:pPr>
        <w:ind w:left="12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non-controlling interest represents the minority shareholder’s ownership interest related to the Company’s subsidiary, Bluepoint Wellness of Westport, LLC. The Company reports its non-controlling interest in subsidiaries as a separate component of equity in the Consolidated Balance Sheet and reports both net loss attributable to the non-controlling interest and net loss attributable to the Company’s members on the face of the Consolidated Statements of Operations. The Company’s equity interest in Bluepoint Wellness of Westport, LLC is 45.9% and the non-controlling stockholder’s interest is 54.1%. This is reflected in the Consolidated Statements of Equity.</w:t>
      </w:r>
    </w:p>
    <w:p>
      <w:pPr>
        <w:spacing w:after="0" w:line="9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Pronouncements Applicable in Future Years</w:t>
      </w:r>
    </w:p>
    <w:p>
      <w:pPr>
        <w:spacing w:after="0" w:line="134" w:lineRule="exact"/>
        <w:rPr>
          <w:rFonts w:ascii="Arial" w:cs="Arial" w:eastAsia="Arial" w:hAnsi="Arial"/>
          <w:sz w:val="18"/>
          <w:szCs w:val="18"/>
          <w:b w:val="1"/>
          <w:bCs w:val="1"/>
          <w:color w:val="auto"/>
        </w:rPr>
      </w:pPr>
    </w:p>
    <w:p>
      <w:pPr>
        <w:ind w:left="1620" w:right="120" w:hanging="430"/>
        <w:spacing w:after="0" w:line="291" w:lineRule="auto"/>
        <w:tabs>
          <w:tab w:leader="none" w:pos="1620" w:val="left"/>
        </w:tabs>
        <w:numPr>
          <w:ilvl w:val="2"/>
          <w:numId w:val="222"/>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ASU No. 2016-02 “Leases (Topic 842)” (“ASU 2016-02”), which requires lessees to put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 2016-02 is permitted; however the Company plans to adopt the standard in the first quarter of 2019. The Company has completed its analysis of the impact of the adoption of ASU 2016-02 and expects to recognize material right-of-use assets and lease liabilities.</w:t>
      </w:r>
    </w:p>
    <w:p>
      <w:pPr>
        <w:spacing w:after="0" w:line="72" w:lineRule="exact"/>
        <w:rPr>
          <w:rFonts w:ascii="Arial" w:cs="Arial" w:eastAsia="Arial" w:hAnsi="Arial"/>
          <w:sz w:val="16"/>
          <w:szCs w:val="16"/>
          <w:i w:val="1"/>
          <w:iCs w:val="1"/>
          <w:color w:val="auto"/>
        </w:rPr>
      </w:pPr>
    </w:p>
    <w:p>
      <w:pPr>
        <w:ind w:left="1620" w:hanging="430"/>
        <w:spacing w:after="0" w:line="286" w:lineRule="auto"/>
        <w:tabs>
          <w:tab w:leader="none" w:pos="1620" w:val="left"/>
        </w:tabs>
        <w:numPr>
          <w:ilvl w:val="2"/>
          <w:numId w:val="222"/>
        </w:numPr>
        <w:rPr>
          <w:rFonts w:ascii="Arial" w:cs="Arial" w:eastAsia="Arial" w:hAnsi="Arial"/>
          <w:sz w:val="16"/>
          <w:szCs w:val="16"/>
          <w:i w:val="1"/>
          <w:iCs w:val="1"/>
          <w:color w:val="auto"/>
        </w:rPr>
      </w:pPr>
      <w:r>
        <w:rPr>
          <w:rFonts w:ascii="Arial" w:cs="Arial" w:eastAsia="Arial" w:hAnsi="Arial"/>
          <w:sz w:val="16"/>
          <w:szCs w:val="16"/>
          <w:color w:val="auto"/>
        </w:rPr>
        <w:t>In May 2014, the FASB issued ASU 2014-09 “Revenue from Contracts with Customers (Topic 606)” (“ASU 2014-09”), which outlines a single comprehensive model for entities to use in accounting for revenue using a five-step process that supersedes virtually all existing revenue guidance. ASU 2014-09 also requires additional quantitative and qualitative disclosures. In August 2015, the FASB issued ASU No. 2015-14 “Revenue from Contracts with Customers (Topic 606): Deferral of the Effective Date” (“ASU</w:t>
      </w:r>
    </w:p>
    <w:p>
      <w:pPr>
        <w:spacing w:after="0" w:line="1" w:lineRule="exact"/>
        <w:rPr>
          <w:rFonts w:ascii="Arial" w:cs="Arial" w:eastAsia="Arial" w:hAnsi="Arial"/>
          <w:sz w:val="16"/>
          <w:szCs w:val="16"/>
          <w:i w:val="1"/>
          <w:iCs w:val="1"/>
          <w:color w:val="auto"/>
        </w:rPr>
      </w:pPr>
    </w:p>
    <w:p>
      <w:pPr>
        <w:ind w:left="1620" w:right="20"/>
        <w:spacing w:after="0" w:line="277" w:lineRule="auto"/>
        <w:rPr>
          <w:rFonts w:ascii="Arial" w:cs="Arial" w:eastAsia="Arial" w:hAnsi="Arial"/>
          <w:sz w:val="16"/>
          <w:szCs w:val="16"/>
          <w:i w:val="1"/>
          <w:iCs w:val="1"/>
          <w:color w:val="auto"/>
        </w:rPr>
      </w:pPr>
      <w:r>
        <w:rPr>
          <w:rFonts w:ascii="Arial" w:cs="Arial" w:eastAsia="Arial" w:hAnsi="Arial"/>
          <w:sz w:val="17"/>
          <w:szCs w:val="17"/>
          <w:color w:val="auto"/>
        </w:rPr>
        <w:t>2015-14”), which defers the effective date of ASU 2014-09 to beginning after December 15, 2018 for private entities. Early adoption of ASU 2016-02 is permitted; however the Company plans to adopt the standard on January 1, 2019. The Company has completed its analysis of the impact of the adoption of ASU 2014-09 and has determined there will be no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-3448050</wp:posOffset>
            </wp:positionV>
            <wp:extent cx="6997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The Company’s inventories include the following:</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Harvested Cannabis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Work-in-process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720,724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47,341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color w:val="auto"/>
              </w:rPr>
              <w:t>Total Harvested Cannabis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768,065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Cannabis 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Work-in-process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564,512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74,954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color w:val="auto"/>
              </w:rPr>
              <w:t>Total Cannabis Oils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639,466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Supplies and Consumables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56,336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1,463,867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7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8260" w:type="dxa"/>
            <w:vAlign w:val="bottom"/>
            <w:gridSpan w:val="3"/>
          </w:tcPr>
          <w:p>
            <w:pPr>
              <w:spacing w:after="0"/>
              <w:rPr>
                <w:sz w:val="20"/>
                <w:szCs w:val="20"/>
                <w:color w:val="auto"/>
              </w:rPr>
            </w:pPr>
            <w:r>
              <w:rPr>
                <w:rFonts w:ascii="Arial" w:cs="Arial" w:eastAsia="Arial" w:hAnsi="Arial"/>
                <w:sz w:val="18"/>
                <w:szCs w:val="18"/>
                <w:color w:val="auto"/>
              </w:rPr>
              <w:t>At December 31, 2018, The Company’s property and equipment include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500" w:type="dxa"/>
            <w:vAlign w:val="bottom"/>
            <w:vMerge w:val="restart"/>
          </w:tcPr>
          <w:p>
            <w:pPr>
              <w:spacing w:after="0"/>
              <w:rPr>
                <w:sz w:val="21"/>
                <w:szCs w:val="21"/>
                <w:color w:val="auto"/>
              </w:rPr>
            </w:pPr>
          </w:p>
        </w:tc>
        <w:tc>
          <w:tcPr>
            <w:tcW w:w="648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50,503</w:t>
            </w: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28,561</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1,383,408</w:t>
            </w: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Vehicles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78,059</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6,943,101</w:t>
            </w: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color w:val="auto"/>
              </w:rPr>
              <w:t>Total Property and Equipment, Gross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8,483,632</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(2,472,508)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6,011,124</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expense for the year ended December 31, 2018 was $936,531, of which $923,278 is included in cost of goods sold.</w:t>
      </w:r>
    </w:p>
    <w:p>
      <w:pPr>
        <w:spacing w:after="0" w:line="370" w:lineRule="exact"/>
        <w:rPr>
          <w:sz w:val="20"/>
          <w:szCs w:val="20"/>
          <w:color w:val="auto"/>
        </w:rPr>
      </w:pPr>
    </w:p>
    <w:p>
      <w:pPr>
        <w:ind w:left="640" w:hanging="436"/>
        <w:spacing w:after="0"/>
        <w:tabs>
          <w:tab w:leader="none" w:pos="6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November 2017, the Company entered into promissory notes with certain Members and affiliates of Members. The total amount borrowed was</w:t>
      </w:r>
    </w:p>
    <w:p>
      <w:pPr>
        <w:spacing w:after="0" w:line="35"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$1,400,000. The notes bear interest at 8% annually and matures on December 15, 2020. Quarterly interest only payments were required commencing on March 15, 2018 and commencing on March 15, 2019 quarterly payments of principal and interest totaling $191,224 were required through December 15, 2020. The notes could be prepaid but were subject to a prepayment penalty. The notes were secured by substantially all assets of the Company. The balance outstanding was $1,400,000 at December 31, 2018.</w:t>
      </w:r>
    </w:p>
    <w:p>
      <w:pPr>
        <w:spacing w:after="0" w:line="19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promissory notes restricted the Company from selling a substantial portion of the business or assets or liquidating or merging the Company. Additionally, it restricted the Company from incurring secured indebtedness in excess of $1,500,000 (including these promissory notes), or additional unsecured indebtedness in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excess of $1,000,000, or creating any additional liens or encumbrances on its assets. In connection with the additional financing described below, the note holders waived the restrictions on additional secured debt. Additionally, the Company was required to meet a liquidity covenant of no less than $500,000 in cash or cash equivalents on hand at all times, and no distributions or stock repurchases could be declared or paid that would cause the Company to not be in compliance with this liquidity covenant. Also, the Class A Members were required to own at least 50.1% of the total outstanding membership units of the Company. During the year ended December 31, 2018 the Company was in compliance with these covenants.</w:t>
      </w:r>
    </w:p>
    <w:p>
      <w:pPr>
        <w:spacing w:after="0" w:line="15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notes were repaid in full subsequent to year end in connection with the merger transaction described in Note 10. The provisions restricting merger activity were waived by the debt-holders.</w:t>
      </w:r>
    </w:p>
    <w:p>
      <w:pPr>
        <w:spacing w:after="0" w:line="17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To fund the investment in CAL FUNDING, LLC, the Company issued $3,000,000 of convertible promissory notes to various parties in February 2018. These notes bear interest at 10% and were to mature in March 2021. Quarterly interest only payments were required commencing on June 1, 2018 through March 1, 2019 and commencing on June 1, 2019 quarterly payments of principal and interest totaling $418,402 were required through March 1, 2021. The balance outstanding was $3,000,000 at December 31, 2018.</w:t>
      </w:r>
    </w:p>
    <w:p>
      <w:pPr>
        <w:spacing w:after="0" w:line="18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notes automatically convert at a dollar for dollar ratio into the Company’s Class D units or other convertible interests upon sale of the Company, or in the case of an initial public offering or reverse take over with a public company. The notes were converted to equity in connection with the merger transaction described in Note 9.</w:t>
      </w:r>
    </w:p>
    <w:p>
      <w:pPr>
        <w:spacing w:after="0" w:line="181"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The notes are secured by substantially all assets of the Company, however the security interest was subordinate to the lien held by the senior notes to Members of $1,4000,000, more fully above. The junior promissory notes were subject to similar restrictions as the senior notes except there was no liquidity covenant.</w:t>
      </w:r>
    </w:p>
    <w:p>
      <w:pPr>
        <w:spacing w:after="0" w:line="181"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In addition, the Company has several equipment loans, at an interest rate of 4.26%, maturing in 2022. As of December 31, 2018, $41,701 was outstanding on these loans.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Stated maturities of debt obligations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Year Ending December 31</w:t>
            </w: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color w:val="auto"/>
                <w:w w:val="93"/>
              </w:rPr>
              <w:t>Convertible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Term Notes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640" w:type="dxa"/>
            <w:vAlign w:val="bottom"/>
            <w:gridSpan w:val="2"/>
            <w:vMerge w:val="continue"/>
          </w:tcPr>
          <w:p>
            <w:pPr>
              <w:spacing w:after="0"/>
              <w:rPr>
                <w:sz w:val="15"/>
                <w:szCs w:val="15"/>
                <w:color w:val="auto"/>
              </w:rPr>
            </w:pPr>
          </w:p>
        </w:tc>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5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1,408,524</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4,408,524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1,441,701</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4,441,701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40" w:type="dxa"/>
            <w:vAlign w:val="bottom"/>
            <w:gridSpan w:val="2"/>
          </w:tcPr>
          <w:p>
            <w:pPr>
              <w:jc w:val="right"/>
              <w:ind w:right="1885"/>
              <w:spacing w:after="0"/>
              <w:rPr>
                <w:sz w:val="20"/>
                <w:szCs w:val="20"/>
                <w:color w:val="auto"/>
              </w:rPr>
            </w:pPr>
            <w:r>
              <w:rPr>
                <w:rFonts w:ascii="Arial" w:cs="Arial" w:eastAsia="Arial" w:hAnsi="Arial"/>
                <w:sz w:val="18"/>
                <w:szCs w:val="18"/>
                <w:color w:val="auto"/>
              </w:rPr>
              <w:t>F-104</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Company is authorized to issue units and could create new classes of units upon terms and conditions authorized by the Board of Managers. The operating agreement provided for the issuance of Class A Common units, Class B Preferred units, Class C-1 Preferred units, Class C-2 Preferred units, Class D-1 Common units, Class D-2 Common units, and Class P Common units.</w:t>
      </w:r>
    </w:p>
    <w:p>
      <w:pPr>
        <w:spacing w:after="0" w:line="181"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Class A and Class B units has voting rights. The Class C, Class D and Class P units were non-voting. The Class P units were granted in exchange for services provided or to be provided to the Company. All Class P units are intended to constitute profit interests for U.S. federal income tax purposes.</w:t>
      </w:r>
    </w:p>
    <w:p>
      <w:pPr>
        <w:spacing w:after="0" w:line="124"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operating agreement requires periodic distributions to be made to Members in connection with taxable income allocated to Members for income tax purposes multiplied by the assumed income tax rate of 41% (“Tax Distributions”). Other distributions, as approved by the Board of Managers, are based on each Members’ unit percentage interest. Distributions to Class P Members were subordinated to a return of the Class A Members value of their capital interests at the time of the issuance of the Class P units.</w:t>
      </w:r>
    </w:p>
    <w:p>
      <w:pPr>
        <w:spacing w:after="0" w:line="18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Class C Preferred Members have a preference on distributions (“Preferred Distributions”) for any amounts released to the Company from the State Escrow Fund. As of December 31, 2018, there was $500,000 still held in the State Escrow Fund which would be due to the Class C Preferred members as a return of capital upon such release.</w:t>
      </w:r>
    </w:p>
    <w:p>
      <w:pPr>
        <w:spacing w:after="0" w:line="1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Except for Tax Distributions and Preferred Distributions as discussed above, distributions are to be made to Members in proportion to their respective Percentage Interests as of the time of such distribution.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merger transaction described in Note 10, the operating agreement was terminated.</w:t>
      </w:r>
    </w:p>
    <w:p>
      <w:pPr>
        <w:spacing w:after="0" w:line="370" w:lineRule="exact"/>
        <w:rPr>
          <w:sz w:val="20"/>
          <w:szCs w:val="20"/>
          <w:color w:val="auto"/>
        </w:rPr>
      </w:pPr>
    </w:p>
    <w:p>
      <w:pPr>
        <w:ind w:left="640" w:hanging="436"/>
        <w:spacing w:after="0"/>
        <w:tabs>
          <w:tab w:leader="none" w:pos="64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Company invested $3M in CAL FUNDING, LLC in 2018. Accordingly, the Company’s consolidated results of operations include its proportionate share of the net loss of the investment.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the beginning and ending balances of the investment is as follows:</w:t>
      </w:r>
    </w:p>
    <w:p>
      <w:pPr>
        <w:spacing w:after="0" w:line="248" w:lineRule="exact"/>
        <w:rPr>
          <w:sz w:val="20"/>
          <w:szCs w:val="20"/>
          <w:color w:val="auto"/>
        </w:rPr>
      </w:pPr>
    </w:p>
    <w:tbl>
      <w:tblPr>
        <w:tblLayout w:type="fixed"/>
        <w:tblInd w:w="1980" w:type="dxa"/>
        <w:tblCellMar>
          <w:top w:w="0" w:type="dxa"/>
          <w:left w:w="0" w:type="dxa"/>
          <w:bottom w:w="0" w:type="dxa"/>
          <w:right w:w="0" w:type="dxa"/>
        </w:tblCellMar>
      </w:tblPr>
      <w:tr>
        <w:trPr>
          <w:trHeight w:val="167"/>
        </w:trPr>
        <w:tc>
          <w:tcPr>
            <w:tcW w:w="6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Initial investment in CAL FUNDING,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Proportionate share of 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(382,487)</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2,617,513</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leases office space and grow facility space under a non-cancelable operating lease. The lease expires in October 2021. The lease provides for two five-year renewal extensions at stated escalated base rents. The lease requires escalating payments over the lease term.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-741045</wp:posOffset>
            </wp:positionV>
            <wp:extent cx="6997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80"/>
          </w:cols>
          <w:pgMar w:left="240" w:top="460"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Office and Operating Leases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recognizes rent expense on the lease on a straight-line basis and accrues the difference each month between the amount expenses and the amount actually paid as deferred rent.</w:t>
      </w:r>
    </w:p>
    <w:p>
      <w:pPr>
        <w:spacing w:after="0" w:line="62" w:lineRule="exact"/>
        <w:rPr>
          <w:rFonts w:ascii="Arial" w:cs="Arial" w:eastAsia="Arial" w:hAnsi="Arial"/>
          <w:sz w:val="18"/>
          <w:szCs w:val="18"/>
          <w:b w:val="1"/>
          <w:bCs w:val="1"/>
          <w:color w:val="auto"/>
        </w:rPr>
      </w:pPr>
    </w:p>
    <w:p>
      <w:pPr>
        <w:ind w:left="12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-962660</wp:posOffset>
            </wp:positionV>
            <wp:extent cx="6997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$ 232,664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2020</w:t>
            </w:r>
          </w:p>
        </w:tc>
        <w:tc>
          <w:tcPr>
            <w:tcW w:w="5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243,760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211,277</w:t>
            </w:r>
          </w:p>
        </w:tc>
        <w:tc>
          <w:tcPr>
            <w:tcW w:w="60" w:type="dxa"/>
            <w:vAlign w:val="bottom"/>
            <w:shd w:val="clear" w:color="auto" w:fill="CCEEFF"/>
          </w:tcPr>
          <w:p>
            <w:pPr>
              <w:spacing w:after="0"/>
              <w:rPr>
                <w:sz w:val="18"/>
                <w:szCs w:val="18"/>
                <w:color w:val="auto"/>
              </w:rPr>
            </w:pPr>
          </w:p>
        </w:tc>
      </w:tr>
      <w:tr>
        <w:trPr>
          <w:trHeight w:val="223"/>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$ 687,701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80" w:hanging="544"/>
        <w:spacing w:after="0"/>
        <w:tabs>
          <w:tab w:leader="none" w:pos="11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December 31, 2018, medical cannabis regulations continue to evolve and are subject to differing interpretations. As a result, the Company may be subject to regulatory fines, penalties, or restrictions in the future.</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From time to time, the Company may be involved in litigation relating to claims arising out of operations in the normal course of business. At December 31, 2018, there were no pending or threatened lawsuits, other than described below,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46" w:lineRule="exact"/>
        <w:rPr>
          <w:rFonts w:ascii="Arial" w:cs="Arial" w:eastAsia="Arial" w:hAnsi="Arial"/>
          <w:sz w:val="18"/>
          <w:szCs w:val="18"/>
          <w:b w:val="1"/>
          <w:bCs w:val="1"/>
          <w:color w:val="auto"/>
        </w:rPr>
      </w:pPr>
    </w:p>
    <w:p>
      <w:pPr>
        <w:ind w:left="1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former chief operating office of a subsidiary of the Company has asserted a claim against the subsidiary, the Company, and certain of its members/officers, alleging breach of contract and of implied covenant of good faith and fair dealing, among other things. The claim alleges that the former chief operating offer was promised ownership in the subsidiary, which did not materialize. Green Thumb Industries, Inc. (GTI) which acquired the Company in February 2019, was also named in the claim; however, GTI has filed an indemnification claim against the Company pursuant to purchase agreement. The matter has been referred to the insurance carrier which underwrites the Company’s director and officers’ liability insurance coverage. In the opinion of counsel, the Company’s insurance coverage is expected to cover any losses.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121" w:lineRule="exact"/>
        <w:rPr>
          <w:rFonts w:ascii="Arial" w:cs="Arial" w:eastAsia="Arial" w:hAnsi="Arial"/>
          <w:sz w:val="18"/>
          <w:szCs w:val="18"/>
          <w:b w:val="1"/>
          <w:bCs w:val="1"/>
          <w:color w:val="auto"/>
        </w:rPr>
      </w:pPr>
    </w:p>
    <w:p>
      <w:pPr>
        <w:ind w:left="6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2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and 2016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2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20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management of its capital structure. The Company’s approach to managing liquidity is to ensure that it will have sufficient liquidity to settle obligations and liabilities when due.</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Risk</w:t>
      </w:r>
    </w:p>
    <w:p>
      <w:pPr>
        <w:spacing w:after="0" w:line="121"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Tax Status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Subsequent to year end, the Company elected to be taxed as a C Corporation effective January 1, 2019.</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Merger and Reorganization</w:t>
      </w:r>
    </w:p>
    <w:p>
      <w:pPr>
        <w:spacing w:after="0" w:line="121" w:lineRule="exact"/>
        <w:rPr>
          <w:rFonts w:ascii="Arial" w:cs="Arial" w:eastAsia="Arial" w:hAnsi="Arial"/>
          <w:sz w:val="18"/>
          <w:szCs w:val="18"/>
          <w:b w:val="1"/>
          <w:bCs w:val="1"/>
          <w:color w:val="auto"/>
        </w:rPr>
      </w:pPr>
    </w:p>
    <w:p>
      <w:pPr>
        <w:ind w:left="1200" w:right="1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Effective January 4, 2019, the Company entered into an agreement and plan of merger and reorganization with Green Thumb Industries, Inc. and their subsidiary GTI Merger Sub, LLC (“the Merger”). The Merger closed on February 11, 2019 and the Company became a wholly owned subsidiary of Green Thumb Industries, Inc. (“GTI”). The transaction consideration was approximately $80 million, which included $15 million of cash and approximately 7.0 million subordinate voting shares of GTI. The purchase agreement also includes additional consideration based upon future performance target.</w:t>
      </w:r>
    </w:p>
    <w:p>
      <w:pPr>
        <w:spacing w:after="0" w:line="64"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date of closing, the convertible promissory notes for $3,000,000, more fully described in Note 5, were converted into Class D units. Additionally, the promissory notes for $1,400,000, more fully described in Note 5, were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-5319395</wp:posOffset>
            </wp:positionV>
            <wp:extent cx="6997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-1785620</wp:posOffset>
            </wp:positionV>
            <wp:extent cx="6997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200"/>
          </w:cols>
          <w:pgMar w:left="24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 and Reorganization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On the date of the closing the LLC operating agreement was terminated.</w:t>
      </w:r>
    </w:p>
    <w:p>
      <w:pPr>
        <w:spacing w:after="0" w:line="117"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Subsequent events have been evaluated through December 20, 2019, which is the date these consolidated financial statements were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-825500</wp:posOffset>
            </wp:positionV>
            <wp:extent cx="6997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0640"/>
          </w:cols>
          <w:pgMar w:left="240" w:top="460" w:right="10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Balance Sheet As of September 30, 2019 and December 31,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60" w:type="dxa"/>
            <w:vAlign w:val="bottom"/>
            <w:vMerge w:val="restart"/>
          </w:tcPr>
          <w:p>
            <w:pPr>
              <w:ind w:left="446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5"/>
                <w:szCs w:val="15"/>
                <w:color w:val="auto"/>
              </w:rPr>
            </w:pPr>
          </w:p>
        </w:tc>
        <w:tc>
          <w:tcPr>
            <w:tcW w:w="1080" w:type="dxa"/>
            <w:vAlign w:val="bottom"/>
          </w:tcPr>
          <w:p>
            <w:pPr>
              <w:jc w:val="center"/>
              <w:ind w:right="60"/>
              <w:spacing w:after="0"/>
              <w:rPr>
                <w:sz w:val="20"/>
                <w:szCs w:val="20"/>
                <w:color w:val="auto"/>
              </w:rPr>
            </w:pPr>
            <w:r>
              <w:rPr>
                <w:rFonts w:ascii="Arial" w:cs="Arial" w:eastAsia="Arial" w:hAnsi="Arial"/>
                <w:sz w:val="14"/>
                <w:szCs w:val="14"/>
                <w:i w:val="1"/>
                <w:iCs w:val="1"/>
                <w:color w:val="auto"/>
                <w:w w:val="93"/>
              </w:rPr>
              <w:t>(unaudited)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i w:val="1"/>
                <w:iCs w:val="1"/>
                <w:color w:val="auto"/>
                <w:w w:val="94"/>
              </w:rPr>
              <w:t>(audited)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66,121,654</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145,986,072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6,541,565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4,574,404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35,440,157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12,359,064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Notes Receivable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6,747,590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114,850,966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169,062,021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83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148,660,147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65,324,080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Right of Use 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28,848,614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18,815,058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40,933,283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Associate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Notes Receivable</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7,424,727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349,518,982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88,365,678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448,865,160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39,204,360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Deposits and 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1,908,052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2,184,417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8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1,111,466,979</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418,348,566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vMerge w:val="restart"/>
          </w:tcPr>
          <w:p>
            <w:pPr>
              <w:ind w:left="300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30,847,266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8,928,528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15,250,109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7,046,029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Current Portion of Notes Payable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1,480,660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Liability for Acquisition of Noncontrolling Interest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25,420,009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Contingent Consideration Payable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55,217,049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Derivative Liability</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4,238,701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2,937,798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Income Tax Payable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457,585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105,571,299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47,571,512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8380" w:type="dxa"/>
            <w:vAlign w:val="bottom"/>
            <w:gridSpan w:val="2"/>
          </w:tcPr>
          <w:p>
            <w:pPr>
              <w:spacing w:after="0"/>
              <w:rPr>
                <w:sz w:val="20"/>
                <w:szCs w:val="20"/>
                <w:color w:val="auto"/>
              </w:rPr>
            </w:pPr>
            <w:r>
              <w:rPr>
                <w:rFonts w:ascii="Arial" w:cs="Arial" w:eastAsia="Arial" w:hAnsi="Arial"/>
                <w:sz w:val="16"/>
                <w:szCs w:val="16"/>
                <w:color w:val="auto"/>
              </w:rPr>
              <w:t>Long-Term Liabilities: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Rent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Lease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30,752,365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Notes Payable, Net of Current Portion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96,768,028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5,733,797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Contingent Consideration Payable</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8,559,386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9,035,250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17,151,388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296,837,466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76,161,686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8380" w:type="dxa"/>
            <w:vAlign w:val="bottom"/>
            <w:gridSpan w:val="2"/>
          </w:tcPr>
          <w:p>
            <w:pPr>
              <w:spacing w:after="0"/>
              <w:rPr>
                <w:sz w:val="20"/>
                <w:szCs w:val="20"/>
                <w:color w:val="auto"/>
              </w:rPr>
            </w:pPr>
            <w:r>
              <w:rPr>
                <w:rFonts w:ascii="Arial" w:cs="Arial" w:eastAsia="Arial" w:hAnsi="Arial"/>
                <w:sz w:val="16"/>
                <w:szCs w:val="16"/>
                <w:color w:val="auto"/>
                <w:w w:val="96"/>
              </w:rPr>
              <w:t>Subordinate Voting Shares (Shares Authorized: Unlimited, Shares Issued: 127,150,672, Shares Outstanding: 127,150,672)</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Multiple Voting Shares (Shares Authorized: Unlimited, Shares Issued: 37,681,100, Shares Outstanding: 37,681,100)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Super Voting Shares (Shares Authorized: Unlimited, Shares Issued: 40,228,900, Shares Outstanding: 40,228,900)</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 Capital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938,376,070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397,590,465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Shares to be Issued</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27,773,234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Contributed Surplus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25,142,628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14,202,659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(146,970,230)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(100,876,937)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Equity of Green Thumb Industries Inc.</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816,548,468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338,689,421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640"/>
              <w:spacing w:after="0"/>
              <w:rPr>
                <w:sz w:val="20"/>
                <w:szCs w:val="20"/>
                <w:color w:val="auto"/>
              </w:rPr>
            </w:pPr>
            <w:r>
              <w:rPr>
                <w:rFonts w:ascii="Arial" w:cs="Arial" w:eastAsia="Arial" w:hAnsi="Arial"/>
                <w:sz w:val="16"/>
                <w:szCs w:val="16"/>
                <w:color w:val="auto"/>
              </w:rPr>
              <w:t>Noncontrolling interests</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(1,918,955)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3,497,459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814,629,513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342,186,880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38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1,111,466,979</w:t>
            </w:r>
          </w:p>
        </w:tc>
        <w:tc>
          <w:tcPr>
            <w:tcW w:w="120" w:type="dxa"/>
            <w:vAlign w:val="bottom"/>
          </w:tcPr>
          <w:p>
            <w:pPr>
              <w:spacing w:after="0"/>
              <w:rPr>
                <w:sz w:val="23"/>
                <w:szCs w:val="2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418,348,566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FQ-1</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Operations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6"/>
          </w:tcPr>
          <w:p>
            <w:pPr>
              <w:jc w:val="right"/>
              <w:ind w:right="9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i w:val="1"/>
                <w:iCs w:val="1"/>
                <w:color w:val="auto"/>
              </w:rPr>
              <w:t>(unaudited)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140,630,847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41,722,266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(74,196,750)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(21,952,871)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66,434,097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19,769,395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70,360,225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26,961,792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3,996,050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963,664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13,657,494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700"/>
              <w:spacing w:after="0"/>
              <w:rPr>
                <w:sz w:val="20"/>
                <w:szCs w:val="20"/>
                <w:color w:val="auto"/>
              </w:rPr>
            </w:pPr>
            <w:r>
              <w:rPr>
                <w:rFonts w:ascii="Arial" w:cs="Arial" w:eastAsia="Arial" w:hAnsi="Arial"/>
                <w:sz w:val="18"/>
                <w:szCs w:val="18"/>
                <w:b w:val="1"/>
                <w:bCs w:val="1"/>
                <w:color w:val="auto"/>
              </w:rPr>
              <w:t>Total Expenses</w:t>
            </w: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88,013,769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29,315,945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(21,579,672)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(9,546,550)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(7,969,433)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42,820,043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1,408,512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(11,762,222)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700"/>
              <w:spacing w:after="0"/>
              <w:rPr>
                <w:sz w:val="20"/>
                <w:szCs w:val="20"/>
                <w:color w:val="auto"/>
              </w:rPr>
            </w:pPr>
            <w:r>
              <w:rPr>
                <w:rFonts w:ascii="Arial" w:cs="Arial" w:eastAsia="Arial" w:hAnsi="Arial"/>
                <w:sz w:val="18"/>
                <w:szCs w:val="18"/>
                <w:b w:val="1"/>
                <w:bCs w:val="1"/>
                <w:color w:val="auto"/>
              </w:rPr>
              <w:t>Total Other (Expense) Income</w:t>
            </w:r>
          </w:p>
        </w:tc>
        <w:tc>
          <w:tcPr>
            <w:tcW w:w="1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(18,431,422)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43,090,571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(40,011,094)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33,544,021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4,706,000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(44,717,094)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31,320,230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(45,045,898)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(1,940,209)</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 diluted</w:t>
            </w: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190,126,766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128,471,910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FQ-2</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 (formerly Bayswater Uranium Corporation)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Contributed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12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Be Issued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Surplus</w:t>
            </w:r>
          </w:p>
        </w:tc>
        <w:tc>
          <w:tcPr>
            <w:tcW w:w="13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Earnings (Deficit)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65,308,240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(4,249,775)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64,424,815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Conversion of notes payable into share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options as settlement of services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(906,366)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906,366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Reverse takeover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3,002,634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3,002,634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accounting adjustments for 2017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Issuance of shares upon reverse takeover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65,082,283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65,082,283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Reverse takeover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(4,014,585)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(4,014,585)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Issuance of shares upon bought deal fundraise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transaction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61,726,497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61,726,497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Bought deal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(3,133,722)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(3,133,722)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49,059,965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17,020,006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66,079,971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2,700,295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Initial consolidation of variable interest entity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(164,635)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(1,916,627)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(15,521,657)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(17,438,284)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(4,527,655)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31,320,230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26,792,575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236,038,052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416,929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2,700,295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(11,577,430)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44,345,294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271,923,140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January 1, 2019</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397,590,465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27,773,234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14,202,659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(100,876,937)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342,186,880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from reorganization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18"/>
                <w:szCs w:val="18"/>
                <w:i w:val="1"/>
                <w:iCs w:val="1"/>
                <w:color w:val="auto"/>
              </w:rPr>
              <w:t>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(1,047,395)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(1,047,395)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Noncontrolling interests adjustment for change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ownership</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27,773,234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(27,773,234)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4,200,382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4,200,382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Contributions from limited liability company unit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holders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Issuance of shares under business combinations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487,943,524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(18,022,854)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469,920,670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w w:val="92"/>
              </w:rPr>
              <w:t>Issuance of shares for redemption of 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25,068,847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25,068,847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13,324,083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13,324,083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Warrants issued for note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11,563,418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11,563,418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withheld in lieu of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Distributions to limited liability company unit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holders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(7,495,218)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(7,495,218)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(45,045,898)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(44,717,094)</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2019</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938,376,070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25,142,628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(146,970,230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(1,918,955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814,629,513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FQ-3</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Cash Flows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62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i w:val="1"/>
                <w:iCs w:val="1"/>
                <w:color w:val="auto"/>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Net loss attributable to Green Thumb Industries Inc.</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  (45,045,898)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  (1,940,209)</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31,320,230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17,528,891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1,713,839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Amortization of operating lease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1,639,527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Loss from investment in associate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56,423</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55,750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(23,617)</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(5,712,000)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1,889,000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13,324,083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2,700,295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fair value of investments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886,002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3,258,804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in fair value of warrants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(42,449,120)</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conversion and listing expenses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1,006,988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fair value of convertible note receivable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7,424,727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Changes in value of liabilities related to put option and purchase of noncontrolling interests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(823,550)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Interest on convertible note payable</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434,000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debt discount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2,100,738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1,165,271</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(1,880,524)</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(9,478,848)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(5,351,705)</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(3,237,772)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(2,067,570)</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Due from related parties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Deposits and other assets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1,045,821</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(2,850,790)</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20,876,634</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1,020,863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(5,252,537)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2,847,971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Operating lease liabilities</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(1,593,866)</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payable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260,535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304,490</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5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(1,248,211)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(13,223,076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Investments in debentures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(32,550,000)</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debenture investments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(66,875,245)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(16,229,578)</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related parties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(3,088,760)</w:t>
            </w: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Repayments from related parties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Consolidation of controlled entities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68,668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154,776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Deposit into escrow for future business combinations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(6,000,000)</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licenses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(49,999)</w:t>
            </w: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Purchase of businesses, net of cash acquired</w:t>
            </w:r>
          </w:p>
        </w:tc>
        <w:tc>
          <w:tcPr>
            <w:tcW w:w="5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(108,136,560)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INVESTING ACTIVITIES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(171,943,137)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(37,188,561)</w:t>
            </w: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FQ-4</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Cash Flows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line="15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3"/>
              <w:spacing w:after="0" w:line="157"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33"/>
              <w:spacing w:after="0" w:line="142" w:lineRule="exact"/>
              <w:rPr>
                <w:sz w:val="20"/>
                <w:szCs w:val="20"/>
                <w:color w:val="auto"/>
              </w:rPr>
            </w:pPr>
            <w:r>
              <w:rPr>
                <w:rFonts w:ascii="Arial" w:cs="Arial" w:eastAsia="Arial" w:hAnsi="Arial"/>
                <w:sz w:val="14"/>
                <w:szCs w:val="14"/>
                <w:i w:val="1"/>
                <w:i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33"/>
              <w:spacing w:after="0" w:line="142" w:lineRule="exact"/>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Contributions from limited liability company unit holders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1,750,000</w:t>
            </w:r>
          </w:p>
        </w:tc>
        <w:tc>
          <w:tcPr>
            <w:tcW w:w="1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194,695,001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limited liability company unit holders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(7,495,218)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(17,649,800)</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Proceeds from exercise of options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906,296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Reverse takeover and bought deal financing costs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(7,148,307)</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Proceeds from issuance of notes payable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106,403,011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warrants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11,563,418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Principal repayments of notes payable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(18,769,221)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(1,007,955)</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 repurchases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96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FINANCING ACTIVITIES</w:t>
            </w:r>
          </w:p>
        </w:tc>
        <w:tc>
          <w:tcPr>
            <w:tcW w:w="1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93,326,930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170,620,235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(79,864,418)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120,208,598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145,986,072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29,565,497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66,121,654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149,774,095</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FQ-5</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Cash Flows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paid</w:t>
            </w:r>
          </w:p>
        </w:tc>
        <w:tc>
          <w:tcPr>
            <w:tcW w:w="1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5,964,621</w:t>
            </w:r>
          </w:p>
        </w:tc>
        <w:tc>
          <w:tcPr>
            <w:tcW w:w="200" w:type="dxa"/>
            <w:vAlign w:val="bottom"/>
          </w:tcPr>
          <w:p>
            <w:pPr>
              <w:spacing w:after="0"/>
              <w:rPr>
                <w:sz w:val="18"/>
                <w:szCs w:val="18"/>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w:t>
            </w:r>
          </w:p>
        </w:tc>
        <w:tc>
          <w:tcPr>
            <w:tcW w:w="1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payable into equity</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2,279,452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Initial consolidation of controlled entities, net of cash</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2,785,998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Accrued capital expenditures</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4,232,914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(1,047,395)</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Exercise of put option</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4,200,382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471,143,931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Acquisitions</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13,441,161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2,117,412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assets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17,237,513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 of use assets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Identifiable intangible assets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279,385,000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405,173,019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Deposits and other assets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769,456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assumed</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(13,691,505)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Contingent liabilities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(52,864,000)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interests issued</w:t>
            </w:r>
          </w:p>
        </w:tc>
        <w:tc>
          <w:tcPr>
            <w:tcW w:w="2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(471,144,047)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Conversion of note receivable previously issued</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(27,525,800)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liability</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(18,727,984)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(30,206,000)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108,136,560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FQ-6</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00"/>
        <w:spacing w:after="0" w:line="291" w:lineRule="auto"/>
        <w:rPr>
          <w:sz w:val="20"/>
          <w:szCs w:val="20"/>
          <w:color w:val="auto"/>
        </w:rPr>
      </w:pPr>
      <w:r>
        <w:rPr>
          <w:rFonts w:ascii="Arial" w:cs="Arial" w:eastAsia="Arial" w:hAnsi="Arial"/>
          <w:sz w:val="16"/>
          <w:szCs w:val="16"/>
          <w:color w:val="auto"/>
        </w:rPr>
        <w:t>GTI is empowering the right to wellness by progressing responsible adult use of cannabis through branded consumer packaged goods and people-first retail experiences, while being committed to community and sustainable profitable growth. GTI owns, manufactures, and distributes a portfolio of cannabis consumer packaged goods brands including Rythm, Dogwalkers, The Feel Collection, incredibles, Dr. Solomon’s and Beboe, primarily to third-party retail stores across the United States as well as to GTI owned retail stores. The Corporation also owns and operates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Essence. As of the nine months ended September 30, 2109, GTI has operating revenue in eleven of twelve markets (California, Colorado, Connecticut, Florida, Illinois, Nevada, Maryland, Massachusetts, New York, Ohio, and Pennsylvania) and ramp up expenses related to the build out of new markets (New Jersey) in preparation for revenue generation over the next six months.</w:t>
      </w:r>
    </w:p>
    <w:p>
      <w:pPr>
        <w:spacing w:after="0" w:line="16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81"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640" w:hanging="436"/>
        <w:spacing w:after="0"/>
        <w:tabs>
          <w:tab w:leader="none" w:pos="64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200" w:righ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as of September 30, 2019 and for the nine months ended September 30, 2019 and 2018 (the “financial statements”), have been prepared in accordance with accounting principles generally accepted in the United States of America (“GAAP”).</w:t>
      </w:r>
    </w:p>
    <w:p>
      <w:pPr>
        <w:spacing w:after="0" w:line="73" w:lineRule="exact"/>
        <w:rPr>
          <w:rFonts w:ascii="Arial" w:cs="Arial" w:eastAsia="Arial" w:hAnsi="Arial"/>
          <w:sz w:val="18"/>
          <w:szCs w:val="18"/>
          <w:b w:val="1"/>
          <w:bCs w:val="1"/>
          <w:color w:val="auto"/>
        </w:rPr>
      </w:pPr>
    </w:p>
    <w:p>
      <w:pPr>
        <w:ind w:left="12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These unaudited condensed consolidated financial statements have been prepared following the requirements of the Securities and Exchange Commission (“SEC”), for interim reporting. As permitted under those rules, certain footnotes and other financial information that are normally required by accounting principles generally accepted in the United States of America (“U.S. GAAP”) can be condensed or omitted. The condensed consolidated balance sheet for the year ended December 31, 2018 was derived from audited financial statements, but does not include all disclosures required by U.S. GAAP. The information included in this interim quarterly report should be read in conjunction with the consolidated financial statements and notes thereto of the Company for the year ended December 31, 2018 which are included here within this filing on Form 10.</w:t>
      </w:r>
    </w:p>
    <w:p>
      <w:pPr>
        <w:spacing w:after="0" w:line="69" w:lineRule="exact"/>
        <w:rPr>
          <w:rFonts w:ascii="Arial" w:cs="Arial" w:eastAsia="Arial" w:hAnsi="Arial"/>
          <w:sz w:val="18"/>
          <w:szCs w:val="18"/>
          <w:b w:val="1"/>
          <w:bCs w:val="1"/>
          <w:color w:val="auto"/>
        </w:rPr>
      </w:pPr>
    </w:p>
    <w:p>
      <w:pPr>
        <w:ind w:left="1200" w:right="2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the opinion of management, these condensed consolidated financial statements have been prepared on the same basis as the annual consolidated financial statements and notes thereto of the Company with the exception of the adoption of new lease accounting standard ASC 842 (see Note 9), and include all adjustments, consisting only of normal recurring adjustments, considered necessary for the fair presentation of the Company’s financial position and operating results. The results for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-2404745</wp:posOffset>
            </wp:positionV>
            <wp:extent cx="6997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FQ-7</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Statement of Compliance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ended September 30, 2019 are not necessarily indicative of the operating results for the year ending December 31, 2019, or any other interim or future periods.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20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unaudited interim condensed consolidated financial statements as of September 30, 2019 and for the nine months ended September 30, 2019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38" w:lineRule="exact"/>
        <w:rPr>
          <w:rFonts w:ascii="Arial" w:cs="Arial" w:eastAsia="Arial" w:hAnsi="Arial"/>
          <w:sz w:val="18"/>
          <w:szCs w:val="18"/>
          <w:b w:val="1"/>
          <w:bCs w:val="1"/>
          <w:color w:val="auto"/>
        </w:rPr>
      </w:pPr>
    </w:p>
    <w:p>
      <w:pPr>
        <w:ind w:left="120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78" w:lineRule="exact"/>
        <w:rPr>
          <w:rFonts w:ascii="Arial" w:cs="Arial" w:eastAsia="Arial" w:hAnsi="Arial"/>
          <w:sz w:val="18"/>
          <w:szCs w:val="18"/>
          <w:b w:val="1"/>
          <w:bCs w:val="1"/>
          <w:color w:val="auto"/>
        </w:rPr>
      </w:pPr>
    </w:p>
    <w:p>
      <w:pPr>
        <w:ind w:left="120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4" w:lineRule="exact"/>
        <w:rPr>
          <w:rFonts w:ascii="Arial" w:cs="Arial" w:eastAsia="Arial" w:hAnsi="Arial"/>
          <w:sz w:val="18"/>
          <w:szCs w:val="18"/>
          <w:b w:val="1"/>
          <w:bCs w:val="1"/>
          <w:color w:val="auto"/>
        </w:rPr>
      </w:pPr>
    </w:p>
    <w:p>
      <w:pPr>
        <w:ind w:left="120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3"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unaudited interim condensed consolidated financial statements as of and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-4067175</wp:posOffset>
            </wp:positionV>
            <wp:extent cx="6997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4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760" w:type="dxa"/>
            <w:vAlign w:val="bottom"/>
          </w:tcPr>
          <w:p>
            <w:pPr>
              <w:spacing w:after="0"/>
              <w:rPr>
                <w:sz w:val="20"/>
                <w:szCs w:val="20"/>
                <w:color w:val="auto"/>
              </w:rPr>
            </w:pPr>
            <w:r>
              <w:rPr>
                <w:rFonts w:ascii="Arial" w:cs="Arial" w:eastAsia="Arial" w:hAnsi="Arial"/>
                <w:sz w:val="14"/>
                <w:szCs w:val="14"/>
                <w:b w:val="1"/>
                <w:bCs w:val="1"/>
                <w:color w:val="auto"/>
                <w:w w:val="93"/>
              </w:rPr>
              <w:t>Jurisdiction</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Interest</w:t>
            </w: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GTI23, Inc.</w:t>
            </w:r>
          </w:p>
        </w:tc>
        <w:tc>
          <w:tcPr>
            <w:tcW w:w="7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Delaware</w:t>
            </w:r>
          </w:p>
        </w:tc>
        <w:tc>
          <w:tcPr>
            <w:tcW w:w="5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Delaware</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FQ-8</w:t>
      </w:r>
    </w:p>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unaudited interim condensed consolidated financial statements as of and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-749935</wp:posOffset>
            </wp:positionV>
            <wp:extent cx="6997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Ownership</w:t>
            </w:r>
          </w:p>
        </w:tc>
        <w:tc>
          <w:tcPr>
            <w:tcW w:w="1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Jurisdiction</w:t>
            </w:r>
          </w:p>
        </w:tc>
        <w:tc>
          <w:tcPr>
            <w:tcW w:w="2400" w:type="dxa"/>
            <w:vAlign w:val="bottom"/>
          </w:tcPr>
          <w:p>
            <w:pPr>
              <w:ind w:left="960"/>
              <w:spacing w:after="0"/>
              <w:rPr>
                <w:sz w:val="20"/>
                <w:szCs w:val="20"/>
                <w:color w:val="auto"/>
              </w:rPr>
            </w:pPr>
            <w:r>
              <w:rPr>
                <w:rFonts w:ascii="Arial" w:cs="Arial" w:eastAsia="Arial" w:hAnsi="Arial"/>
                <w:sz w:val="14"/>
                <w:szCs w:val="14"/>
                <w:b w:val="1"/>
                <w:bCs w:val="1"/>
                <w:color w:val="auto"/>
              </w:rPr>
              <w:t>Purpose</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2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Management company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Illinois</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IL Disp,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Illinois</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Massachusetts</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Maryland</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Ohio Investors 2017, LLC </w:t>
            </w:r>
            <w:r>
              <w:rPr>
                <w:rFonts w:ascii="Arial" w:cs="Arial" w:eastAsia="Arial" w:hAnsi="Arial"/>
                <w:sz w:val="15"/>
                <w:szCs w:val="15"/>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Ohio</w:t>
            </w:r>
          </w:p>
        </w:tc>
        <w:tc>
          <w:tcPr>
            <w:tcW w:w="2400" w:type="dxa"/>
            <w:vAlign w:val="bottom"/>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GTI Ohio,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Ohio</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Nevada</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Pennsylania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KSGNF,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Florida</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Florida,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Florida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New Jersey</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KW Ventures Holdings,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Pennsylvania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Chesapeake Alternatives, LLC </w:t>
            </w:r>
            <w:r>
              <w:rPr>
                <w:rFonts w:ascii="Arial" w:cs="Arial" w:eastAsia="Arial" w:hAnsi="Arial"/>
                <w:sz w:val="15"/>
                <w:szCs w:val="15"/>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Maryland</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Meshow,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Maryland</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Vision Management Services,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tcPr>
          <w:p>
            <w:pPr>
              <w:spacing w:after="0"/>
              <w:rPr>
                <w:sz w:val="20"/>
                <w:szCs w:val="20"/>
                <w:color w:val="auto"/>
              </w:rPr>
            </w:pPr>
            <w:r>
              <w:rPr>
                <w:rFonts w:ascii="Arial" w:cs="Arial" w:eastAsia="Arial" w:hAnsi="Arial"/>
                <w:sz w:val="18"/>
                <w:szCs w:val="18"/>
                <w:color w:val="auto"/>
              </w:rPr>
              <w:t>Management company</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TWD18,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Investment company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tcPr>
          <w:p>
            <w:pPr>
              <w:spacing w:after="0"/>
              <w:rPr>
                <w:sz w:val="20"/>
                <w:szCs w:val="20"/>
                <w:color w:val="auto"/>
              </w:rPr>
            </w:pPr>
            <w:r>
              <w:rPr>
                <w:rFonts w:ascii="Arial" w:cs="Arial" w:eastAsia="Arial" w:hAnsi="Arial"/>
                <w:sz w:val="18"/>
                <w:szCs w:val="18"/>
                <w:color w:val="auto"/>
              </w:rPr>
              <w:t>Intellectual property</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Real estate holding company</w:t>
            </w:r>
          </w:p>
        </w:tc>
      </w:tr>
    </w:tbl>
    <w:p>
      <w:pPr>
        <w:spacing w:after="0" w:line="103" w:lineRule="exact"/>
        <w:rPr>
          <w:sz w:val="20"/>
          <w:szCs w:val="20"/>
          <w:color w:val="auto"/>
        </w:rPr>
      </w:pPr>
    </w:p>
    <w:p>
      <w:pPr>
        <w:ind w:left="1180" w:hanging="544"/>
        <w:spacing w:after="0"/>
        <w:tabs>
          <w:tab w:leader="none" w:pos="1180"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2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137" w:lineRule="exact"/>
        <w:rPr>
          <w:rFonts w:ascii="Arial" w:cs="Arial" w:eastAsia="Arial" w:hAnsi="Arial"/>
          <w:sz w:val="18"/>
          <w:szCs w:val="18"/>
          <w:b w:val="1"/>
          <w:bCs w:val="1"/>
          <w:color w:val="auto"/>
        </w:rPr>
      </w:pPr>
    </w:p>
    <w:p>
      <w:pPr>
        <w:ind w:left="640" w:right="120" w:hanging="432"/>
        <w:spacing w:after="0" w:line="286" w:lineRule="auto"/>
        <w:rPr>
          <w:rFonts w:ascii="Arial" w:cs="Arial" w:eastAsia="Arial" w:hAnsi="Arial"/>
          <w:sz w:val="18"/>
          <w:szCs w:val="18"/>
          <w:b w:val="1"/>
          <w:bCs w:val="1"/>
          <w:color w:val="auto"/>
        </w:rPr>
      </w:pPr>
      <w:r>
        <w:rPr>
          <w:rFonts w:ascii="Arial" w:cs="Arial" w:eastAsia="Arial" w:hAnsi="Arial"/>
          <w:sz w:val="15"/>
          <w:szCs w:val="15"/>
          <w:color w:val="auto"/>
        </w:rPr>
        <w:t>1</w:t>
      </w:r>
      <w:r>
        <w:rPr>
          <w:rFonts w:ascii="Arial" w:cs="Arial" w:eastAsia="Arial" w:hAnsi="Arial"/>
          <w:sz w:val="17"/>
          <w:szCs w:val="17"/>
          <w:color w:val="auto"/>
        </w:rPr>
        <w:t>Illinois, Disp, LLC, Chesapeake Alternatives, LLC and Meshow, LLC were considered Variable Interest Entities (VIEs) and consolidated within GTI’s consolidated Financial Statements as 1) GTI was determined to be the primary beneficiary of the operations of these entities and 2) GTI possesses the power to direct activities through management services agreements (MSAs).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-467995</wp:posOffset>
            </wp:positionV>
            <wp:extent cx="7632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FQ-9</w:t>
      </w:r>
    </w:p>
    <w:p>
      <w:pPr>
        <w:sectPr>
          <w:pgSz w:w="11900" w:h="16838" w:orient="portrait"/>
          <w:cols w:equalWidth="0" w:num="1">
            <w:col w:w="11160"/>
          </w:cols>
          <w:pgMar w:left="24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nine months ended September 30, 2019 the Company recorded $250,000 in allowance for doubtful accounts. For the nine months ended September 30, 2018, the Company determined that an allowance for doubtful accounts was not required. No accounts were written off during the nine months ended September 30, 2019 or 2018.</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2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7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2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-3807460</wp:posOffset>
            </wp:positionV>
            <wp:extent cx="6997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Not Depreciated</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460" w:type="dxa"/>
            <w:vAlign w:val="bottom"/>
            <w:gridSpan w:val="2"/>
          </w:tcPr>
          <w:p>
            <w:pPr>
              <w:jc w:val="center"/>
              <w:ind w:left="810"/>
              <w:spacing w:after="0"/>
              <w:rPr>
                <w:sz w:val="20"/>
                <w:szCs w:val="20"/>
                <w:color w:val="auto"/>
              </w:rPr>
            </w:pPr>
            <w:r>
              <w:rPr>
                <w:rFonts w:ascii="Arial" w:cs="Arial" w:eastAsia="Arial" w:hAnsi="Arial"/>
                <w:sz w:val="18"/>
                <w:szCs w:val="18"/>
                <w:color w:val="auto"/>
                <w:w w:val="88"/>
              </w:rPr>
              <w:t>39 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3460" w:type="dxa"/>
            <w:vAlign w:val="bottom"/>
            <w:gridSpan w:val="2"/>
          </w:tcPr>
          <w:p>
            <w:pPr>
              <w:jc w:val="center"/>
              <w:ind w:left="810"/>
              <w:spacing w:after="0"/>
              <w:rPr>
                <w:sz w:val="20"/>
                <w:szCs w:val="20"/>
                <w:color w:val="auto"/>
              </w:rPr>
            </w:pPr>
            <w:r>
              <w:rPr>
                <w:rFonts w:ascii="Arial" w:cs="Arial" w:eastAsia="Arial" w:hAnsi="Arial"/>
                <w:sz w:val="18"/>
                <w:szCs w:val="18"/>
                <w:color w:val="auto"/>
                <w:w w:val="86"/>
              </w:rPr>
              <w:t>5 - 7 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34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200" w:right="4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FQ-10</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2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which do not exceed the contractual period, if any, over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-1445895</wp:posOffset>
            </wp:positionV>
            <wp:extent cx="6997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Licenses and Permits</w:t>
            </w:r>
          </w:p>
        </w:tc>
        <w:tc>
          <w:tcPr>
            <w:tcW w:w="3100" w:type="dxa"/>
            <w:vAlign w:val="bottom"/>
            <w:shd w:val="clear" w:color="auto" w:fill="CCEEFF"/>
          </w:tcPr>
          <w:p>
            <w:pPr>
              <w:jc w:val="center"/>
              <w:ind w:left="2010"/>
              <w:spacing w:after="0"/>
              <w:rPr>
                <w:sz w:val="20"/>
                <w:szCs w:val="20"/>
                <w:color w:val="auto"/>
              </w:rPr>
            </w:pPr>
            <w:r>
              <w:rPr>
                <w:rFonts w:ascii="Arial" w:cs="Arial" w:eastAsia="Arial" w:hAnsi="Arial"/>
                <w:sz w:val="18"/>
                <w:szCs w:val="18"/>
                <w:color w:val="auto"/>
                <w:w w:val="86"/>
              </w:rPr>
              <w:t>15 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Tradenames</w:t>
            </w:r>
          </w:p>
        </w:tc>
        <w:tc>
          <w:tcPr>
            <w:tcW w:w="3100" w:type="dxa"/>
            <w:vAlign w:val="bottom"/>
          </w:tcPr>
          <w:p>
            <w:pPr>
              <w:jc w:val="center"/>
              <w:ind w:left="2030"/>
              <w:spacing w:after="0"/>
              <w:rPr>
                <w:sz w:val="20"/>
                <w:szCs w:val="20"/>
                <w:color w:val="auto"/>
              </w:rPr>
            </w:pPr>
            <w:r>
              <w:rPr>
                <w:rFonts w:ascii="Arial" w:cs="Arial" w:eastAsia="Arial" w:hAnsi="Arial"/>
                <w:sz w:val="18"/>
                <w:szCs w:val="18"/>
                <w:color w:val="auto"/>
                <w:w w:val="95"/>
              </w:rPr>
              <w:t>Indefinite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Patient Relationships</w:t>
            </w:r>
          </w:p>
        </w:tc>
        <w:tc>
          <w:tcPr>
            <w:tcW w:w="3100" w:type="dxa"/>
            <w:vAlign w:val="bottom"/>
            <w:shd w:val="clear" w:color="auto" w:fill="CCEEFF"/>
          </w:tcPr>
          <w:p>
            <w:pPr>
              <w:jc w:val="center"/>
              <w:ind w:left="2010"/>
              <w:spacing w:after="0"/>
              <w:rPr>
                <w:sz w:val="20"/>
                <w:szCs w:val="20"/>
                <w:color w:val="auto"/>
              </w:rPr>
            </w:pPr>
            <w:r>
              <w:rPr>
                <w:rFonts w:ascii="Arial" w:cs="Arial" w:eastAsia="Arial" w:hAnsi="Arial"/>
                <w:sz w:val="18"/>
                <w:szCs w:val="18"/>
                <w:color w:val="auto"/>
                <w:w w:val="88"/>
              </w:rPr>
              <w:t>5 years</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3100" w:type="dxa"/>
            <w:vAlign w:val="bottom"/>
          </w:tcPr>
          <w:p>
            <w:pPr>
              <w:jc w:val="center"/>
              <w:ind w:left="2010"/>
              <w:spacing w:after="0"/>
              <w:rPr>
                <w:sz w:val="20"/>
                <w:szCs w:val="20"/>
                <w:color w:val="auto"/>
              </w:rPr>
            </w:pPr>
            <w:r>
              <w:rPr>
                <w:rFonts w:ascii="Arial" w:cs="Arial" w:eastAsia="Arial" w:hAnsi="Arial"/>
                <w:sz w:val="18"/>
                <w:szCs w:val="18"/>
                <w:color w:val="auto"/>
                <w:w w:val="88"/>
              </w:rPr>
              <w:t>2 years</w:t>
            </w:r>
          </w:p>
        </w:tc>
      </w:tr>
    </w:tbl>
    <w:p>
      <w:pPr>
        <w:spacing w:after="0" w:line="187" w:lineRule="exact"/>
        <w:rPr>
          <w:sz w:val="20"/>
          <w:szCs w:val="20"/>
          <w:color w:val="auto"/>
        </w:rPr>
      </w:pPr>
    </w:p>
    <w:p>
      <w:pPr>
        <w:ind w:left="1200" w:right="380"/>
        <w:spacing w:after="0" w:line="277" w:lineRule="auto"/>
        <w:rPr>
          <w:sz w:val="20"/>
          <w:szCs w:val="20"/>
          <w:color w:val="auto"/>
        </w:rPr>
      </w:pPr>
      <w:r>
        <w:rPr>
          <w:rFonts w:ascii="Arial" w:cs="Arial" w:eastAsia="Arial" w:hAnsi="Arial"/>
          <w:sz w:val="18"/>
          <w:szCs w:val="18"/>
          <w:color w:val="auto"/>
        </w:rPr>
        <w:t>The estimated useful lives, residual values, and amortization methods are reviewed at each year end, and any changes in estimates are accounted for prospectively.</w:t>
      </w:r>
    </w:p>
    <w:p>
      <w:pPr>
        <w:spacing w:after="0" w:line="72" w:lineRule="exact"/>
        <w:rPr>
          <w:sz w:val="20"/>
          <w:szCs w:val="20"/>
          <w:color w:val="auto"/>
        </w:rPr>
      </w:pPr>
    </w:p>
    <w:p>
      <w:pPr>
        <w:ind w:left="1180" w:hanging="544"/>
        <w:spacing w:after="0"/>
        <w:tabs>
          <w:tab w:leader="none" w:pos="11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3" w:lineRule="exact"/>
        <w:rPr>
          <w:rFonts w:ascii="Arial" w:cs="Arial" w:eastAsia="Arial" w:hAnsi="Arial"/>
          <w:sz w:val="18"/>
          <w:szCs w:val="18"/>
          <w:b w:val="1"/>
          <w:bCs w:val="1"/>
          <w:color w:val="auto"/>
        </w:rPr>
      </w:pPr>
    </w:p>
    <w:p>
      <w:pPr>
        <w:ind w:left="120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84"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rFonts w:ascii="Arial" w:cs="Arial" w:eastAsia="Arial" w:hAnsi="Arial"/>
          <w:sz w:val="18"/>
          <w:szCs w:val="18"/>
          <w:b w:val="1"/>
          <w:bCs w:val="1"/>
          <w:color w:val="auto"/>
        </w:rPr>
      </w:pPr>
    </w:p>
    <w:p>
      <w:pPr>
        <w:ind w:left="120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At inception of a contract, the Company assesses whether a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Company assess whether: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FQ-11</w:t>
      </w:r>
    </w:p>
    <w:p>
      <w:pPr>
        <w:sectPr>
          <w:pgSz w:w="11900" w:h="16838" w:orient="portrait"/>
          <w:cols w:equalWidth="0" w:num="1">
            <w:col w:w="11200"/>
          </w:cols>
          <w:pgMar w:left="240" w:top="460"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2280" w:hanging="537"/>
        <w:spacing w:after="0"/>
        <w:tabs>
          <w:tab w:leader="none" w:pos="2280" w:val="left"/>
        </w:tabs>
        <w:numPr>
          <w:ilvl w:val="2"/>
          <w:numId w:val="241"/>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w:t>
      </w:r>
    </w:p>
    <w:p>
      <w:pPr>
        <w:spacing w:after="0" w:line="130" w:lineRule="exact"/>
        <w:rPr>
          <w:rFonts w:ascii="Arial" w:cs="Arial" w:eastAsia="Arial" w:hAnsi="Arial"/>
          <w:sz w:val="18"/>
          <w:szCs w:val="18"/>
          <w:color w:val="auto"/>
        </w:rPr>
      </w:pPr>
    </w:p>
    <w:p>
      <w:pPr>
        <w:ind w:left="2280" w:right="120" w:hanging="537"/>
        <w:spacing w:after="0" w:line="277" w:lineRule="auto"/>
        <w:tabs>
          <w:tab w:leader="none" w:pos="2280" w:val="left"/>
        </w:tabs>
        <w:numPr>
          <w:ilvl w:val="2"/>
          <w:numId w:val="241"/>
        </w:numPr>
        <w:rPr>
          <w:rFonts w:ascii="Arial" w:cs="Arial" w:eastAsia="Arial" w:hAnsi="Arial"/>
          <w:sz w:val="18"/>
          <w:szCs w:val="18"/>
          <w:color w:val="auto"/>
        </w:rPr>
      </w:pPr>
      <w:r>
        <w:rPr>
          <w:rFonts w:ascii="Arial" w:cs="Arial" w:eastAsia="Arial" w:hAnsi="Arial"/>
          <w:sz w:val="18"/>
          <w:szCs w:val="18"/>
          <w:color w:val="auto"/>
        </w:rPr>
        <w:t>The Company has the right to obtain substantially all of the economic benefits from use of the asset throughout the period of use; and</w:t>
      </w:r>
    </w:p>
    <w:p>
      <w:pPr>
        <w:spacing w:after="0" w:line="75" w:lineRule="exact"/>
        <w:rPr>
          <w:rFonts w:ascii="Arial" w:cs="Arial" w:eastAsia="Arial" w:hAnsi="Arial"/>
          <w:sz w:val="18"/>
          <w:szCs w:val="18"/>
          <w:color w:val="auto"/>
        </w:rPr>
      </w:pPr>
    </w:p>
    <w:p>
      <w:pPr>
        <w:ind w:left="2280" w:hanging="537"/>
        <w:spacing w:after="0"/>
        <w:tabs>
          <w:tab w:leader="none" w:pos="2280" w:val="left"/>
        </w:tabs>
        <w:numPr>
          <w:ilvl w:val="2"/>
          <w:numId w:val="241"/>
        </w:numPr>
        <w:rPr>
          <w:rFonts w:ascii="Arial" w:cs="Arial" w:eastAsia="Arial" w:hAnsi="Arial"/>
          <w:sz w:val="18"/>
          <w:szCs w:val="18"/>
          <w:color w:val="auto"/>
        </w:rPr>
      </w:pPr>
      <w:r>
        <w:rPr>
          <w:rFonts w:ascii="Arial" w:cs="Arial" w:eastAsia="Arial" w:hAnsi="Arial"/>
          <w:sz w:val="18"/>
          <w:szCs w:val="18"/>
          <w:color w:val="auto"/>
        </w:rPr>
        <w:t>The Company has the right to direct the use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-1013460</wp:posOffset>
            </wp:positionV>
            <wp:extent cx="6997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This policy is applied to contracts entered into, or changed, on or after January 1, 2019.</w:t>
      </w:r>
    </w:p>
    <w:p>
      <w:pPr>
        <w:spacing w:after="0" w:line="117" w:lineRule="exact"/>
        <w:rPr>
          <w:sz w:val="20"/>
          <w:szCs w:val="20"/>
          <w:color w:val="auto"/>
        </w:rPr>
      </w:pPr>
    </w:p>
    <w:p>
      <w:pPr>
        <w:ind w:left="1200" w:right="140"/>
        <w:spacing w:after="0" w:line="277" w:lineRule="auto"/>
        <w:rPr>
          <w:sz w:val="20"/>
          <w:szCs w:val="20"/>
          <w:color w:val="auto"/>
        </w:rPr>
      </w:pPr>
      <w:r>
        <w:rPr>
          <w:rFonts w:ascii="Arial" w:cs="Arial" w:eastAsia="Arial" w:hAnsi="Arial"/>
          <w:sz w:val="18"/>
          <w:szCs w:val="18"/>
          <w:color w:val="auto"/>
        </w:rPr>
        <w:t>At inception or on reassessment of a contract that contains a lease component, the Company allocates the consideration in the contract to each lease component on the basis of their relative stand-alone prices.</w:t>
      </w:r>
    </w:p>
    <w:p>
      <w:pPr>
        <w:spacing w:after="0" w:line="62" w:lineRule="exact"/>
        <w:rPr>
          <w:sz w:val="20"/>
          <w:szCs w:val="20"/>
          <w:color w:val="auto"/>
        </w:rPr>
      </w:pPr>
    </w:p>
    <w:p>
      <w:pPr>
        <w:ind w:left="1200" w:right="200"/>
        <w:spacing w:after="0" w:line="277" w:lineRule="auto"/>
        <w:rPr>
          <w:sz w:val="20"/>
          <w:szCs w:val="20"/>
          <w:color w:val="auto"/>
        </w:rPr>
      </w:pPr>
      <w:r>
        <w:rPr>
          <w:rFonts w:ascii="Arial" w:cs="Arial" w:eastAsia="Arial" w:hAnsi="Arial"/>
          <w:sz w:val="18"/>
          <w:szCs w:val="18"/>
          <w:color w:val="auto"/>
        </w:rPr>
        <w:t>However, for the leases of land and buildings in which it is a lessee, the Company has elected not to separate non-lease components and account for the lease and non-lease components as a single lease component.</w:t>
      </w:r>
    </w:p>
    <w:p>
      <w:pPr>
        <w:spacing w:after="0" w:line="62" w:lineRule="exact"/>
        <w:rPr>
          <w:sz w:val="20"/>
          <w:szCs w:val="20"/>
          <w:color w:val="auto"/>
        </w:rPr>
      </w:pPr>
    </w:p>
    <w:p>
      <w:pPr>
        <w:ind w:left="1200" w:right="380"/>
        <w:spacing w:after="0" w:line="279" w:lineRule="auto"/>
        <w:rPr>
          <w:sz w:val="20"/>
          <w:szCs w:val="20"/>
          <w:color w:val="auto"/>
        </w:rPr>
      </w:pPr>
      <w:r>
        <w:rPr>
          <w:rFonts w:ascii="Arial" w:cs="Arial" w:eastAsia="Arial" w:hAnsi="Arial"/>
          <w:sz w:val="17"/>
          <w:szCs w:val="17"/>
          <w:color w:val="auto"/>
        </w:rPr>
        <w:t>The Company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63" w:lineRule="exact"/>
        <w:rPr>
          <w:sz w:val="20"/>
          <w:szCs w:val="20"/>
          <w:color w:val="auto"/>
        </w:rPr>
      </w:pPr>
    </w:p>
    <w:p>
      <w:pPr>
        <w:jc w:val="both"/>
        <w:ind w:left="1200" w:right="80"/>
        <w:spacing w:after="0" w:line="259" w:lineRule="auto"/>
        <w:rPr>
          <w:sz w:val="20"/>
          <w:szCs w:val="20"/>
          <w:color w:val="auto"/>
        </w:rPr>
      </w:pPr>
      <w:r>
        <w:rPr>
          <w:rFonts w:ascii="Arial" w:cs="Arial" w:eastAsia="Arial" w:hAnsi="Arial"/>
          <w:sz w:val="18"/>
          <w:szCs w:val="18"/>
          <w:color w:val="auto"/>
        </w:rPr>
        <w:t>The right-of-use asset is subsequently depreciated using the straight-line method from the commencement date to the earlier of the end of the useful life of the right-of-use asset or the end of the lease term. The estimated useful lives of the right-of-use assets are determined on the same basis as those of property and equipment. In addition, the right-of-use asset is periodically reduced by impairment losses, if any, and adjusted for certain remeasurements of the lease liability.</w:t>
      </w:r>
    </w:p>
    <w:p>
      <w:pPr>
        <w:spacing w:after="0" w:line="79" w:lineRule="exact"/>
        <w:rPr>
          <w:sz w:val="20"/>
          <w:szCs w:val="20"/>
          <w:color w:val="auto"/>
        </w:rPr>
      </w:pPr>
    </w:p>
    <w:p>
      <w:pPr>
        <w:ind w:left="1200" w:right="100"/>
        <w:spacing w:after="0" w:line="264" w:lineRule="auto"/>
        <w:rPr>
          <w:sz w:val="20"/>
          <w:szCs w:val="20"/>
          <w:color w:val="auto"/>
        </w:rPr>
      </w:pPr>
      <w:r>
        <w:rPr>
          <w:rFonts w:ascii="Arial" w:cs="Arial" w:eastAsia="Arial" w:hAnsi="Arial"/>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Company’s incremental borrowing rate. Generally, the Company uses its incremental borrowing rate as the discount rate.</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Lease payments included in the measurement of the lease liability comprise the following:</w:t>
      </w:r>
    </w:p>
    <w:p>
      <w:pPr>
        <w:spacing w:after="0" w:line="131" w:lineRule="exact"/>
        <w:rPr>
          <w:sz w:val="20"/>
          <w:szCs w:val="20"/>
          <w:color w:val="auto"/>
        </w:rPr>
      </w:pPr>
    </w:p>
    <w:p>
      <w:pPr>
        <w:ind w:left="2280" w:hanging="537"/>
        <w:spacing w:after="0"/>
        <w:tabs>
          <w:tab w:leader="none" w:pos="22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w:t>
      </w:r>
    </w:p>
    <w:p>
      <w:pPr>
        <w:spacing w:after="0" w:line="130" w:lineRule="exact"/>
        <w:rPr>
          <w:rFonts w:ascii="Arial" w:cs="Arial" w:eastAsia="Arial" w:hAnsi="Arial"/>
          <w:sz w:val="18"/>
          <w:szCs w:val="18"/>
          <w:color w:val="auto"/>
        </w:rPr>
      </w:pPr>
    </w:p>
    <w:p>
      <w:pPr>
        <w:ind w:left="2280" w:right="1080" w:hanging="537"/>
        <w:spacing w:after="0" w:line="277" w:lineRule="auto"/>
        <w:tabs>
          <w:tab w:leader="none" w:pos="22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Variable lease payments that depend on an index or a rate, initially measured using the index or rate as at the commencement date;</w:t>
      </w:r>
    </w:p>
    <w:p>
      <w:pPr>
        <w:spacing w:after="0" w:line="75" w:lineRule="exact"/>
        <w:rPr>
          <w:rFonts w:ascii="Arial" w:cs="Arial" w:eastAsia="Arial" w:hAnsi="Arial"/>
          <w:sz w:val="18"/>
          <w:szCs w:val="18"/>
          <w:color w:val="auto"/>
        </w:rPr>
      </w:pPr>
    </w:p>
    <w:p>
      <w:pPr>
        <w:ind w:left="2280" w:hanging="537"/>
        <w:spacing w:after="0"/>
        <w:tabs>
          <w:tab w:leader="none" w:pos="22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Amounts expected to be payable under a residual value guarantee; and</w:t>
      </w:r>
    </w:p>
    <w:p>
      <w:pPr>
        <w:spacing w:after="0" w:line="130" w:lineRule="exact"/>
        <w:rPr>
          <w:rFonts w:ascii="Arial" w:cs="Arial" w:eastAsia="Arial" w:hAnsi="Arial"/>
          <w:sz w:val="18"/>
          <w:szCs w:val="18"/>
          <w:color w:val="auto"/>
        </w:rPr>
      </w:pPr>
    </w:p>
    <w:p>
      <w:pPr>
        <w:jc w:val="both"/>
        <w:ind w:left="2280" w:right="520" w:hanging="537"/>
        <w:spacing w:after="0" w:line="286" w:lineRule="auto"/>
        <w:tabs>
          <w:tab w:leader="none" w:pos="22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exercise price under a purchase option that the Company is reasonably certain to exercise, lease payments in an optional renewal period if the Company is reasonably certain to exercise an extension option, and penalties for early termination of a lease unless the Company is reasonably certain not to terminate early.</w:t>
      </w:r>
    </w:p>
    <w:p>
      <w:pPr>
        <w:spacing w:after="0" w:line="57"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The lease liability is measured at amortized cost using the effective interest method. It is remeasured when there is a change in future lease payments arising from a change in an index or rate, if there is a change in the Company’s estimate of the amount expected to be payable under a residual value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FQ-12</w:t>
      </w:r>
    </w:p>
    <w:p>
      <w:pPr>
        <w:sectPr>
          <w:pgSz w:w="11900" w:h="16838" w:orient="portrait"/>
          <w:cols w:equalWidth="0" w:num="1">
            <w:col w:w="11180"/>
          </w:cols>
          <w:pgMar w:left="240" w:top="460"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guarantee, or if the Company changes its assessment of whether it will exercise a purchase, extension, or termination option.</w:t>
      </w:r>
    </w:p>
    <w:p>
      <w:pPr>
        <w:spacing w:after="0" w:line="117" w:lineRule="exact"/>
        <w:rPr>
          <w:rFonts w:ascii="Arial" w:cs="Arial" w:eastAsia="Arial" w:hAnsi="Arial"/>
          <w:sz w:val="18"/>
          <w:szCs w:val="18"/>
          <w:b w:val="1"/>
          <w:bCs w:val="1"/>
          <w:color w:val="auto"/>
        </w:rPr>
      </w:pPr>
    </w:p>
    <w:p>
      <w:pPr>
        <w:ind w:left="12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When the lease liability is remeasured in this way, a corresponding adjustment is made to the carrying amount of the right-of-use asset, or is recorded in profit or loss if the carrying amount of the right-of-use asset has been reduced to zero.</w:t>
      </w:r>
    </w:p>
    <w:p>
      <w:pPr>
        <w:spacing w:after="0" w:line="62" w:lineRule="exact"/>
        <w:rPr>
          <w:rFonts w:ascii="Arial" w:cs="Arial" w:eastAsia="Arial" w:hAnsi="Arial"/>
          <w:sz w:val="18"/>
          <w:szCs w:val="18"/>
          <w:b w:val="1"/>
          <w:bCs w:val="1"/>
          <w:color w:val="auto"/>
        </w:rPr>
      </w:pPr>
    </w:p>
    <w:p>
      <w:pPr>
        <w:jc w:val="both"/>
        <w:ind w:left="12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elected not to recognize right-of-use assets and lease liabilities for short-term leases of machinery that have a lease term of 12 months or less and leases of low-value assets, including IT equipment. The Company recognizes the lease payments associated with the leases as an expense on a straight-line basis over the lease term.</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 Payable</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2017, the Company had a convertible promissory note. Management evaluated the convertible note to determine whether the conversion feature required bifurcation from the host instrument, which management concluded it did not, and whether the conversion feature was a beneficial conversion feature, which similarly was concluded to not be beneficial. Accordingly, the convertible note was accounted for entirely as a liability instrument through conversion.</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80"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11, the Company is subject to the limitations of IRC Section 280E.</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38"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2280" w:hanging="537"/>
        <w:spacing w:after="0"/>
        <w:tabs>
          <w:tab w:leader="none" w:pos="22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2280" w:hanging="537"/>
        <w:spacing w:after="0"/>
        <w:tabs>
          <w:tab w:leader="none" w:pos="22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2280" w:right="460" w:hanging="537"/>
        <w:spacing w:after="0" w:line="277" w:lineRule="auto"/>
        <w:tabs>
          <w:tab w:leader="none" w:pos="2280" w:val="left"/>
        </w:tabs>
        <w:numPr>
          <w:ilvl w:val="2"/>
          <w:numId w:val="243"/>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-5336540</wp:posOffset>
            </wp:positionV>
            <wp:extent cx="6997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FQ-13</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2280" w:hanging="537"/>
        <w:spacing w:after="0"/>
        <w:tabs>
          <w:tab w:leader="none" w:pos="228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2280" w:hanging="537"/>
        <w:spacing w:after="0"/>
        <w:tabs>
          <w:tab w:leader="none" w:pos="228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-661670</wp:posOffset>
            </wp:positionV>
            <wp:extent cx="6997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right="80"/>
        <w:spacing w:after="0" w:line="259" w:lineRule="auto"/>
        <w:rPr>
          <w:sz w:val="20"/>
          <w:szCs w:val="20"/>
          <w:color w:val="auto"/>
        </w:rPr>
      </w:pPr>
      <w:r>
        <w:rPr>
          <w:rFonts w:ascii="Arial" w:cs="Arial" w:eastAsia="Arial" w:hAnsi="Arial"/>
          <w:sz w:val="18"/>
          <w:szCs w:val="18"/>
          <w:color w:val="auto"/>
        </w:rPr>
        <w:t>Revenues consist of wholesale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nine months ended September 30, 2019 and 2018, respectively.</w:t>
      </w:r>
    </w:p>
    <w:p>
      <w:pPr>
        <w:spacing w:after="0" w:line="79" w:lineRule="exact"/>
        <w:rPr>
          <w:sz w:val="20"/>
          <w:szCs w:val="20"/>
          <w:color w:val="auto"/>
        </w:rPr>
      </w:pPr>
    </w:p>
    <w:p>
      <w:pPr>
        <w:ind w:left="1200" w:right="2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sz w:val="20"/>
          <w:szCs w:val="20"/>
          <w:color w:val="auto"/>
        </w:rPr>
      </w:pPr>
    </w:p>
    <w:p>
      <w:pPr>
        <w:ind w:left="1200" w:right="500"/>
        <w:spacing w:after="0" w:line="277" w:lineRule="auto"/>
        <w:rPr>
          <w:sz w:val="20"/>
          <w:szCs w:val="20"/>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2" w:lineRule="exact"/>
        <w:rPr>
          <w:sz w:val="20"/>
          <w:szCs w:val="20"/>
          <w:color w:val="auto"/>
        </w:rPr>
      </w:pPr>
    </w:p>
    <w:p>
      <w:pPr>
        <w:ind w:left="1180" w:hanging="544"/>
        <w:spacing w:after="0"/>
        <w:tabs>
          <w:tab w:leader="none" w:pos="11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rFonts w:ascii="Arial" w:cs="Arial" w:eastAsia="Arial" w:hAnsi="Arial"/>
          <w:sz w:val="18"/>
          <w:szCs w:val="18"/>
          <w:b w:val="1"/>
          <w:bCs w:val="1"/>
          <w:color w:val="auto"/>
        </w:rPr>
      </w:pPr>
    </w:p>
    <w:p>
      <w:pPr>
        <w:ind w:left="1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5"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rFonts w:ascii="Arial" w:cs="Arial" w:eastAsia="Arial" w:hAnsi="Arial"/>
          <w:sz w:val="18"/>
          <w:szCs w:val="18"/>
          <w:b w:val="1"/>
          <w:bCs w:val="1"/>
          <w:color w:val="auto"/>
        </w:rPr>
      </w:pPr>
    </w:p>
    <w:p>
      <w:pPr>
        <w:ind w:left="12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59"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120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FQ-14</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9" w:lineRule="exact"/>
        <w:rPr>
          <w:rFonts w:ascii="Arial" w:cs="Arial" w:eastAsia="Arial" w:hAnsi="Arial"/>
          <w:sz w:val="18"/>
          <w:szCs w:val="18"/>
          <w:b w:val="1"/>
          <w:bCs w:val="1"/>
          <w:color w:val="auto"/>
        </w:rPr>
      </w:pPr>
    </w:p>
    <w:p>
      <w:pPr>
        <w:ind w:left="1240" w:right="446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or liabilities; Unadjusted</w:t>
      </w:r>
    </w:p>
    <w:p>
      <w:pPr>
        <w:spacing w:after="0" w:line="75" w:lineRule="exact"/>
        <w:rPr>
          <w:rFonts w:ascii="Arial" w:cs="Arial" w:eastAsia="Arial" w:hAnsi="Arial"/>
          <w:sz w:val="18"/>
          <w:szCs w:val="18"/>
          <w:b w:val="1"/>
          <w:bCs w:val="1"/>
          <w:color w:val="auto"/>
        </w:rPr>
      </w:pPr>
    </w:p>
    <w:p>
      <w:pPr>
        <w:ind w:left="1240" w:right="182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 – other than quoted prices that are observable for the asset or liability, either directly or indirectly; and Inputs</w:t>
      </w:r>
    </w:p>
    <w:p>
      <w:pPr>
        <w:spacing w:after="0" w:line="75" w:lineRule="exact"/>
        <w:rPr>
          <w:rFonts w:ascii="Arial" w:cs="Arial" w:eastAsia="Arial" w:hAnsi="Arial"/>
          <w:sz w:val="18"/>
          <w:szCs w:val="18"/>
          <w:b w:val="1"/>
          <w:bCs w:val="1"/>
          <w:color w:val="auto"/>
        </w:rPr>
      </w:pPr>
    </w:p>
    <w:p>
      <w:pPr>
        <w:ind w:left="1240" w:right="408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 for the asset or liability that are not based on observable market data. Inputs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3"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20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 Diluted income per share is calculated by adjusting the weighted average number of common shares outstanding to assume conversion of all dilutive potential common shares. The Company has two categories of dilutive potential common shares: restricted stock units and stock options. 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increase earnings per share or decrease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-5681980</wp:posOffset>
            </wp:positionV>
            <wp:extent cx="6997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FQ-15</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2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 During the nine months ended September 30, 2019 and 2018, there were no transactions in currencies other than US Dollars.</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2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was no impairment charge related to intangible assets or property, plant and equipment for the nine months ended September 30, 2019 and 2018, respectively.</w:t>
      </w:r>
    </w:p>
    <w:p>
      <w:pPr>
        <w:spacing w:after="0" w:line="8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2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Company’s consolidated financial statements requires management to make judgments, estimates and assumptions that affect the application of policies and reported amounts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-5370830</wp:posOffset>
            </wp:positionV>
            <wp:extent cx="6997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FQ-16</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38" w:lineRule="exact"/>
        <w:rPr>
          <w:rFonts w:ascii="Arial" w:cs="Arial" w:eastAsia="Arial" w:hAnsi="Arial"/>
          <w:sz w:val="18"/>
          <w:szCs w:val="18"/>
          <w:b w:val="1"/>
          <w:bCs w:val="1"/>
          <w:color w:val="auto"/>
        </w:rPr>
      </w:pPr>
    </w:p>
    <w:p>
      <w:pPr>
        <w:ind w:left="12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48"/>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2(k))</w:t>
      </w:r>
    </w:p>
    <w:p>
      <w:pPr>
        <w:spacing w:after="0" w:line="117" w:lineRule="exact"/>
        <w:rPr>
          <w:rFonts w:ascii="Arial" w:cs="Arial" w:eastAsia="Arial" w:hAnsi="Arial"/>
          <w:sz w:val="18"/>
          <w:szCs w:val="18"/>
          <w:i w:val="1"/>
          <w:iCs w:val="1"/>
          <w:color w:val="auto"/>
        </w:rPr>
      </w:pPr>
    </w:p>
    <w:p>
      <w:pPr>
        <w:ind w:left="16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might be impaired.</w:t>
      </w:r>
    </w:p>
    <w:p>
      <w:pPr>
        <w:spacing w:after="0" w:line="70"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8"/>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64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3" w:lineRule="exact"/>
        <w:rPr>
          <w:rFonts w:ascii="Arial" w:cs="Arial" w:eastAsia="Arial" w:hAnsi="Arial"/>
          <w:sz w:val="18"/>
          <w:szCs w:val="18"/>
          <w:i w:val="1"/>
          <w:iCs w:val="1"/>
          <w:color w:val="auto"/>
        </w:rPr>
      </w:pPr>
    </w:p>
    <w:p>
      <w:pPr>
        <w:ind w:left="1640" w:right="2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8"/>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6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-5019040</wp:posOffset>
            </wp:positionV>
            <wp:extent cx="6997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FQ-17</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6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6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77"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640" w:right="4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The Company’s assets are aggregated into two reportable segments (retail and wholesale).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GTI’s operates as of September 30, 2019: California, Connecticut, Florida, Illinois, Maryland, Massachusetts, Nevada, New Jersey, New York, Ohio and Pennsylvania.</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640" w:right="100"/>
        <w:spacing w:after="0" w:line="297" w:lineRule="auto"/>
        <w:rPr>
          <w:rFonts w:ascii="Arial" w:cs="Arial" w:eastAsia="Arial" w:hAnsi="Arial"/>
          <w:sz w:val="18"/>
          <w:szCs w:val="18"/>
          <w:i w:val="1"/>
          <w:iCs w:val="1"/>
          <w:color w:val="auto"/>
        </w:rPr>
      </w:pPr>
      <w:r>
        <w:rPr>
          <w:rFonts w:ascii="Arial" w:cs="Arial" w:eastAsia="Arial" w:hAnsi="Arial"/>
          <w:sz w:val="16"/>
          <w:szCs w:val="16"/>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6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640" w:right="26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-4986020</wp:posOffset>
            </wp:positionV>
            <wp:extent cx="6997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FQ-18</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50"/>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Payments</w:t>
      </w:r>
    </w:p>
    <w:p>
      <w:pPr>
        <w:spacing w:after="0" w:line="117" w:lineRule="exact"/>
        <w:rPr>
          <w:rFonts w:ascii="Arial" w:cs="Arial" w:eastAsia="Arial" w:hAnsi="Arial"/>
          <w:sz w:val="18"/>
          <w:szCs w:val="18"/>
          <w:i w:val="1"/>
          <w:iCs w:val="1"/>
          <w:color w:val="auto"/>
        </w:rPr>
      </w:pPr>
    </w:p>
    <w:p>
      <w:pPr>
        <w:ind w:left="164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50"/>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6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90" w:lineRule="exact"/>
        <w:rPr>
          <w:rFonts w:ascii="Arial" w:cs="Arial" w:eastAsia="Arial" w:hAnsi="Arial"/>
          <w:sz w:val="18"/>
          <w:szCs w:val="18"/>
          <w:i w:val="1"/>
          <w:iCs w:val="1"/>
          <w:color w:val="auto"/>
        </w:rPr>
      </w:pPr>
    </w:p>
    <w:p>
      <w:pPr>
        <w:ind w:left="1180" w:hanging="544"/>
        <w:spacing w:after="0"/>
        <w:tabs>
          <w:tab w:leader="none" w:pos="1180"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620" w:hanging="430"/>
        <w:spacing w:after="0" w:line="273" w:lineRule="auto"/>
        <w:tabs>
          <w:tab w:leader="none" w:pos="1620" w:val="left"/>
        </w:tabs>
        <w:numPr>
          <w:ilvl w:val="2"/>
          <w:numId w:val="251"/>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Accounting Standards Update No. 2017-04 “Intangibles—Goodwill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-3453130</wp:posOffset>
            </wp:positionV>
            <wp:extent cx="6997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4" w:lineRule="exact"/>
        <w:rPr>
          <w:sz w:val="20"/>
          <w:szCs w:val="20"/>
          <w:color w:val="auto"/>
        </w:rPr>
      </w:pPr>
    </w:p>
    <w:p>
      <w:pPr>
        <w:ind w:left="1620" w:right="100" w:hanging="431"/>
        <w:spacing w:after="0" w:line="297" w:lineRule="auto"/>
        <w:tabs>
          <w:tab w:leader="none" w:pos="1600" w:val="left"/>
        </w:tabs>
        <w:rPr>
          <w:sz w:val="20"/>
          <w:szCs w:val="20"/>
          <w:color w:val="auto"/>
        </w:rPr>
      </w:pPr>
      <w:r>
        <w:rPr>
          <w:rFonts w:ascii="Arial" w:cs="Arial" w:eastAsia="Arial" w:hAnsi="Arial"/>
          <w:sz w:val="18"/>
          <w:szCs w:val="18"/>
          <w:i w:val="1"/>
          <w:iCs w:val="1"/>
          <w:color w:val="auto"/>
        </w:rPr>
        <w:t>(ii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50" w:lineRule="exact"/>
        <w:rPr>
          <w:sz w:val="20"/>
          <w:szCs w:val="20"/>
          <w:color w:val="auto"/>
        </w:rPr>
      </w:pPr>
    </w:p>
    <w:p>
      <w:pPr>
        <w:ind w:left="1640" w:right="340"/>
        <w:spacing w:after="0" w:line="342" w:lineRule="auto"/>
        <w:rPr>
          <w:sz w:val="20"/>
          <w:szCs w:val="20"/>
          <w:color w:val="auto"/>
        </w:rPr>
      </w:pPr>
      <w:r>
        <w:rPr>
          <w:rFonts w:ascii="Arial" w:cs="Arial" w:eastAsia="Arial" w:hAnsi="Arial"/>
          <w:sz w:val="16"/>
          <w:szCs w:val="16"/>
          <w:color w:val="auto"/>
        </w:rPr>
        <w:t>Upon adoption of ASU 2016-02, the Company recorded right-of-use assets of $10,932,883 and corresponding lease liabilities of $11,984,980 with the difference of $1,052,097 recorded in opening retained earnings. See Note 9 for additional details.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FQ-19</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w:t>
      </w:r>
    </w:p>
    <w:p>
      <w:pPr>
        <w:spacing w:after="0" w:line="18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1"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4"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 Such share consolidation has been reflected retrospectively in these consolidated financial statements.</w:t>
      </w:r>
    </w:p>
    <w:p>
      <w:pPr>
        <w:spacing w:after="0" w:line="166"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225"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reflect that of the legal acquirer.</w:t>
      </w: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FQ-20</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inventories include the following at September 30, 2019 and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3,567,585</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527,456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Miscellaneous</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10,648,488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2,511,769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18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14,216,073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3,039,225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06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16,647,551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5,231,630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180" w:type="dxa"/>
            <w:vAlign w:val="bottom"/>
            <w:gridSpan w:val="2"/>
          </w:tcPr>
          <w:p>
            <w:pPr>
              <w:ind w:left="1040"/>
              <w:spacing w:after="0"/>
              <w:rPr>
                <w:sz w:val="20"/>
                <w:szCs w:val="20"/>
                <w:color w:val="auto"/>
              </w:rPr>
            </w:pPr>
            <w:r>
              <w:rPr>
                <w:rFonts w:ascii="Arial" w:cs="Arial" w:eastAsia="Arial" w:hAnsi="Arial"/>
                <w:sz w:val="18"/>
                <w:szCs w:val="18"/>
                <w:color w:val="auto"/>
              </w:rPr>
              <w:t>Finished Goods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5,076,533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4,088,209</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06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180" w:type="dxa"/>
            <w:vAlign w:val="bottom"/>
            <w:gridSpan w:val="2"/>
          </w:tcPr>
          <w:p>
            <w:pPr>
              <w:ind w:left="1040"/>
              <w:spacing w:after="0"/>
              <w:rPr>
                <w:sz w:val="20"/>
                <w:szCs w:val="20"/>
                <w:color w:val="auto"/>
              </w:rPr>
            </w:pPr>
            <w:r>
              <w:rPr>
                <w:rFonts w:ascii="Arial" w:cs="Arial" w:eastAsia="Arial" w:hAnsi="Arial"/>
                <w:sz w:val="18"/>
                <w:szCs w:val="18"/>
                <w:b w:val="1"/>
                <w:bCs w:val="1"/>
                <w:color w:val="auto"/>
              </w:rPr>
              <w:t>Total Inventories</w:t>
            </w: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35,440,157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12,359,064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51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NOTES RECEIVABLE</w:t>
            </w: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1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On October 16, 2018, the Company executed a promissory note to an unrelated third party. The value of the note is variable in nature as the note is secured by an investment vehicle which expires in January 2020. The maturity date of the note is tied directly to the expiration date of the warrants, both being January 2020. The initial fair value upon execution of the note was $11,630,867. The fair value as of September 30, 2019 and December 31, 2018 was $0 and $7,424,727, respectively, resulting in an adjustment to fair value of $(7,424,727) during the nine months ended September 30, 2019, which is recorded in other income (expense) on the unaudited interim condensed consolidated statement of operations. The note receivable is categorized as a financial instrument measured at fair value. The fair value of the note was determined to be $0 as the strike price of $1.9928 exceeded the share price of $1.405. The value of the note was tied to the value of the warrants, which did not have value as of September 30, 2019.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using the assumptions below.</w:t>
      </w:r>
    </w:p>
    <w:p>
      <w:pPr>
        <w:spacing w:after="0" w:line="21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1.998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2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$4.03 - $5.50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Volatility</w:t>
            </w:r>
          </w:p>
        </w:tc>
        <w:tc>
          <w:tcPr>
            <w:tcW w:w="20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has a term of one year and bears interest at a rate of 8%. The $500,000 note receivable was included as part of the acquisition consideration of Beboe. See Note 7 for details.</w:t>
      </w:r>
    </w:p>
    <w:p>
      <w:pPr>
        <w:spacing w:after="0" w:line="18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has a term of one year and bears interest at a rate of 8% which was repaid in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FQ-21</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Notes Receivable </w:t>
      </w:r>
      <w:r>
        <w:rPr>
          <w:rFonts w:ascii="Arial" w:cs="Arial" w:eastAsia="Arial" w:hAnsi="Arial"/>
          <w:sz w:val="18"/>
          <w:szCs w:val="18"/>
          <w:color w:val="auto"/>
        </w:rPr>
        <w:t>(continued)</w:t>
      </w:r>
    </w:p>
    <w:p>
      <w:pPr>
        <w:spacing w:after="0" w:line="131"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 An increase or decrease to the underlying share price and volatility rate of 5% would result in a nominal change to the fair value.</w:t>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7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8"/>
        </w:trPr>
        <w:tc>
          <w:tcPr>
            <w:tcW w:w="1340" w:type="dxa"/>
            <w:vAlign w:val="bottom"/>
            <w:tcBorders>
              <w:bottom w:val="single" w:sz="8" w:color="auto"/>
            </w:tcBorders>
            <w:gridSpan w:val="2"/>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18"/>
        </w:trPr>
        <w:tc>
          <w:tcPr>
            <w:tcW w:w="7020" w:type="dxa"/>
            <w:vAlign w:val="bottom"/>
            <w:gridSpan w:val="3"/>
          </w:tcPr>
          <w:p>
            <w:pPr>
              <w:spacing w:after="0"/>
              <w:rPr>
                <w:sz w:val="20"/>
                <w:szCs w:val="20"/>
                <w:color w:val="auto"/>
              </w:rPr>
            </w:pPr>
            <w:r>
              <w:rPr>
                <w:rFonts w:ascii="Arial" w:cs="Arial" w:eastAsia="Arial" w:hAnsi="Arial"/>
                <w:sz w:val="18"/>
                <w:szCs w:val="18"/>
                <w:color w:val="auto"/>
              </w:rPr>
              <w:t>At September 30, 2019 and December 31, 2018, property and equipment consisted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24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34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2,243,085</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41,081,330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20,861,988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3,738,062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2,328,847</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4,950,600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2,093,205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37,927,659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18,435,893</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17,888,582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6,579,446</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48,730,310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16,664,958</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157,656,684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69,207,422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(8,996,537)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(3,883,342)</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740" w:type="dxa"/>
            <w:vAlign w:val="bottom"/>
            <w:gridSpan w:val="2"/>
          </w:tcPr>
          <w:p>
            <w:pPr>
              <w:ind w:left="10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148,660,147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65,324,080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Depreciation expense for the nine months ended September 30, 2019 totaled $5,113,195 of which $3,541,236, is included in cost of goods sold. For the nine months ended September 30, 2018, depreciation expense totaled $1,583,159 of which $358,539 is included in cost of goods sold.</w:t>
      </w:r>
    </w:p>
    <w:p>
      <w:pPr>
        <w:spacing w:after="0" w:line="291" w:lineRule="exact"/>
        <w:rPr>
          <w:sz w:val="20"/>
          <w:szCs w:val="20"/>
          <w:color w:val="auto"/>
        </w:rPr>
      </w:pPr>
    </w:p>
    <w:p>
      <w:pPr>
        <w:ind w:left="640" w:hanging="436"/>
        <w:spacing w:after="0"/>
        <w:tabs>
          <w:tab w:leader="none" w:pos="64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 xml:space="preserve">The Company has determined that the below acquisitions are business combinations under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They are accounted for by applying the acquisition method, whereby the assets acquired and the liabilities assumed are recorded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FQ-22</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55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880" w:type="dxa"/>
            <w:vAlign w:val="bottom"/>
            <w:tcBorders>
              <w:bottom w:val="single" w:sz="8" w:color="auto"/>
            </w:tcBorders>
            <w:gridSpan w:val="2"/>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5780" w:type="dxa"/>
            <w:vAlign w:val="bottom"/>
            <w:gridSpan w:val="3"/>
          </w:tcPr>
          <w:p>
            <w:pPr>
              <w:spacing w:after="0"/>
              <w:rPr>
                <w:sz w:val="20"/>
                <w:szCs w:val="20"/>
                <w:color w:val="auto"/>
              </w:rPr>
            </w:pPr>
            <w:r>
              <w:rPr>
                <w:rFonts w:ascii="Arial" w:cs="Arial" w:eastAsia="Arial" w:hAnsi="Arial"/>
                <w:sz w:val="18"/>
                <w:szCs w:val="18"/>
                <w:color w:val="auto"/>
              </w:rPr>
              <w:t>The following table summarizes the consideration for the acquisitions: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4"/>
                <w:szCs w:val="14"/>
                <w:color w:val="auto"/>
                <w:w w:val="94"/>
              </w:rPr>
              <w:t>Advanced Grow</w:t>
            </w:r>
          </w:p>
        </w:tc>
        <w:tc>
          <w:tcPr>
            <w:tcW w:w="80" w:type="dxa"/>
            <w:vAlign w:val="bottom"/>
          </w:tcPr>
          <w:p>
            <w:pPr>
              <w:spacing w:after="0"/>
              <w:rPr>
                <w:sz w:val="24"/>
                <w:szCs w:val="24"/>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color w:val="auto"/>
              </w:rPr>
              <w:t>Integral</w:t>
            </w:r>
          </w:p>
        </w:tc>
        <w:tc>
          <w:tcPr>
            <w:tcW w:w="140" w:type="dxa"/>
            <w:vAlign w:val="bottom"/>
          </w:tcPr>
          <w:p>
            <w:pPr>
              <w:spacing w:after="0"/>
              <w:rPr>
                <w:sz w:val="24"/>
                <w:szCs w:val="24"/>
                <w:color w:val="auto"/>
              </w:rPr>
            </w:pPr>
          </w:p>
        </w:tc>
        <w:tc>
          <w:tcPr>
            <w:tcW w:w="2000" w:type="dxa"/>
            <w:vAlign w:val="bottom"/>
            <w:gridSpan w:val="3"/>
          </w:tcPr>
          <w:p>
            <w:pPr>
              <w:jc w:val="center"/>
              <w:ind w:right="112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color w:val="auto"/>
              </w:rPr>
              <w:t>Labs, LLC</w:t>
            </w:r>
          </w:p>
        </w:tc>
        <w:tc>
          <w:tcPr>
            <w:tcW w:w="80" w:type="dxa"/>
            <w:vAlign w:val="bottom"/>
          </w:tcPr>
          <w:p>
            <w:pPr>
              <w:spacing w:after="0"/>
              <w:rPr>
                <w:sz w:val="14"/>
                <w:szCs w:val="14"/>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4"/>
                <w:szCs w:val="14"/>
                <w:color w:val="auto"/>
                <w:w w:val="92"/>
              </w:rPr>
              <w:t>Associates, LLC</w:t>
            </w:r>
          </w:p>
        </w:tc>
        <w:tc>
          <w:tcPr>
            <w:tcW w:w="140" w:type="dxa"/>
            <w:vAlign w:val="bottom"/>
          </w:tcPr>
          <w:p>
            <w:pPr>
              <w:spacing w:after="0"/>
              <w:rPr>
                <w:sz w:val="14"/>
                <w:szCs w:val="14"/>
                <w:color w:val="auto"/>
              </w:rPr>
            </w:pPr>
          </w:p>
        </w:tc>
        <w:tc>
          <w:tcPr>
            <w:tcW w:w="2000" w:type="dxa"/>
            <w:vAlign w:val="bottom"/>
            <w:gridSpan w:val="3"/>
          </w:tcPr>
          <w:p>
            <w:pPr>
              <w:jc w:val="center"/>
              <w:ind w:right="112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52,807,500</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42,612,694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Shares of the Company Issued</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79,959,170</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273,146,014</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118,038,863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Previous Notes Receivable</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27,525,800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Acquisition Liability</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6,616,916</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2,421,068</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9,690,000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8,197,000</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35,531,000</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9,136,000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5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Consideration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110,255,053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363,905,582</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207,003,357</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summarizes the initial accounting estimates:</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color w:val="auto"/>
                <w:w w:val="94"/>
              </w:rPr>
              <w:t>Advanced Grow</w:t>
            </w:r>
          </w:p>
        </w:tc>
        <w:tc>
          <w:tcPr>
            <w:tcW w:w="80" w:type="dxa"/>
            <w:vAlign w:val="bottom"/>
          </w:tcPr>
          <w:p>
            <w:pPr>
              <w:spacing w:after="0"/>
              <w:rPr>
                <w:sz w:val="24"/>
                <w:szCs w:val="24"/>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14"/>
                <w:szCs w:val="14"/>
                <w:color w:val="auto"/>
                <w:w w:val="94"/>
              </w:rPr>
              <w:t>Integral</w:t>
            </w:r>
          </w:p>
        </w:tc>
        <w:tc>
          <w:tcPr>
            <w:tcW w:w="140" w:type="dxa"/>
            <w:vAlign w:val="bottom"/>
          </w:tcPr>
          <w:p>
            <w:pPr>
              <w:spacing w:after="0"/>
              <w:rPr>
                <w:sz w:val="24"/>
                <w:szCs w:val="24"/>
                <w:color w:val="auto"/>
              </w:rPr>
            </w:pPr>
          </w:p>
        </w:tc>
        <w:tc>
          <w:tcPr>
            <w:tcW w:w="2000" w:type="dxa"/>
            <w:vAlign w:val="bottom"/>
            <w:gridSpan w:val="3"/>
          </w:tcPr>
          <w:p>
            <w:pPr>
              <w:jc w:val="center"/>
              <w:ind w:right="120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color w:val="auto"/>
                <w:w w:val="97"/>
              </w:rPr>
              <w:t>Labs, LLC</w:t>
            </w:r>
          </w:p>
        </w:tc>
        <w:tc>
          <w:tcPr>
            <w:tcW w:w="1560" w:type="dxa"/>
            <w:vAlign w:val="bottom"/>
            <w:gridSpan w:val="4"/>
          </w:tcPr>
          <w:p>
            <w:pPr>
              <w:jc w:val="center"/>
              <w:ind w:right="520"/>
              <w:spacing w:after="0"/>
              <w:rPr>
                <w:sz w:val="20"/>
                <w:szCs w:val="20"/>
                <w:color w:val="auto"/>
              </w:rPr>
            </w:pPr>
            <w:r>
              <w:rPr>
                <w:rFonts w:ascii="Arial" w:cs="Arial" w:eastAsia="Arial" w:hAnsi="Arial"/>
                <w:sz w:val="14"/>
                <w:szCs w:val="14"/>
                <w:color w:val="auto"/>
                <w:w w:val="94"/>
              </w:rPr>
              <w:t>Associates, LLC</w:t>
            </w:r>
          </w:p>
        </w:tc>
        <w:tc>
          <w:tcPr>
            <w:tcW w:w="140" w:type="dxa"/>
            <w:vAlign w:val="bottom"/>
          </w:tcPr>
          <w:p>
            <w:pPr>
              <w:spacing w:after="0"/>
              <w:rPr>
                <w:sz w:val="14"/>
                <w:szCs w:val="14"/>
                <w:color w:val="auto"/>
              </w:rPr>
            </w:pPr>
          </w:p>
        </w:tc>
        <w:tc>
          <w:tcPr>
            <w:tcW w:w="2000" w:type="dxa"/>
            <w:vAlign w:val="bottom"/>
            <w:gridSpan w:val="3"/>
          </w:tcPr>
          <w:p>
            <w:pPr>
              <w:jc w:val="center"/>
              <w:ind w:right="120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614,399</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1,906,828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10,107,303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1,427,034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420,649</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492,571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355,710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2,471,525</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Right-of-Use Asset</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470,703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1,655,309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1,198,042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200,340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122,826</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446,290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Licenses and Permits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28,920,000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130,000,000</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17,750,000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Non-competition Agreements</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2,465,000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(1,174,361)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(9,134,651)</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(3,582,497)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(12,815,000)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(17,191,200)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44,049,831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174,297,411</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57,643,531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66,205,222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189,608,171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149,359,826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110,255,053</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363,905,582</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207,003,357</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180" w:hanging="544"/>
        <w:spacing w:after="0"/>
        <w:tabs>
          <w:tab w:leader="none" w:pos="11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640" w:right="120"/>
        <w:spacing w:after="0" w:line="288"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facility and an ownership stake in a recently awarded dispensary, making AGL the only vertically licensed operator in the state. The transaction consideration was approximately</w:t>
      </w:r>
    </w:p>
    <w:p>
      <w:pPr>
        <w:ind w:left="640" w:right="40"/>
        <w:spacing w:after="0" w:line="255" w:lineRule="auto"/>
        <w:rPr>
          <w:sz w:val="20"/>
          <w:szCs w:val="20"/>
          <w:color w:val="auto"/>
        </w:rPr>
      </w:pPr>
      <w:r>
        <w:rPr>
          <w:rFonts w:ascii="Arial" w:cs="Arial" w:eastAsia="Arial" w:hAnsi="Arial"/>
          <w:sz w:val="18"/>
          <w:szCs w:val="18"/>
          <w:color w:val="auto"/>
        </w:rPr>
        <w:t>$110.3 million, which included $15 million of cash, approximately 7.0 million Subordinate Voting Shares of GTI which were valued at approximately $80.0 million. The purchase agreement also included additional consideration based upon future performance targets (as detailed in the above table).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FQ-23</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Business Acquisitions </w:t>
      </w:r>
      <w:r>
        <w:rPr>
          <w:rFonts w:ascii="Arial" w:cs="Arial" w:eastAsia="Arial" w:hAnsi="Arial"/>
          <w:sz w:val="18"/>
          <w:szCs w:val="18"/>
          <w:color w:val="auto"/>
        </w:rPr>
        <w:t>(continued)</w:t>
      </w:r>
      <w:r>
        <w:rPr>
          <w:rFonts w:ascii="Arial" w:cs="Arial" w:eastAsia="Arial" w:hAnsi="Arial"/>
          <w:sz w:val="18"/>
          <w:szCs w:val="18"/>
          <w:i w:val="1"/>
          <w:iCs w:val="1"/>
          <w:color w:val="auto"/>
        </w:rPr>
        <w:t>:</w:t>
      </w:r>
    </w:p>
    <w:p>
      <w:pPr>
        <w:spacing w:after="0" w:line="127" w:lineRule="exact"/>
        <w:rPr>
          <w:sz w:val="20"/>
          <w:szCs w:val="20"/>
          <w:color w:val="auto"/>
        </w:rPr>
      </w:pPr>
    </w:p>
    <w:p>
      <w:pPr>
        <w:ind w:left="1180" w:hanging="544"/>
        <w:spacing w:after="0"/>
        <w:tabs>
          <w:tab w:leader="none" w:pos="118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640" w:right="220"/>
        <w:spacing w:after="0" w:line="302" w:lineRule="auto"/>
        <w:rPr>
          <w:sz w:val="20"/>
          <w:szCs w:val="20"/>
          <w:color w:val="auto"/>
        </w:rPr>
      </w:pPr>
      <w:r>
        <w:rPr>
          <w:rFonts w:ascii="Arial" w:cs="Arial" w:eastAsia="Arial" w:hAnsi="Arial"/>
          <w:sz w:val="16"/>
          <w:szCs w:val="16"/>
          <w:color w:val="auto"/>
        </w:rPr>
        <w:t>On June 5, 2019, the Company acquired 100% of the ownership interests of Integral Associates. The acquisition included Integral Associate’s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 of which an additional 3.9 million Subordinate Voting Shares have been issued to-date.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Acquisitions are substantially comprised of the following:</w:t>
      </w:r>
    </w:p>
    <w:p>
      <w:pPr>
        <w:spacing w:after="0" w:line="127" w:lineRule="exact"/>
        <w:rPr>
          <w:sz w:val="20"/>
          <w:szCs w:val="20"/>
          <w:color w:val="auto"/>
        </w:rPr>
      </w:pPr>
    </w:p>
    <w:p>
      <w:pPr>
        <w:ind w:left="1180" w:hanging="544"/>
        <w:spacing w:after="0"/>
        <w:tabs>
          <w:tab w:leader="none" w:pos="118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640" w:right="120"/>
        <w:spacing w:after="0" w:line="302" w:lineRule="auto"/>
        <w:rPr>
          <w:sz w:val="20"/>
          <w:szCs w:val="20"/>
          <w:color w:val="auto"/>
        </w:rPr>
      </w:pPr>
      <w:r>
        <w:rPr>
          <w:rFonts w:ascii="Arial" w:cs="Arial" w:eastAsia="Arial" w:hAnsi="Arial"/>
          <w:sz w:val="16"/>
          <w:szCs w:val="16"/>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of GTI Subordinate Voting Shares. The purchase agreement also includes additional consideration based upon performance targets.</w:t>
      </w:r>
    </w:p>
    <w:p>
      <w:pPr>
        <w:spacing w:after="0" w:line="56" w:lineRule="exact"/>
        <w:rPr>
          <w:sz w:val="20"/>
          <w:szCs w:val="20"/>
          <w:color w:val="auto"/>
        </w:rPr>
      </w:pPr>
    </w:p>
    <w:p>
      <w:pPr>
        <w:ind w:left="1180" w:hanging="544"/>
        <w:spacing w:after="0"/>
        <w:tabs>
          <w:tab w:leader="none" w:pos="118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On August 23, 2019, the Company acquired 100% of the ownership interests of New York-based Fiorello Pharmaceuticals, Inc. The consideration paid includes $46,000,000 of cash and 1,700,000 of the Company’s Subordinate Voting Shares. The acquisition includes the license and assets for one cultivation, one processing, and four retail facilities in New York.</w:t>
      </w:r>
    </w:p>
    <w:p>
      <w:pPr>
        <w:spacing w:after="0" w:line="83" w:lineRule="exact"/>
        <w:rPr>
          <w:sz w:val="20"/>
          <w:szCs w:val="20"/>
          <w:color w:val="auto"/>
        </w:rPr>
      </w:pPr>
    </w:p>
    <w:p>
      <w:pPr>
        <w:ind w:left="1180" w:hanging="544"/>
        <w:spacing w:after="0"/>
        <w:tabs>
          <w:tab w:leader="none" w:pos="118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MC Brands</w:t>
      </w:r>
    </w:p>
    <w:p>
      <w:pPr>
        <w:spacing w:after="0" w:line="12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color w:val="auto"/>
        </w:rPr>
        <w:t>On June 12, 2019, the Company acquired the remaining 75% interest in MC Brands which is based in Colorado. See Note 13 for additional details.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also incurred approximately $731,000 of acquisition related costs which were expensed in the current period.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FQ-24</w:t>
      </w:r>
    </w:p>
    <w:p>
      <w:pPr>
        <w:sectPr>
          <w:pgSz w:w="11900" w:h="16838" w:orient="portrait"/>
          <w:cols w:equalWidth="0" w:num="1">
            <w:col w:w="11180"/>
          </w:cols>
          <w:pgMar w:left="240" w:top="460"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2019 and December 30, 2018, intangible assets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Licenses and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Customer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Tradenames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Competition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Permits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Relationships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Agreements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0"/>
              </w:rPr>
              <w:t>Cost</w:t>
            </w:r>
          </w:p>
        </w:tc>
        <w:tc>
          <w:tcPr>
            <w:tcW w:w="29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89,705,213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90,905,693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187,104,000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20,930,000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62,970,000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2,565,000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273,569,000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60" w:type="dxa"/>
            <w:vAlign w:val="bottom"/>
            <w:gridSpan w:val="4"/>
          </w:tcPr>
          <w:p>
            <w:pPr>
              <w:spacing w:after="0"/>
              <w:rPr>
                <w:sz w:val="20"/>
                <w:szCs w:val="20"/>
                <w:color w:val="auto"/>
              </w:rPr>
            </w:pPr>
            <w:r>
              <w:rPr>
                <w:rFonts w:ascii="Arial" w:cs="Arial" w:eastAsia="Arial" w:hAnsi="Arial"/>
                <w:sz w:val="18"/>
                <w:szCs w:val="18"/>
                <w:color w:val="auto"/>
              </w:rPr>
              <w:t>As at September 30, 2019</w:t>
            </w:r>
          </w:p>
        </w:tc>
        <w:tc>
          <w:tcPr>
            <w:tcW w:w="1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276,809,213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21,290,000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63,790,000</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364,474,693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Accumulated Amortization</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4"/>
              </w:rPr>
              <w:t>As at December 31, 2018</w:t>
            </w:r>
          </w:p>
        </w:tc>
        <w:tc>
          <w:tcPr>
            <w:tcW w:w="1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2,322,715</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204,500</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12,800</w:t>
            </w:r>
          </w:p>
        </w:tc>
        <w:tc>
          <w:tcPr>
            <w:tcW w:w="4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2,540,015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9,181,543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746,223</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2,170,445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317,485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12,415,696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60" w:type="dxa"/>
            <w:vAlign w:val="bottom"/>
            <w:gridSpan w:val="4"/>
          </w:tcPr>
          <w:p>
            <w:pPr>
              <w:spacing w:after="0"/>
              <w:rPr>
                <w:sz w:val="20"/>
                <w:szCs w:val="20"/>
                <w:color w:val="auto"/>
              </w:rPr>
            </w:pPr>
            <w:r>
              <w:rPr>
                <w:rFonts w:ascii="Arial" w:cs="Arial" w:eastAsia="Arial" w:hAnsi="Arial"/>
                <w:sz w:val="18"/>
                <w:szCs w:val="18"/>
                <w:color w:val="auto"/>
              </w:rPr>
              <w:t>As at September 30, 2019</w:t>
            </w:r>
          </w:p>
        </w:tc>
        <w:tc>
          <w:tcPr>
            <w:tcW w:w="1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11,504,258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746,223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2,374,945</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330,285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14,955,711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87,382,498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615,500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88,365,678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September 30, 2019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265,304,955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20,543,777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61,415,055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349,518,982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Intangible assets with finite lives are amortized over their estimated useful lives. The Company recorded amortization expense for the nine months ended September 30, 2019 of $12,415,696. The Company recorded amortization expense for the nine months ended September 30, 2018, of $43,560. Amortization periods of assets with finite lives are based on management’s estimates at the date of acquisition.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September 30, 2019:</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6,272,484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25,089,938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25,092,716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25,016,104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24,990,271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243,057,468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349,518,982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As described in Notes 2(k) and 2(l),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 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exceeds their respective carrying values. The Company’s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FQ-25</w:t>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reporting unit’s to which goodwill has been assigned include California, Colorado, Connecticut, Florida, Illinois, Massachusetts, Nevada and New York.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net carrying value for goodwill was $448,165,160 and $39,204,360 as at September 30, 2019 and December 31, 2018, respectively.</w:t>
      </w:r>
    </w:p>
    <w:p>
      <w:pPr>
        <w:spacing w:after="0" w:line="355" w:lineRule="exact"/>
        <w:rPr>
          <w:sz w:val="20"/>
          <w:szCs w:val="20"/>
          <w:color w:val="auto"/>
        </w:rPr>
      </w:pPr>
    </w:p>
    <w:p>
      <w:pPr>
        <w:ind w:left="640" w:hanging="436"/>
        <w:spacing w:after="0"/>
        <w:tabs>
          <w:tab w:leader="none" w:pos="6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elected the optional package of practical expedients to not reassess prior conclusions related to contracts containing leases, lease classification and initial direct costs. The Company also elected the practical expedient to not separate lease components from non-lease components for real estate leases. As a result of the adoption of ASU 2016-02, the Company recognized a lease liability of $11,984,980 and a right-of-use (“ROU”) asset of $10,932,883 for operating leases at January 1, 2019.</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Company has operating leases for certain Rise and Essence retail dispensaries located throughout the US and processing and cultivation facilities in Connecticut, Florida, Massachusetts, Maryland, Nevada and New York as well as corporate office space in Illinois and Nevada. Operating lease ROU assets and operating lease liabilities are recognized based on the present value of future minimum lease payments over the lease term at commencement date. Upon adoption of ASU 2016-02, ROU assets were adjusted for deferred rent and prepaids as of January 1, 2019. Lease expense is recognized on a straight-line basis over the expected lease term. The Company’s incremental borrowing rate is used in determining the present value of future payments at the commencement date of the lease, or for the adoption of ASU 2016-02, at January 1, 2019. Balances related to operating leases are included in ROU assets and noncurrent lease liabilities on the condensed consolidated balance sheet.</w:t>
      </w:r>
    </w:p>
    <w:p>
      <w:pPr>
        <w:spacing w:after="0" w:line="16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taxes, insurance and maintenance which are considered non-lease components. The Company accounts for real estate leases and the related fixed non-lease components together as a single component</w:t>
      </w:r>
    </w:p>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nine months ended September 30, 2019, the Company recorded approximately $1,639,527 in Operating lease expense.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FQ-26</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information related to operating leases as of and for the nine months ended September 30, 2019 were as follows:</w:t>
      </w:r>
    </w:p>
    <w:p>
      <w:pPr>
        <w:spacing w:after="0" w:line="24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Nine Months Ended</w:t>
      </w:r>
    </w:p>
    <w:p>
      <w:pPr>
        <w:ind w:left="8040"/>
        <w:spacing w:after="0" w:line="236" w:lineRule="auto"/>
        <w:rPr>
          <w:sz w:val="20"/>
          <w:szCs w:val="20"/>
          <w:color w:val="auto"/>
        </w:rPr>
      </w:pPr>
      <w:r>
        <w:rPr>
          <w:rFonts w:ascii="Arial" w:cs="Arial" w:eastAsia="Arial" w:hAnsi="Arial"/>
          <w:sz w:val="14"/>
          <w:szCs w:val="14"/>
          <w:b w:val="1"/>
          <w:bCs w:val="1"/>
          <w:color w:val="auto"/>
        </w:rPr>
        <w:t>September 30, 2019</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avgerage remaining lease term</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5"/>
              </w:rPr>
              <w:t>8.66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ind w:left="120"/>
              <w:spacing w:after="0"/>
              <w:rPr>
                <w:sz w:val="20"/>
                <w:szCs w:val="20"/>
                <w:color w:val="auto"/>
              </w:rPr>
            </w:pPr>
            <w:r>
              <w:rPr>
                <w:rFonts w:ascii="Arial" w:cs="Arial" w:eastAsia="Arial" w:hAnsi="Arial"/>
                <w:sz w:val="18"/>
                <w:szCs w:val="18"/>
                <w:color w:val="auto"/>
                <w:w w:val="97"/>
              </w:rPr>
              <w:t>12.0%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60" w:type="dxa"/>
            <w:vAlign w:val="bottom"/>
            <w:gridSpan w:val="8"/>
          </w:tcPr>
          <w:p>
            <w:pPr>
              <w:jc w:val="right"/>
              <w:ind w:right="360"/>
              <w:spacing w:after="0"/>
              <w:rPr>
                <w:sz w:val="20"/>
                <w:szCs w:val="20"/>
                <w:color w:val="auto"/>
              </w:rPr>
            </w:pPr>
            <w:r>
              <w:rPr>
                <w:rFonts w:ascii="Arial" w:cs="Arial" w:eastAsia="Arial" w:hAnsi="Arial"/>
                <w:sz w:val="18"/>
                <w:szCs w:val="18"/>
                <w:color w:val="auto"/>
                <w:w w:val="90"/>
              </w:rPr>
              <w:t>Maturities of lease liabilities for operating leases as of September 30, 2019 were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40" w:type="dxa"/>
            <w:vAlign w:val="bottom"/>
            <w:gridSpan w:val="4"/>
            <w:vMerge w:val="restart"/>
          </w:tcPr>
          <w:p>
            <w:pPr>
              <w:ind w:left="880"/>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4"/>
              </w:rPr>
              <w:t>Maturities of Lease Liability</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4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Third Party</w:t>
            </w:r>
          </w:p>
        </w:tc>
        <w:tc>
          <w:tcPr>
            <w:tcW w:w="460" w:type="dxa"/>
            <w:vAlign w:val="bottom"/>
          </w:tcPr>
          <w:p>
            <w:pPr>
              <w:spacing w:after="0"/>
              <w:rPr>
                <w:sz w:val="12"/>
                <w:szCs w:val="12"/>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Related Party</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68"/>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720" w:type="dxa"/>
            <w:vAlign w:val="bottom"/>
            <w:tcBorders>
              <w:top w:val="single" w:sz="8" w:color="auto"/>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1,554,792</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316,422</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1,871,215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6,555,163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1,392,233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7,947,396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6,657,299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1,424,852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8,082,151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5,787,704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1,458,247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7,245,951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5,334,693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1,492,438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6,827,131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2024 and Thereafter</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14,913,647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12,908,654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27,822,301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40,803,299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18,992,846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59,796,145</w:t>
            </w:r>
          </w:p>
        </w:tc>
        <w:tc>
          <w:tcPr>
            <w:tcW w:w="0" w:type="dxa"/>
            <w:vAlign w:val="bottom"/>
          </w:tcPr>
          <w:p>
            <w:pPr>
              <w:spacing w:after="0"/>
              <w:rPr>
                <w:sz w:val="1"/>
                <w:szCs w:val="1"/>
                <w:color w:val="auto"/>
              </w:rPr>
            </w:pPr>
          </w:p>
        </w:tc>
      </w:tr>
      <w:tr>
        <w:trPr>
          <w:trHeight w:val="230"/>
        </w:trPr>
        <w:tc>
          <w:tcPr>
            <w:tcW w:w="5340" w:type="dxa"/>
            <w:vAlign w:val="bottom"/>
            <w:gridSpan w:val="4"/>
          </w:tcPr>
          <w:p>
            <w:pPr>
              <w:ind w:left="880"/>
              <w:spacing w:after="0"/>
              <w:rPr>
                <w:sz w:val="20"/>
                <w:szCs w:val="20"/>
                <w:color w:val="auto"/>
              </w:rPr>
            </w:pPr>
            <w:r>
              <w:rPr>
                <w:rFonts w:ascii="Arial" w:cs="Arial" w:eastAsia="Arial" w:hAnsi="Arial"/>
                <w:sz w:val="18"/>
                <w:szCs w:val="18"/>
                <w:color w:val="auto"/>
              </w:rPr>
              <w:t>Less: Interest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(19,301,608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(9,742,172)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(29,043,780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21,501,690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9,250,675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30,752,365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640" w:right="380"/>
        <w:spacing w:after="0" w:line="277" w:lineRule="auto"/>
        <w:rPr>
          <w:sz w:val="20"/>
          <w:szCs w:val="20"/>
          <w:color w:val="auto"/>
        </w:rPr>
      </w:pPr>
      <w:r>
        <w:rPr>
          <w:rFonts w:ascii="Arial" w:cs="Arial" w:eastAsia="Arial" w:hAnsi="Arial"/>
          <w:sz w:val="18"/>
          <w:szCs w:val="18"/>
          <w:color w:val="auto"/>
        </w:rPr>
        <w:t>During 2019, GTI entered into three additional related party transactions with respect to its leasing arrangements for three GTI dispensaries operating in Florida, Illinois and Nevada.</w:t>
      </w:r>
    </w:p>
    <w:p>
      <w:pPr>
        <w:spacing w:after="0" w:line="62" w:lineRule="exact"/>
        <w:rPr>
          <w:sz w:val="20"/>
          <w:szCs w:val="20"/>
          <w:color w:val="auto"/>
        </w:rPr>
      </w:pPr>
    </w:p>
    <w:p>
      <w:pPr>
        <w:ind w:left="1640" w:right="40"/>
        <w:spacing w:after="0" w:line="293" w:lineRule="auto"/>
        <w:rPr>
          <w:sz w:val="20"/>
          <w:szCs w:val="20"/>
          <w:color w:val="auto"/>
        </w:rPr>
      </w:pPr>
      <w:r>
        <w:rPr>
          <w:rFonts w:ascii="Arial" w:cs="Arial" w:eastAsia="Arial" w:hAnsi="Arial"/>
          <w:sz w:val="16"/>
          <w:szCs w:val="16"/>
          <w:color w:val="auto"/>
        </w:rPr>
        <w:t>With respect to leasing arrangements in Illinois and Florida, Wendy Berger, a director of the Corporation, is a principal of WBS Equities, LLC, which is the Manager of Mosaic Real Estate, LLC. Additionally, Mosaic Real Estate, LLC is owned in part by Ms. Berger (through the Wendy Berger 1998 Revocable Trust), Benjamin Kovler, the Chief Executive Officer and a director of the Corporation (through KP Capital, LLC), and Mr. Georgiadis, the Chief Financial Officer and a director of the Corporation (through Three One Four Holdings, LLC). The terms of these leases were each 15 years. For the nine months ended September 30, 2019, the Company recorded rent expense of approximately $390,000, associated with these lease arrangements.</w:t>
      </w:r>
    </w:p>
    <w:p>
      <w:pPr>
        <w:spacing w:after="0" w:line="57" w:lineRule="exact"/>
        <w:rPr>
          <w:sz w:val="20"/>
          <w:szCs w:val="20"/>
          <w:color w:val="auto"/>
        </w:rPr>
      </w:pPr>
    </w:p>
    <w:p>
      <w:pPr>
        <w:jc w:val="both"/>
        <w:ind w:left="1640"/>
        <w:spacing w:after="0" w:line="264" w:lineRule="auto"/>
        <w:rPr>
          <w:sz w:val="20"/>
          <w:szCs w:val="20"/>
          <w:color w:val="auto"/>
        </w:rPr>
      </w:pPr>
      <w:r>
        <w:rPr>
          <w:rFonts w:ascii="Arial" w:cs="Arial" w:eastAsia="Arial" w:hAnsi="Arial"/>
          <w:sz w:val="18"/>
          <w:szCs w:val="18"/>
          <w:color w:val="auto"/>
        </w:rPr>
        <w:t>In regards to the leasing arrangement in Nevada, and as a result of the acquisition of Integral Associates, LLC, Armen Yemenidjian, the President of the Integral Associates, LLC, and Alejandro Yemenidjian, a director of Integral Associates, LLC, each own 50% of Armenco Capital LLC, which owns 50% of Durango</w:t>
      </w:r>
    </w:p>
    <w:p>
      <w:pPr>
        <w:spacing w:after="0" w:line="73" w:lineRule="exact"/>
        <w:rPr>
          <w:sz w:val="20"/>
          <w:szCs w:val="20"/>
          <w:color w:val="auto"/>
        </w:rPr>
      </w:pPr>
    </w:p>
    <w:p>
      <w:pPr>
        <w:jc w:val="both"/>
        <w:ind w:left="1640"/>
        <w:spacing w:after="0" w:line="264" w:lineRule="auto"/>
        <w:rPr>
          <w:sz w:val="20"/>
          <w:szCs w:val="20"/>
          <w:color w:val="auto"/>
        </w:rPr>
      </w:pPr>
      <w:r>
        <w:rPr>
          <w:rFonts w:ascii="Arial" w:cs="Arial" w:eastAsia="Arial" w:hAnsi="Arial"/>
          <w:sz w:val="18"/>
          <w:szCs w:val="18"/>
          <w:color w:val="auto"/>
        </w:rPr>
        <w:t>Teco Partners, LLC. Durango Teco Partners, LLC owns the building in which an Essence dispensary leases. The term of the lease is 10 years. From the date of acquisition through September 30, 2019, the Company recorded rent expense of approximately $53,000 associated with this lease.</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FQ-27</w:t>
      </w:r>
    </w:p>
    <w:p>
      <w:pPr>
        <w:sectPr>
          <w:pgSz w:w="11900" w:h="16838" w:orient="portrait"/>
          <w:cols w:equalWidth="0" w:num="1">
            <w:col w:w="11140"/>
          </w:cols>
          <w:pgMar w:left="240" w:top="460" w:right="5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Disclosures related to period prior to adoption of ASU 2016-02</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minimum rental commitments under non-cancelable operating leases as of December 31, 2018 were expected to be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0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Parties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Parties</w:t>
            </w: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jc w:val="right"/>
              <w:ind w:right="810"/>
              <w:spacing w:after="0" w:line="203" w:lineRule="exact"/>
              <w:rPr>
                <w:sz w:val="20"/>
                <w:szCs w:val="20"/>
                <w:color w:val="auto"/>
              </w:rPr>
            </w:pPr>
            <w:r>
              <w:rPr>
                <w:rFonts w:ascii="Arial" w:cs="Arial" w:eastAsia="Arial" w:hAnsi="Arial"/>
                <w:sz w:val="18"/>
                <w:szCs w:val="18"/>
                <w:color w:val="auto"/>
              </w:rPr>
              <w:t>2019</w:t>
            </w:r>
          </w:p>
        </w:tc>
        <w:tc>
          <w:tcPr>
            <w:tcW w:w="2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1,188,865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1,127,754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585,966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2021</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1,123,769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597,686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1,040,481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504,255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1,067,783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366,802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3,119,021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695,291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3,814,312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8,667,673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3,324,477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11,992,150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The Company leases certain business facilities from third parties under operating lease agreements that specify minimum rentals. The Company’s net rent expense for the nine months ended September 30, 2018 totaled approximately $962,000 for these third party leases.</w:t>
      </w:r>
    </w:p>
    <w:p>
      <w:pPr>
        <w:spacing w:after="0" w:line="147"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Certain facilities are occupied under the terms of lease agreements with related parties. Rent expense under these leases for the nine months ended September 30, 2018 totaled approximately $426,000.</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FQ-28</w:t>
      </w:r>
    </w:p>
    <w:p>
      <w:pPr>
        <w:sectPr>
          <w:pgSz w:w="11900" w:h="16838" w:orient="portrait"/>
          <w:cols w:equalWidth="0" w:num="1">
            <w:col w:w="10960"/>
          </w:cols>
          <w:pgMar w:left="240" w:top="460" w:right="6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10.</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2019 and December 31, 2018, notes payable consisted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Promissary note dated October 2, 2017, in the original amount of</w:t>
            </w: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$2,250,000 issued to accredited investors, which matures October 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 monthly payments of $55,611 including interest at 12.0% per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annum</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$ 2,007,256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80" w:type="dxa"/>
            <w:vAlign w:val="bottom"/>
            <w:gridSpan w:val="2"/>
          </w:tcPr>
          <w:p>
            <w:pPr>
              <w:spacing w:after="0"/>
              <w:rPr>
                <w:sz w:val="20"/>
                <w:szCs w:val="20"/>
                <w:color w:val="auto"/>
              </w:rPr>
            </w:pPr>
            <w:r>
              <w:rPr>
                <w:rFonts w:ascii="Arial" w:cs="Arial" w:eastAsia="Arial" w:hAnsi="Arial"/>
                <w:sz w:val="18"/>
                <w:szCs w:val="18"/>
                <w:color w:val="auto"/>
              </w:rPr>
              <w:t>Promissary note dated October 2, 2017, in the original amount of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w w:val="98"/>
              </w:rPr>
              <w:t>$5,000,000 issued to accredited investors, which matures October 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w w:val="99"/>
              </w:rPr>
              <w:t>2022; monthly payments of $112,490 including interest at 12.5% per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annum</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4,084,885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 connection with an acquisition completed in 2017, the Company is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required to make quarterly charitable contributions of $50,000 through</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October 2024. The net present value of these required payments has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been recorded as a liability with an interest rate of 2.17%</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945,236</w:t>
            </w: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1,122,316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80" w:type="dxa"/>
            <w:vAlign w:val="bottom"/>
            <w:gridSpan w:val="2"/>
          </w:tcPr>
          <w:p>
            <w:pPr>
              <w:spacing w:after="0"/>
              <w:rPr>
                <w:sz w:val="20"/>
                <w:szCs w:val="20"/>
                <w:color w:val="auto"/>
              </w:rPr>
            </w:pPr>
            <w:r>
              <w:rPr>
                <w:rFonts w:ascii="Arial" w:cs="Arial" w:eastAsia="Arial" w:hAnsi="Arial"/>
                <w:sz w:val="18"/>
                <w:szCs w:val="18"/>
                <w:color w:val="auto"/>
              </w:rPr>
              <w:t>Private placement debt dated May 22, 2019, in the original amount of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w w:val="94"/>
              </w:rPr>
              <w:t>$105,466,429, which matures on May 22, 2022. The debt was issued at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a discount, the carrying value of which is $9,547,392 as of</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September 30, 2019, and bears interest of 12.00% per annum.</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96,003,749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96,948,985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7,214,457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(180,957)</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(1,480,660)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96,768,028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$ 5,733,797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 Bridge Financing</w:t>
      </w:r>
    </w:p>
    <w:p>
      <w:pPr>
        <w:spacing w:after="0" w:line="121"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On April 12, 2019, the Company completed a private placement of $12,500,000 in six-month senior secured promissory notes. These Notes included Warrants to purchase 218,964 Subordinate Voting Shares at an exercise price of CAD $22.90, which can be exercised 42 months after the closing.</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April 12, 2019, the Company valued the Warrants to equity using the Black-Scholes model, with inputs as volatility of 62.4%, dividend yield of</w:t>
      </w:r>
    </w:p>
    <w:p>
      <w:pPr>
        <w:spacing w:after="0" w:line="35"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0.0% and risk-free rate of 1.64%. The fair value of the warrants was estimated to be $1,291,188 with the residual amount of $11,208,812 allocated to the debt.</w:t>
      </w:r>
    </w:p>
    <w:p>
      <w:pPr>
        <w:spacing w:after="0" w:line="184"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On May 22, 2019, the Company repaid the full principal amount and accrued interest of $12,645,833 for the Bridge Notes. The Company recognized $1,391,188 in accretion expense on settlement of the repayment during the quarter.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FQ-29</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 Private Placement Financing</w:t>
      </w:r>
    </w:p>
    <w:p>
      <w:pPr>
        <w:spacing w:after="0" w:line="121" w:lineRule="exact"/>
        <w:rPr>
          <w:sz w:val="20"/>
          <w:szCs w:val="20"/>
          <w:color w:val="auto"/>
        </w:rPr>
      </w:pPr>
    </w:p>
    <w:p>
      <w:pPr>
        <w:ind w:left="200" w:right="180"/>
        <w:spacing w:after="0" w:line="293" w:lineRule="auto"/>
        <w:rPr>
          <w:sz w:val="20"/>
          <w:szCs w:val="20"/>
          <w:color w:val="auto"/>
        </w:rPr>
      </w:pPr>
      <w:r>
        <w:rPr>
          <w:rFonts w:ascii="Arial" w:cs="Arial" w:eastAsia="Arial" w:hAnsi="Arial"/>
          <w:sz w:val="16"/>
          <w:szCs w:val="16"/>
          <w:color w:val="auto"/>
        </w:rPr>
        <w:t>On May 22, 2019, the Company completed a private placement of $105,466,429 in three-year senior secured promissory notes and extinguished the bridge notes issued on April 12, 2019 and the promissory notes dated October 2, 2017 in the original amounts of $2,500,000 and $5,000,000. The Company has the right to draw an additional $44,533,571 from the lenders at any time within 180 days of closing. The Company also has the sole discretion to extend the financing an additional twelve months. The notes accrue interest at an annual rate of 12.0%, payable on a quarterly basis commencing June 30, 2019. For the nine months ended September 30, 2019, the Company recognized $4,758,205 in interest expense associated with the promissory notes and $1,240,254 in accretion expense, $228,760 of professional fees, and transaction related fees of $430,704.</w:t>
      </w:r>
    </w:p>
    <w:p>
      <w:pPr>
        <w:spacing w:after="0" w:line="165"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As part of the transactions, the purchasers of the promissory notes also received warrants to purchase 1,822,771 Subordinate Voting Shares at an exercise price of CAD $19.39, which can be exercised 60 months after the closing of the transaction. Upon issuance, the Company classified the warrants as equity and measured the fair value of the warrants to be $10,043,468 and the fair value allocated to the debt was $95,422,961. The Black-Scholes model was used to derive the fair value of the warrants which required various inputs including management’s estimate of volatility of 62.4%, dividend yield of 0.0% and risk-free rate of 1.62%.</w:t>
      </w:r>
    </w:p>
    <w:p>
      <w:pPr>
        <w:spacing w:after="0" w:line="33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11.</w:t>
        <w:tab/>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nine months ended September 30, 2019 and 2018, income taxes expense consisted of:</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September 30,</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2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8,974,000</w:t>
            </w: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$ 2,007,000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1,444,000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Current</w:t>
            </w:r>
          </w:p>
        </w:tc>
        <w:tc>
          <w:tcPr>
            <w:tcW w:w="2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10,418,000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2,275,000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(4,965,000)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1,336,000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553,000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(5,712,000)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1,889,000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4,706,000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$ 4,164,000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Income taxes paid for the nine months ended September 30, 2019 were $10,534,408 compared to $1,976,510 for the nine months ended September 30, 2018.</w:t>
      </w:r>
    </w:p>
    <w:p>
      <w:pPr>
        <w:spacing w:after="0" w:line="17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we have no Canadian tax liability and accordingly filed a nil return with Canadian tax authorities.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FQ-30</w:t>
      </w:r>
    </w:p>
    <w:p>
      <w:pPr>
        <w:sectPr>
          <w:pgSz w:w="11900" w:h="16838" w:orient="portrait"/>
          <w:cols w:equalWidth="0" w:num="1">
            <w:col w:w="11140"/>
          </w:cols>
          <w:pgMar w:left="240" w:top="459" w:right="5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On January 1, 2018, the Company, through a tax-free transfer under IRC Section 351, transferred ownership in GTI-Clinic Illinois Holdings, LLC (taxed as a partnership) to GTI Core, LLC (taxed as a “C” corporation). As a result of the transaction, the Company now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under which deferred tax assets and liabilities are recognized based upon anticipated future tax consequences attributable to differences between financial statement carrying values of assets and liabilities and the respective tax bases.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2019 and December 31, 2018, the components of deferred tax assets and liabilities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4,010,000</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1,046,000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Deferred Tax Assets</w:t>
            </w: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Fair Value Investments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(4,294,000)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(5,911,000)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(39,073,000)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(9,480,000)</w:t>
            </w: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(43,367,000)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(15,391,000)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(38,035,000)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(13,541,000)</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40"/>
        <w:spacing w:after="0" w:line="302" w:lineRule="auto"/>
        <w:rPr>
          <w:sz w:val="20"/>
          <w:szCs w:val="20"/>
          <w:color w:val="auto"/>
        </w:rPr>
      </w:pPr>
      <w:r>
        <w:rPr>
          <w:rFonts w:ascii="Arial" w:cs="Arial" w:eastAsia="Arial" w:hAnsi="Arial"/>
          <w:sz w:val="16"/>
          <w:szCs w:val="16"/>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 The Company has not identified any uncertain tax positions as of September 30, 2019 or December 31, 2018.</w:t>
      </w:r>
    </w:p>
    <w:p>
      <w:pPr>
        <w:spacing w:after="0" w:line="299" w:lineRule="exact"/>
        <w:rPr>
          <w:sz w:val="20"/>
          <w:szCs w:val="20"/>
          <w:color w:val="auto"/>
        </w:rPr>
      </w:pPr>
    </w:p>
    <w:p>
      <w:pPr>
        <w:ind w:left="640" w:hanging="436"/>
        <w:spacing w:after="0"/>
        <w:tabs>
          <w:tab w:leader="none" w:pos="64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2" w:lineRule="exact"/>
        <w:rPr>
          <w:rFonts w:ascii="Arial" w:cs="Arial" w:eastAsia="Arial" w:hAnsi="Arial"/>
          <w:sz w:val="18"/>
          <w:szCs w:val="18"/>
          <w:b w:val="1"/>
          <w:bCs w:val="1"/>
          <w:color w:val="auto"/>
        </w:rPr>
      </w:pPr>
    </w:p>
    <w:p>
      <w:pPr>
        <w:ind w:left="6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participated in various fundraises of other cannabis companies throughout the year. The investments include convertible notes with terms to maturity ranging from 1 to 2 years that carry simple interest ranging from 2.55% to 6.00% per annum and convert into common shares at pre-defined numbers of units. Management estimated that market interest rates on similar borrowings without the conversion feature was approximately 15% and has used an implied volatility of 100% in measuring the fair value. At September 30, 2019 and December 31, 2018, the fair value of these investments is $8,931,000 and $30,336,000, respectively.</w:t>
      </w:r>
    </w:p>
    <w:p>
      <w:pPr>
        <w:spacing w:after="0" w:line="64" w:lineRule="exact"/>
        <w:rPr>
          <w:rFonts w:ascii="Arial" w:cs="Arial" w:eastAsia="Arial" w:hAnsi="Arial"/>
          <w:sz w:val="18"/>
          <w:szCs w:val="18"/>
          <w:b w:val="1"/>
          <w:bCs w:val="1"/>
          <w:color w:val="auto"/>
        </w:rPr>
      </w:pPr>
    </w:p>
    <w:p>
      <w:pPr>
        <w:ind w:left="6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also made direct equity investments during the year. Management estimated that market yields were approximately 15% and used an implied volatility of 100% in measuring the fair value. At September 30, 2019 and December 31, 2018, the fair value of these investments was $9,630,742,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-1256030</wp:posOffset>
            </wp:positionV>
            <wp:extent cx="6997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FQ-31</w:t>
      </w:r>
    </w:p>
    <w:p>
      <w:pPr>
        <w:sectPr>
          <w:pgSz w:w="11900" w:h="16838" w:orient="portrait"/>
          <w:cols w:equalWidth="0" w:num="1">
            <w:col w:w="11200"/>
          </w:cols>
          <w:pgMar w:left="240" w:top="460"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addition to the investments discussed above, the Company also holds an equity interest in a publicly traded company (which is considered a Level 1 investment) in the amount of $253,316 and $966,541 as of September 30, 2019 and December 31, 2018, respectively.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Expense (Income).</w:t>
      </w:r>
    </w:p>
    <w:p>
      <w:pPr>
        <w:spacing w:after="0" w:line="64" w:lineRule="exact"/>
        <w:rPr>
          <w:rFonts w:ascii="Arial" w:cs="Arial" w:eastAsia="Arial" w:hAnsi="Arial"/>
          <w:sz w:val="18"/>
          <w:szCs w:val="18"/>
          <w:b w:val="1"/>
          <w:bCs w:val="1"/>
          <w:color w:val="auto"/>
        </w:rPr>
      </w:pPr>
    </w:p>
    <w:p>
      <w:pPr>
        <w:ind w:left="6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estimates that the market interest rate on similar borrowings without the conversion feature was approximately 15% and has used an implied volatility of 100% in valuing the convertibility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-1159510</wp:posOffset>
            </wp:positionV>
            <wp:extent cx="6997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100" w:type="dxa"/>
            <w:vAlign w:val="bottom"/>
          </w:tcPr>
          <w:p>
            <w:pPr>
              <w:spacing w:after="0"/>
              <w:rPr>
                <w:sz w:val="14"/>
                <w:szCs w:val="14"/>
                <w:color w:val="auto"/>
              </w:rPr>
            </w:pPr>
          </w:p>
        </w:tc>
        <w:tc>
          <w:tcPr>
            <w:tcW w:w="14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8"/>
              </w:rPr>
              <w:t>Receivable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(713,225)</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(713,225)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(21,405,000)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 Current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8,931,000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9,884,058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18,815,058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w:t>
      </w:r>
    </w:p>
    <w:p>
      <w:pPr>
        <w:spacing w:after="0" w:line="20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Company’s investments in associates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-198755</wp:posOffset>
            </wp:positionV>
            <wp:extent cx="6997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56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Jurisdiction</w:t>
            </w: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48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48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Colorado</w:t>
            </w:r>
          </w:p>
        </w:tc>
        <w:tc>
          <w:tcPr>
            <w:tcW w:w="60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In June 2019, the Company acquired the remaining ownership interests of MC Brands, LLC. See Note 7 for details.</w:t>
      </w:r>
    </w:p>
    <w:p>
      <w:pPr>
        <w:spacing w:after="0" w:line="326" w:lineRule="exact"/>
        <w:rPr>
          <w:sz w:val="20"/>
          <w:szCs w:val="20"/>
          <w:color w:val="auto"/>
        </w:rPr>
      </w:pPr>
    </w:p>
    <w:p>
      <w:pPr>
        <w:ind w:left="640" w:hanging="436"/>
        <w:spacing w:after="0"/>
        <w:tabs>
          <w:tab w:leader="none" w:pos="6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0"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6997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ind w:left="1200" w:right="40"/>
        <w:spacing w:after="0" w:line="312"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w:t>
      </w:r>
    </w:p>
    <w:p>
      <w:pPr>
        <w:spacing w:after="0" w:line="48" w:lineRule="exact"/>
        <w:rPr>
          <w:sz w:val="20"/>
          <w:szCs w:val="20"/>
          <w:color w:val="auto"/>
        </w:rPr>
      </w:pPr>
    </w:p>
    <w:p>
      <w:pPr>
        <w:ind w:left="1620" w:hanging="430"/>
        <w:spacing w:after="0"/>
        <w:tabs>
          <w:tab w:leader="none" w:pos="162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Multiple Voting share is exchangeable for 100 Subordinate Voting shares. The Company has 376,811 issued and outstanding multiple voting shares, which convert into 37,681,100 subordinate voting shares. The Company is authorized to issue an unlimited number of Multiple Voting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FQ-32</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1"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Super Voting Shares</w:t>
      </w:r>
    </w:p>
    <w:p>
      <w:pPr>
        <w:spacing w:after="0" w:line="121" w:lineRule="exact"/>
        <w:rPr>
          <w:sz w:val="20"/>
          <w:szCs w:val="20"/>
          <w:color w:val="auto"/>
        </w:rPr>
      </w:pPr>
    </w:p>
    <w:p>
      <w:pPr>
        <w:ind w:left="1200" w:right="20"/>
        <w:spacing w:after="0" w:line="264" w:lineRule="auto"/>
        <w:rPr>
          <w:sz w:val="20"/>
          <w:szCs w:val="20"/>
          <w:color w:val="auto"/>
        </w:rPr>
      </w:pPr>
      <w:r>
        <w:rPr>
          <w:rFonts w:ascii="Arial" w:cs="Arial" w:eastAsia="Arial" w:hAnsi="Arial"/>
          <w:sz w:val="18"/>
          <w:szCs w:val="18"/>
          <w:color w:val="auto"/>
        </w:rPr>
        <w:t>Each Super Voting share is exchangeable for 100 Subordinate Voting shares. The Company has 402,289 issued and outstanding Super Voting shares which converts into 40,228,900 subordinate voting shares. The Company is authorized to issue an unlimited number of super voting shares.</w:t>
      </w:r>
    </w:p>
    <w:p>
      <w:pPr>
        <w:spacing w:after="0" w:line="83" w:lineRule="exact"/>
        <w:rPr>
          <w:sz w:val="20"/>
          <w:szCs w:val="20"/>
          <w:color w:val="auto"/>
        </w:rPr>
      </w:pPr>
    </w:p>
    <w:p>
      <w:pPr>
        <w:ind w:left="1180" w:hanging="544"/>
        <w:spacing w:after="0"/>
        <w:tabs>
          <w:tab w:leader="none" w:pos="118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Outstanding</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87"/>
              </w:rPr>
              <w:t>Vested</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jc w:val="right"/>
              <w:ind w:right="82"/>
              <w:spacing w:after="0" w:line="131" w:lineRule="exact"/>
              <w:rPr>
                <w:sz w:val="20"/>
                <w:szCs w:val="20"/>
                <w:color w:val="auto"/>
              </w:rPr>
            </w:pPr>
            <w:r>
              <w:rPr>
                <w:rFonts w:ascii="Arial" w:cs="Arial" w:eastAsia="Arial" w:hAnsi="Arial"/>
                <w:sz w:val="14"/>
                <w:szCs w:val="14"/>
                <w:color w:val="auto"/>
              </w:rPr>
              <w:t>Subordinate</w:t>
            </w:r>
          </w:p>
        </w:tc>
        <w:tc>
          <w:tcPr>
            <w:tcW w:w="160" w:type="dxa"/>
            <w:vAlign w:val="bottom"/>
          </w:tcPr>
          <w:p>
            <w:pPr>
              <w:spacing w:after="0"/>
              <w:rPr>
                <w:sz w:val="11"/>
                <w:szCs w:val="11"/>
                <w:color w:val="auto"/>
              </w:rPr>
            </w:pPr>
          </w:p>
        </w:tc>
        <w:tc>
          <w:tcPr>
            <w:tcW w:w="82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rPr>
              <w:t>Multiple</w:t>
            </w: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85"/>
              </w:rPr>
              <w:t>Super</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4"/>
                <w:szCs w:val="14"/>
                <w:color w:val="auto"/>
                <w:w w:val="85"/>
              </w:rPr>
              <w:t>Restricted</w:t>
            </w:r>
          </w:p>
        </w:tc>
        <w:tc>
          <w:tcPr>
            <w:tcW w:w="220" w:type="dxa"/>
            <w:vAlign w:val="bottom"/>
          </w:tcPr>
          <w:p>
            <w:pPr>
              <w:spacing w:after="0"/>
              <w:rPr>
                <w:sz w:val="11"/>
                <w:szCs w:val="11"/>
                <w:color w:val="auto"/>
              </w:rPr>
            </w:pPr>
          </w:p>
        </w:tc>
        <w:tc>
          <w:tcPr>
            <w:tcW w:w="1000" w:type="dxa"/>
            <w:vAlign w:val="bottom"/>
          </w:tcPr>
          <w:p>
            <w:pPr>
              <w:jc w:val="right"/>
              <w:ind w:right="102"/>
              <w:spacing w:after="0" w:line="131" w:lineRule="exact"/>
              <w:rPr>
                <w:sz w:val="20"/>
                <w:szCs w:val="20"/>
                <w:color w:val="auto"/>
              </w:rPr>
            </w:pPr>
            <w:r>
              <w:rPr>
                <w:rFonts w:ascii="Arial" w:cs="Arial" w:eastAsia="Arial" w:hAnsi="Arial"/>
                <w:sz w:val="14"/>
                <w:szCs w:val="14"/>
                <w:color w:val="auto"/>
              </w:rPr>
              <w:t>Subordinate</w:t>
            </w:r>
          </w:p>
        </w:tc>
        <w:tc>
          <w:tcPr>
            <w:tcW w:w="140" w:type="dxa"/>
            <w:vAlign w:val="bottom"/>
          </w:tcPr>
          <w:p>
            <w:pPr>
              <w:spacing w:after="0"/>
              <w:rPr>
                <w:sz w:val="11"/>
                <w:szCs w:val="11"/>
                <w:color w:val="auto"/>
              </w:rPr>
            </w:pPr>
          </w:p>
        </w:tc>
        <w:tc>
          <w:tcPr>
            <w:tcW w:w="940" w:type="dxa"/>
            <w:vAlign w:val="bottom"/>
            <w:gridSpan w:val="2"/>
          </w:tcPr>
          <w:p>
            <w:pPr>
              <w:jc w:val="right"/>
              <w:ind w:right="360"/>
              <w:spacing w:after="0" w:line="131" w:lineRule="exact"/>
              <w:rPr>
                <w:sz w:val="20"/>
                <w:szCs w:val="20"/>
                <w:color w:val="auto"/>
              </w:rPr>
            </w:pPr>
            <w:r>
              <w:rPr>
                <w:rFonts w:ascii="Arial" w:cs="Arial" w:eastAsia="Arial" w:hAnsi="Arial"/>
                <w:sz w:val="14"/>
                <w:szCs w:val="14"/>
                <w:color w:val="auto"/>
              </w:rPr>
              <w:t>Multiple</w:t>
            </w:r>
          </w:p>
        </w:tc>
        <w:tc>
          <w:tcPr>
            <w:tcW w:w="880" w:type="dxa"/>
            <w:vAlign w:val="bottom"/>
            <w:gridSpan w:val="2"/>
          </w:tcPr>
          <w:p>
            <w:pPr>
              <w:jc w:val="right"/>
              <w:ind w:right="400"/>
              <w:spacing w:after="0" w:line="131" w:lineRule="exact"/>
              <w:rPr>
                <w:sz w:val="20"/>
                <w:szCs w:val="20"/>
                <w:color w:val="auto"/>
              </w:rPr>
            </w:pPr>
            <w:r>
              <w:rPr>
                <w:rFonts w:ascii="Arial" w:cs="Arial" w:eastAsia="Arial" w:hAnsi="Arial"/>
                <w:sz w:val="14"/>
                <w:szCs w:val="14"/>
                <w:color w:val="auto"/>
              </w:rPr>
              <w:t>Super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4"/>
                <w:szCs w:val="14"/>
                <w:color w:val="auto"/>
                <w:w w:val="85"/>
              </w:rPr>
              <w:t>Restricted</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jc w:val="right"/>
              <w:ind w:right="242"/>
              <w:spacing w:after="0" w:line="149" w:lineRule="exact"/>
              <w:rPr>
                <w:sz w:val="20"/>
                <w:szCs w:val="20"/>
                <w:color w:val="auto"/>
              </w:rPr>
            </w:pPr>
            <w:r>
              <w:rPr>
                <w:rFonts w:ascii="Arial" w:cs="Arial" w:eastAsia="Arial" w:hAnsi="Arial"/>
                <w:sz w:val="14"/>
                <w:szCs w:val="14"/>
                <w:color w:val="auto"/>
              </w:rPr>
              <w:t>Voting</w:t>
            </w:r>
          </w:p>
        </w:tc>
        <w:tc>
          <w:tcPr>
            <w:tcW w:w="16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Voting</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Voting</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Stock</w:t>
            </w:r>
          </w:p>
        </w:tc>
        <w:tc>
          <w:tcPr>
            <w:tcW w:w="1000" w:type="dxa"/>
            <w:vAlign w:val="bottom"/>
          </w:tcPr>
          <w:p>
            <w:pPr>
              <w:jc w:val="right"/>
              <w:ind w:right="262"/>
              <w:spacing w:after="0" w:line="149" w:lineRule="exact"/>
              <w:rPr>
                <w:sz w:val="20"/>
                <w:szCs w:val="20"/>
                <w:color w:val="auto"/>
              </w:rPr>
            </w:pPr>
            <w:r>
              <w:rPr>
                <w:rFonts w:ascii="Arial" w:cs="Arial" w:eastAsia="Arial" w:hAnsi="Arial"/>
                <w:sz w:val="14"/>
                <w:szCs w:val="14"/>
                <w:color w:val="auto"/>
              </w:rPr>
              <w:t>Voting</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Voting</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Voting</w:t>
            </w:r>
          </w:p>
        </w:tc>
        <w:tc>
          <w:tcPr>
            <w:tcW w:w="680" w:type="dxa"/>
            <w:vAlign w:val="bottom"/>
          </w:tcPr>
          <w:p>
            <w:pPr>
              <w:jc w:val="right"/>
              <w:ind w:right="121"/>
              <w:spacing w:after="0" w:line="149" w:lineRule="exact"/>
              <w:rPr>
                <w:sz w:val="20"/>
                <w:szCs w:val="20"/>
                <w:color w:val="auto"/>
              </w:rPr>
            </w:pPr>
            <w:r>
              <w:rPr>
                <w:rFonts w:ascii="Arial" w:cs="Arial" w:eastAsia="Arial" w:hAnsi="Arial"/>
                <w:sz w:val="14"/>
                <w:szCs w:val="14"/>
                <w:color w:val="auto"/>
              </w:rPr>
              <w:t>Stock</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Stock</w:t>
            </w:r>
          </w:p>
        </w:tc>
      </w:tr>
      <w:tr>
        <w:trPr>
          <w:trHeight w:val="159"/>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jc w:val="right"/>
              <w:ind w:right="242"/>
              <w:spacing w:after="0" w:line="159"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8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1"/>
              </w:rPr>
              <w:t>Shares</w:t>
            </w:r>
          </w:p>
        </w:tc>
        <w:tc>
          <w:tcPr>
            <w:tcW w:w="10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Options</w:t>
            </w:r>
          </w:p>
        </w:tc>
        <w:tc>
          <w:tcPr>
            <w:tcW w:w="108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3"/>
              </w:rPr>
              <w:t>Units</w:t>
            </w:r>
          </w:p>
        </w:tc>
        <w:tc>
          <w:tcPr>
            <w:tcW w:w="1000" w:type="dxa"/>
            <w:vAlign w:val="bottom"/>
          </w:tcPr>
          <w:p>
            <w:pPr>
              <w:jc w:val="right"/>
              <w:ind w:right="242"/>
              <w:spacing w:after="0" w:line="159"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Shares</w:t>
            </w:r>
          </w:p>
        </w:tc>
        <w:tc>
          <w:tcPr>
            <w:tcW w:w="680" w:type="dxa"/>
            <w:vAlign w:val="bottom"/>
          </w:tcPr>
          <w:p>
            <w:pPr>
              <w:jc w:val="right"/>
              <w:ind w:right="61"/>
              <w:spacing w:after="0" w:line="159" w:lineRule="exact"/>
              <w:rPr>
                <w:sz w:val="20"/>
                <w:szCs w:val="20"/>
                <w:color w:val="auto"/>
              </w:rPr>
            </w:pPr>
            <w:r>
              <w:rPr>
                <w:rFonts w:ascii="Arial" w:cs="Arial" w:eastAsia="Arial" w:hAnsi="Arial"/>
                <w:sz w:val="14"/>
                <w:szCs w:val="14"/>
                <w:color w:val="auto"/>
              </w:rPr>
              <w:t>Options</w:t>
            </w:r>
          </w:p>
        </w:tc>
        <w:tc>
          <w:tcPr>
            <w:tcW w:w="140" w:type="dxa"/>
            <w:vAlign w:val="bottom"/>
          </w:tcPr>
          <w:p>
            <w:pPr>
              <w:spacing w:after="0"/>
              <w:rPr>
                <w:sz w:val="13"/>
                <w:szCs w:val="13"/>
                <w:color w:val="auto"/>
              </w:rPr>
            </w:pP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93"/>
              </w:rPr>
              <w:t>Units</w:t>
            </w:r>
          </w:p>
        </w:tc>
      </w:tr>
      <w:tr>
        <w:trPr>
          <w:trHeight w:val="169"/>
        </w:trPr>
        <w:tc>
          <w:tcPr>
            <w:tcW w:w="20" w:type="dxa"/>
            <w:vAlign w:val="bottom"/>
          </w:tcPr>
          <w:p>
            <w:pPr>
              <w:spacing w:after="0"/>
              <w:rPr>
                <w:sz w:val="14"/>
                <w:szCs w:val="14"/>
                <w:color w:val="auto"/>
              </w:rPr>
            </w:pPr>
          </w:p>
        </w:tc>
        <w:tc>
          <w:tcPr>
            <w:tcW w:w="13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 of</w:t>
            </w: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31,</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2018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43,920,131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677,230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424,513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1,677,192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43,920,131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677,230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424,513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131,192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Issued in</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connection with</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business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combinations</w:t>
            </w:r>
          </w:p>
        </w:tc>
        <w:tc>
          <w:tcPr>
            <w:tcW w:w="980" w:type="dxa"/>
            <w:vAlign w:val="bottom"/>
          </w:tcPr>
          <w:p>
            <w:pPr>
              <w:jc w:val="right"/>
              <w:spacing w:after="0"/>
              <w:rPr>
                <w:sz w:val="20"/>
                <w:szCs w:val="20"/>
                <w:color w:val="auto"/>
              </w:rPr>
            </w:pPr>
            <w:r>
              <w:rPr>
                <w:rFonts w:ascii="Arial" w:cs="Arial" w:eastAsia="Arial" w:hAnsi="Arial"/>
                <w:sz w:val="16"/>
                <w:szCs w:val="16"/>
                <w:color w:val="auto"/>
              </w:rPr>
              <w:t>42,551,316</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42,551,316</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Change in</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ownership of</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interests</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w w:val="95"/>
              </w:rPr>
              <w:t>Issuance of shares</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for redemption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noncontrolling</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interests</w:t>
            </w:r>
          </w:p>
        </w:tc>
        <w:tc>
          <w:tcPr>
            <w:tcW w:w="980" w:type="dxa"/>
            <w:vAlign w:val="bottom"/>
          </w:tcPr>
          <w:p>
            <w:pPr>
              <w:jc w:val="right"/>
              <w:spacing w:after="0"/>
              <w:rPr>
                <w:sz w:val="20"/>
                <w:szCs w:val="20"/>
                <w:color w:val="auto"/>
              </w:rPr>
            </w:pPr>
            <w:r>
              <w:rPr>
                <w:rFonts w:ascii="Arial" w:cs="Arial" w:eastAsia="Arial" w:hAnsi="Arial"/>
                <w:sz w:val="16"/>
                <w:szCs w:val="16"/>
                <w:color w:val="auto"/>
              </w:rPr>
              <w:t>4,198,838</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4,198,838</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and</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RSU’s issued to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employees and</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consultants</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4,961,141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1,177,678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Stock options and</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RSU’s forfeited</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(606,500)</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(126,000)</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and</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RSU’s vested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(1,161,640)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1,161,640</w:t>
            </w:r>
          </w:p>
        </w:tc>
        <w:tc>
          <w:tcPr>
            <w:tcW w:w="6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Stock options</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Exchange of</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35,364,300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(331,419)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(22,224)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35,364,300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(331,419)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(22,224)</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196"/>
        </w:trPr>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As at</w:t>
            </w: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127,150,672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376,811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402,289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6,031,833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1,479,038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127,150,672</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376,811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402,289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360,384</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1,161,640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FQ-33</w:t>
      </w:r>
    </w:p>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original maturity of the convertible notes payable was three years from the funding date of April 30, 2018, and the notes bore simple interest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at a rate of 8% per year. At June 12, 2018, the carrying value of the convertible notes payable, including accrued interest, was $15,245,960 and the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assigned to the conversion feature of the notes was $28,894,566. The Black Scholes options pricing model assumptions used in</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calculating the fair value include a risk free rate of 2.04%, volatility of 100%, an expected term of 60 days, and a share price of $6.00. The fair</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value adjustment related to the conversion feature was $1,981,358, and is included in other income on the consolidated statement of operations.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 increase in the share price and volatility assumptions of 5% would result in an increase in the fair value estimate of approximately $3,700,000,</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and a decrease in the share price and volatility assumptions of 5% would result in a decrease in the fair value estimate of approximately</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$3,694,000. Upon the RTO transaction, the convertible notes payable were converted into 122,442 Multiple Voting shares and 2,211 Super Voting</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carrying a total value of $44,140,526.</w:t>
      </w:r>
    </w:p>
    <w:p>
      <w:pPr>
        <w:spacing w:after="0" w:line="103" w:lineRule="exact"/>
        <w:rPr>
          <w:sz w:val="20"/>
          <w:szCs w:val="20"/>
          <w:color w:val="auto"/>
        </w:rPr>
      </w:pPr>
    </w:p>
    <w:p>
      <w:pPr>
        <w:ind w:left="640" w:right="20"/>
        <w:spacing w:after="0" w:line="269" w:lineRule="auto"/>
        <w:rPr>
          <w:sz w:val="20"/>
          <w:szCs w:val="20"/>
          <w:color w:val="auto"/>
        </w:rPr>
      </w:pPr>
      <w:r>
        <w:rPr>
          <w:rFonts w:ascii="Arial" w:cs="Arial" w:eastAsia="Arial" w:hAnsi="Arial"/>
          <w:sz w:val="17"/>
          <w:szCs w:val="17"/>
          <w:color w:val="auto"/>
        </w:rPr>
        <w:t>On April 25, 2018, Subscription Receipts were sold at a price of CAD $7.75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CAD $7.75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5" w:lineRule="exact"/>
        <w:rPr>
          <w:sz w:val="20"/>
          <w:szCs w:val="20"/>
          <w:color w:val="auto"/>
        </w:rPr>
      </w:pPr>
    </w:p>
    <w:p>
      <w:pPr>
        <w:ind w:left="640" w:right="40"/>
        <w:spacing w:after="0" w:line="257"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 500,439 Subordinate Voting shares of the Company. The value assigned to these shares was $3,002,634, 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90" w:lineRule="exact"/>
        <w:rPr>
          <w:sz w:val="20"/>
          <w:szCs w:val="20"/>
          <w:color w:val="auto"/>
        </w:rPr>
      </w:pPr>
    </w:p>
    <w:p>
      <w:pPr>
        <w:ind w:left="1180" w:hanging="544"/>
        <w:spacing w:after="0"/>
        <w:tabs>
          <w:tab w:leader="none" w:pos="118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640" w:right="16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CAD $11.00 per share, for gross proceeds of $61,726,497. Financing costs related to the First Offering totaled $3,133,722.</w:t>
      </w:r>
    </w:p>
    <w:p>
      <w:pPr>
        <w:spacing w:after="0" w:line="16"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CAD $20.00 per share, for gross proceeds of $78,562,596. Financing costs related to the Second Offering totaled $3,479,116.</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FQ-34</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21" w:lineRule="exact"/>
        <w:rPr>
          <w:sz w:val="20"/>
          <w:szCs w:val="20"/>
          <w:color w:val="auto"/>
        </w:rPr>
      </w:pPr>
    </w:p>
    <w:p>
      <w:pPr>
        <w:ind w:left="640" w:right="100"/>
        <w:spacing w:after="0" w:line="302"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of $33,662,548, which has been presented as a reduction to accumulated deficit, after the reclassification of the noncontrolling interest carrying balance upon the issuance date.</w:t>
      </w:r>
    </w:p>
    <w:p>
      <w:pPr>
        <w:spacing w:after="0" w:line="46"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In December 2018, the Company issued the reciprocal put and call options discussed in Note 16 to the noncontrolling interest holders of GTI Pennsylvania, LLC. As discussed in Note 22, the noncontrolling interests were acquired by the Company subsequent to year-end, in January 2019. As it was determined that the Company had effective control over GTI Pennsylvania, LLC as of the put and call option date, an increase to shares to be issued was reflected in the statement of equity of $27,773,234, representing the fair value of the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70" w:lineRule="exact"/>
        <w:rPr>
          <w:sz w:val="20"/>
          <w:szCs w:val="20"/>
          <w:color w:val="auto"/>
        </w:rPr>
      </w:pPr>
    </w:p>
    <w:p>
      <w:pPr>
        <w:ind w:left="640" w:right="120"/>
        <w:spacing w:after="0" w:line="257" w:lineRule="auto"/>
        <w:rPr>
          <w:sz w:val="20"/>
          <w:szCs w:val="20"/>
          <w:color w:val="auto"/>
        </w:rPr>
      </w:pPr>
      <w:r>
        <w:rPr>
          <w:rFonts w:ascii="Arial" w:cs="Arial" w:eastAsia="Arial" w:hAnsi="Arial"/>
          <w:sz w:val="18"/>
          <w:szCs w:val="18"/>
          <w:color w:val="auto"/>
        </w:rPr>
        <w:t>In December 2018, the Company acquired the noncontrolling interests of GTI Nevada, LLC, in exchange for shares of the Company. The shares are to be issued in six tranches, the first of which was delivered in December 2018. The removal of the noncontrolling interests carrying balance, as well as the recording of the liability to issue the shares, was resulted in a decrease of $25,917,883, which has been presented as a reduction to accumulated deficit. The balance of the remaining liability at December 31, 2018 is $25,420,009, and is recorded in liability for acquisition of noncontrolling interest on the consolidated balance sheet.</w:t>
      </w:r>
    </w:p>
    <w:p>
      <w:pPr>
        <w:spacing w:after="0" w:line="8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The total effect of the above three transactions was a reduction of $90,244,101, which has been presented as a reduction to accumulated deficit on the consolidated statement of changes in shareholders’ equity.</w:t>
      </w:r>
    </w:p>
    <w:p>
      <w:pPr>
        <w:spacing w:after="0" w:line="72" w:lineRule="exact"/>
        <w:rPr>
          <w:sz w:val="20"/>
          <w:szCs w:val="20"/>
          <w:color w:val="auto"/>
        </w:rPr>
      </w:pPr>
    </w:p>
    <w:p>
      <w:pPr>
        <w:ind w:left="1180" w:hanging="544"/>
        <w:spacing w:after="0"/>
        <w:tabs>
          <w:tab w:leader="none" w:pos="11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640" w:right="4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The continuity of stock options is as follows: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660" w:type="dxa"/>
            <w:vAlign w:val="bottom"/>
          </w:tcPr>
          <w:p>
            <w:pPr>
              <w:spacing w:after="0"/>
              <w:rPr>
                <w:sz w:val="14"/>
                <w:szCs w:val="14"/>
                <w:color w:val="auto"/>
              </w:rPr>
            </w:pPr>
          </w:p>
        </w:tc>
        <w:tc>
          <w:tcPr>
            <w:tcW w:w="960" w:type="dxa"/>
            <w:vAlign w:val="bottom"/>
          </w:tcPr>
          <w:p>
            <w:pPr>
              <w:jc w:val="right"/>
              <w:ind w:right="139"/>
              <w:spacing w:after="0"/>
              <w:rPr>
                <w:sz w:val="20"/>
                <w:szCs w:val="20"/>
                <w:color w:val="auto"/>
              </w:rPr>
            </w:pPr>
            <w:r>
              <w:rPr>
                <w:rFonts w:ascii="Arial" w:cs="Arial" w:eastAsia="Arial" w:hAnsi="Arial"/>
                <w:sz w:val="14"/>
                <w:szCs w:val="14"/>
                <w:color w:val="auto"/>
              </w:rPr>
              <w:t>Weighted</w:t>
            </w:r>
          </w:p>
        </w:tc>
        <w:tc>
          <w:tcPr>
            <w:tcW w:w="66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340" w:type="dxa"/>
            <w:vAlign w:val="bottom"/>
            <w:gridSpan w:val="2"/>
          </w:tcPr>
          <w:p>
            <w:pPr>
              <w:jc w:val="center"/>
              <w:ind w:left="234"/>
              <w:spacing w:after="0" w:line="149" w:lineRule="exact"/>
              <w:rPr>
                <w:sz w:val="20"/>
                <w:szCs w:val="20"/>
                <w:color w:val="auto"/>
              </w:rPr>
            </w:pPr>
            <w:r>
              <w:rPr>
                <w:rFonts w:ascii="Arial" w:cs="Arial" w:eastAsia="Arial" w:hAnsi="Arial"/>
                <w:sz w:val="14"/>
                <w:szCs w:val="14"/>
                <w:color w:val="auto"/>
                <w:w w:val="92"/>
              </w:rPr>
              <w:t>Average Exercise</w:t>
            </w:r>
          </w:p>
        </w:tc>
        <w:tc>
          <w:tcPr>
            <w:tcW w:w="660" w:type="dxa"/>
            <w:vAlign w:val="bottom"/>
          </w:tcPr>
          <w:p>
            <w:pPr>
              <w:spacing w:after="0"/>
              <w:rPr>
                <w:sz w:val="12"/>
                <w:szCs w:val="12"/>
                <w:color w:val="auto"/>
              </w:rPr>
            </w:pPr>
          </w:p>
        </w:tc>
        <w:tc>
          <w:tcPr>
            <w:tcW w:w="96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Intrinsic</w:t>
            </w: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Price (CAD)</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Contractual Life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4,961,141</w:t>
            </w: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16.02</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(606,500)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13.77</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6,031,833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6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Vested</w:t>
            </w:r>
          </w:p>
        </w:tc>
        <w:tc>
          <w:tcPr>
            <w:tcW w:w="800" w:type="dxa"/>
            <w:vAlign w:val="bottom"/>
          </w:tcPr>
          <w:p>
            <w:pPr>
              <w:jc w:val="right"/>
              <w:spacing w:after="0"/>
              <w:rPr>
                <w:sz w:val="20"/>
                <w:szCs w:val="20"/>
                <w:color w:val="auto"/>
              </w:rPr>
            </w:pPr>
            <w:r>
              <w:rPr>
                <w:rFonts w:ascii="Arial" w:cs="Arial" w:eastAsia="Arial" w:hAnsi="Arial"/>
                <w:sz w:val="18"/>
                <w:szCs w:val="18"/>
                <w:color w:val="auto"/>
              </w:rPr>
              <w:t>312,284</w:t>
            </w: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186,192</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319,332</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September 30, 2019 and December 31, 2018,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FQ-35</w:t>
      </w:r>
    </w:p>
    <w:p>
      <w:pPr>
        <w:sectPr>
          <w:pgSz w:w="11900" w:h="16838" w:orient="portrait"/>
          <w:cols w:equalWidth="0" w:num="1">
            <w:col w:w="11200"/>
          </w:cols>
          <w:pgMar w:left="240" w:top="460"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5"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and the exercise price, multiplied by the number of in-the-money options) that would have been received by the option holders had all option holders exercised their in-the-money options on September 30, 2019 and December 31, 2018. This amount will change in future periods based on the fair market value of the Company’s stock and the number of options outstanding. There were no options exercised for nine months ended September 30, 2019 and 2018.</w:t>
      </w:r>
    </w:p>
    <w:p>
      <w:pPr>
        <w:spacing w:after="0" w:line="7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 using the following ranges of assumptions: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ind w:right="130"/>
              <w:spacing w:after="0"/>
              <w:rPr>
                <w:sz w:val="20"/>
                <w:szCs w:val="20"/>
                <w:color w:val="auto"/>
              </w:rPr>
            </w:pPr>
            <w:r>
              <w:rPr>
                <w:rFonts w:ascii="Arial" w:cs="Arial" w:eastAsia="Arial" w:hAnsi="Arial"/>
                <w:sz w:val="18"/>
                <w:szCs w:val="18"/>
                <w:color w:val="auto"/>
              </w:rPr>
              <w:t>2 - 10 years</w:t>
            </w:r>
          </w:p>
        </w:tc>
      </w:tr>
    </w:tbl>
    <w:p>
      <w:pPr>
        <w:spacing w:after="0" w:line="79"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w:t>
      </w:r>
    </w:p>
    <w:p>
      <w:pPr>
        <w:spacing w:after="0" w:line="62"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September 30, 2019 and December 31, 2018 and the changes during the nine months ended September 30, 2019:</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Number of</w:t>
            </w:r>
          </w:p>
        </w:tc>
        <w:tc>
          <w:tcPr>
            <w:tcW w:w="38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Grant Date Fair</w:t>
            </w:r>
          </w:p>
        </w:tc>
      </w:t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Value (CAD)</w:t>
            </w: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1,589,000</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1,177,678</w:t>
            </w:r>
          </w:p>
        </w:tc>
        <w:tc>
          <w:tcPr>
            <w:tcW w:w="4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(126,000)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(1,161,640)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September 30,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1,479,038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stock-based compensation expense for the nine months ended September 30, 2019 and 2018 was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Nine Months Ended</w:t>
            </w: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4,248,461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454,141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9,075,622</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2,246,154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13,324,083</w:t>
            </w:r>
          </w:p>
        </w:tc>
        <w:tc>
          <w:tcPr>
            <w:tcW w:w="6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2,700,295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80" w:hanging="544"/>
        <w:spacing w:after="0"/>
        <w:tabs>
          <w:tab w:leader="none" w:pos="11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jc w:val="both"/>
        <w:ind w:left="640" w:right="220"/>
        <w:spacing w:after="0" w:line="259" w:lineRule="auto"/>
        <w:rPr>
          <w:sz w:val="20"/>
          <w:szCs w:val="20"/>
          <w:color w:val="auto"/>
        </w:rPr>
      </w:pPr>
      <w:r>
        <w:rPr>
          <w:rFonts w:ascii="Arial" w:cs="Arial" w:eastAsia="Arial" w:hAnsi="Arial"/>
          <w:sz w:val="18"/>
          <w:szCs w:val="18"/>
          <w:color w:val="auto"/>
        </w:rPr>
        <w:t xml:space="preserve">During the nine months ended September 30,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FQ-36</w:t>
      </w:r>
    </w:p>
    <w:p>
      <w:pPr>
        <w:sectPr>
          <w:pgSz w:w="11900" w:h="16838" w:orient="portrait"/>
          <w:cols w:equalWidth="0" w:num="1">
            <w:col w:w="11160"/>
          </w:cols>
          <w:pgMar w:left="240" w:top="460"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Profits Interests Units </w:t>
      </w:r>
      <w:r>
        <w:rPr>
          <w:rFonts w:ascii="Arial" w:cs="Arial" w:eastAsia="Arial" w:hAnsi="Arial"/>
          <w:sz w:val="18"/>
          <w:szCs w:val="18"/>
          <w:color w:val="auto"/>
        </w:rPr>
        <w:t>(continued)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status of the unvested profits interests at September 30, 2018:</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3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Number of</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Grant Date</w:t>
            </w: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color w:val="auto"/>
              </w:rPr>
              <w:t>Units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Fair Value</w:t>
            </w: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7,657,700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(7,657,700)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recorded $5,523,180 as compensation expense in connection with these awards during the nine months ended September 30, 2018.</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September 30, 2018, there was no unamortized expense related to unvested profits interests.</w:t>
      </w:r>
    </w:p>
    <w:p>
      <w:pPr>
        <w:spacing w:after="0" w:line="355" w:lineRule="exact"/>
        <w:rPr>
          <w:sz w:val="20"/>
          <w:szCs w:val="20"/>
          <w:color w:val="auto"/>
        </w:rPr>
      </w:pPr>
    </w:p>
    <w:p>
      <w:pPr>
        <w:ind w:left="640" w:hanging="436"/>
        <w:spacing w:after="0"/>
        <w:tabs>
          <w:tab w:leader="none" w:pos="64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has entered into agreements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 These symmetrical put and call options are exercisable anytime after January 2, 2019.</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net liability recognized in connection with these put and call options has been estimated using the Black Scholes options pricing model. The assumptions used in the calculating the fair value include a risk free rate of 2.44%, volatility of 100%, an expected term of 30 days, and a share price of $8.07. Upon initial recognition, the Company recorded a derivative liability of $7,078,792. For the year ended December 31, 2018, the Company recorded a gain of $2,869,342 on revaluation of the derivative liability, which is included other income on the consolidated statement of operations. The value of the derivative at December 31, 2018 is $4,238,701 and is recorded as a derivative liability on the consolidated balance sheet. The options were exercised on January 7, 2019.</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FQ-37</w:t>
      </w:r>
    </w:p>
    <w:p>
      <w:pPr>
        <w:sectPr>
          <w:pgSz w:w="11900" w:h="16838" w:orient="portrait"/>
          <w:cols w:equalWidth="0" w:num="1">
            <w:col w:w="11140"/>
          </w:cols>
          <w:pgMar w:left="240" w:top="459" w:right="5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nine months ended September 30, 2019 and 2018, other income was comprised of the following:</w:t>
      </w:r>
    </w:p>
    <w:p>
      <w:pPr>
        <w:spacing w:after="0" w:line="244"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Nine Months Ended</w:t>
      </w:r>
    </w:p>
    <w:p>
      <w:pPr>
        <w:jc w:val="center"/>
        <w:ind w:left="58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adjustments on put and call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derivative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(7,424,727)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42,449,120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convertible note receivable upon acquisition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(843,000)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adjustment on investment in associates upon acquisition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670,223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(106,870)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370,923</w:t>
            </w:r>
          </w:p>
        </w:tc>
        <w:tc>
          <w:tcPr>
            <w:tcW w:w="60" w:type="dxa"/>
            <w:vAlign w:val="bottom"/>
            <w:shd w:val="clear" w:color="auto" w:fill="CCEEFF"/>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(7,969,433</w:t>
            </w:r>
          </w:p>
        </w:tc>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42,820,043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September 30, 2019, medical cannabis regulations continue to evolve and are subject to differing interpretations. As a result, the Company may be subject to regulatory fines, penalties, or restrictions in the future.</w:t>
      </w:r>
    </w:p>
    <w:p>
      <w:pPr>
        <w:spacing w:after="0" w:line="73"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6"/>
          <w:szCs w:val="16"/>
          <w:color w:val="auto"/>
        </w:rPr>
        <w:t>As of September 30, 2019, the Company held approximately $10,572,000 of open commitments to contractors on work being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-2225040</wp:posOffset>
            </wp:positionV>
            <wp:extent cx="6997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FQ-38</w:t>
      </w:r>
    </w:p>
    <w:p>
      <w:pPr>
        <w:sectPr>
          <w:pgSz w:w="11900" w:h="16838" w:orient="portrait"/>
          <w:cols w:equalWidth="0" w:num="1">
            <w:col w:w="11180"/>
          </w:cols>
          <w:pgMar w:left="240" w:top="460"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64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operates in two segments: the cultivation, production and sale of cannabis via retail stores (wholesale), and retailing of cannabis to patients and consumers (retail). The below table presents revenues by type 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-400685</wp:posOffset>
            </wp:positionV>
            <wp:extent cx="6997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71,522,403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17,849,291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85,501,646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27,708,360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(16,393,202)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(3,835,385)</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Total Revenues, net of discounts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140,630,847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41,722,266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The Company’s assets are aggregated into two reportable segments (retail and wholesale).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All revenues are derived from customers domiciled in the United States and all assets are located in the United States.</w:t>
      </w:r>
    </w:p>
    <w:p>
      <w:pPr>
        <w:spacing w:after="0" w:line="333" w:lineRule="exact"/>
        <w:rPr>
          <w:sz w:val="20"/>
          <w:szCs w:val="20"/>
          <w:color w:val="auto"/>
        </w:rPr>
      </w:pPr>
    </w:p>
    <w:p>
      <w:pPr>
        <w:ind w:left="640" w:hanging="436"/>
        <w:spacing w:after="0"/>
        <w:tabs>
          <w:tab w:leader="none" w:pos="64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12, 2019, the Company closed on a transaction to sell its Danville, Pennsylvania cultivation and processing facility to an unrelated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third party. GTI will lease back the facility via a long-term agreement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continue to operate and manage it.</w:t>
      </w:r>
    </w:p>
    <w:p>
      <w:pPr>
        <w:spacing w:after="0" w:line="103"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color w:val="auto"/>
        </w:rPr>
        <w:t>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73"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As part of this transaction, GTI entered into the first amendment of the Notes Purchase Agreement whereby among other things, the amended agreement reduced the additional amount of funds available for borrowing from $44,533,571 to $24,533,571 and extended the time frame in which GTI may borrow these funds an additional 180 days to May 2020. As of September 30, 2019, GTI has not drawn any additional funds from the lenders.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FQ-39</w:t>
      </w:r>
    </w:p>
    <w:p>
      <w:pPr>
        <w:sectPr>
          <w:pgSz w:w="11900" w:h="16838" w:orient="portrait"/>
          <w:cols w:equalWidth="0" w:num="1">
            <w:col w:w="11200"/>
          </w:cols>
          <w:pgMar w:left="24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Combined Condensed Balance Sheets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 of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80" w:type="dxa"/>
            <w:vAlign w:val="bottom"/>
            <w:vMerge w:val="restart"/>
          </w:tcPr>
          <w:p>
            <w:pPr>
              <w:ind w:left="384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i w:val="1"/>
                <w:iCs w:val="1"/>
                <w:color w:val="auto"/>
                <w:w w:val="95"/>
              </w:rPr>
              <w:t>(Unaudited)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3"/>
              <w:spacing w:after="0"/>
              <w:rPr>
                <w:sz w:val="20"/>
                <w:szCs w:val="20"/>
                <w:color w:val="auto"/>
              </w:rPr>
            </w:pPr>
            <w:r>
              <w:rPr>
                <w:rFonts w:ascii="Arial" w:cs="Arial" w:eastAsia="Arial" w:hAnsi="Arial"/>
                <w:sz w:val="14"/>
                <w:szCs w:val="14"/>
                <w:i w:val="1"/>
                <w:iCs w:val="1"/>
                <w:color w:val="auto"/>
                <w:w w:val="94"/>
              </w:rPr>
              <w:t>(Audited)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Cash</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5,973,910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5,368,074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8,027,378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8,479,260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923,001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16,229,428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15,736,115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6,388,432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232,225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22,850,085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22,653,322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1,607,337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3,382,785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3,858,269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4,999,756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5,585,760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Notes Payable, Net of Current Portion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5,001,851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5,589,948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MEMBERS’ EQUITY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17,848,234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17,063,374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22,850,085</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22,653,322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combined condensed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FQ-40</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Combined Condensed Statements of Income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52"/>
              <w:spacing w:after="0" w:line="142" w:lineRule="exact"/>
              <w:rPr>
                <w:sz w:val="20"/>
                <w:szCs w:val="20"/>
                <w:color w:val="auto"/>
              </w:rPr>
            </w:pPr>
            <w:r>
              <w:rPr>
                <w:rFonts w:ascii="Arial" w:cs="Arial" w:eastAsia="Arial" w:hAnsi="Arial"/>
                <w:sz w:val="14"/>
                <w:szCs w:val="14"/>
                <w:i w:val="1"/>
                <w:iCs w:val="1"/>
                <w:color w:val="auto"/>
                <w:w w:val="98"/>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72"/>
              <w:spacing w:after="0" w:line="142" w:lineRule="exact"/>
              <w:rPr>
                <w:sz w:val="20"/>
                <w:szCs w:val="20"/>
                <w:color w:val="auto"/>
              </w:rPr>
            </w:pPr>
            <w:r>
              <w:rPr>
                <w:rFonts w:ascii="Arial" w:cs="Arial" w:eastAsia="Arial" w:hAnsi="Arial"/>
                <w:sz w:val="14"/>
                <w:szCs w:val="14"/>
                <w:i w:val="1"/>
                <w:iCs w:val="1"/>
                <w:color w:val="auto"/>
                <w:w w:val="98"/>
              </w:rPr>
              <w:t>(Unaudited)</w:t>
            </w: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14,012,677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13,550,244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7,045,345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7,472,566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6,077,678</w:t>
            </w:r>
          </w:p>
        </w:tc>
        <w:tc>
          <w:tcPr>
            <w:tcW w:w="14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2,610,171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317,566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239,494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169,792</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3,019,457</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2,790,980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3,058,221</w:t>
            </w:r>
          </w:p>
        </w:tc>
        <w:tc>
          <w:tcPr>
            <w:tcW w:w="14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Income from Licensing Agreement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659,156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258,788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 Application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(667,296)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(58,085)</w:t>
            </w: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199,507</w:t>
            </w:r>
          </w:p>
        </w:tc>
        <w:tc>
          <w:tcPr>
            <w:tcW w:w="14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2,784,860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3,257,728</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combined condensed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FQ-41</w:t>
      </w:r>
    </w:p>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Unaudited Combined Condensed Statements of Members’ Equity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January 1, 2018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Distributions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Balance, March 31, 2018 (unaudited)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January 1, 2019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Distributions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Balance, March 31, 2019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3" w:hanging="183"/>
        <w:spacing w:after="0"/>
        <w:tabs>
          <w:tab w:leader="none" w:pos="183"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13,504,651</w:t>
      </w:r>
    </w:p>
    <w:p>
      <w:pPr>
        <w:spacing w:after="0" w:line="38" w:lineRule="exact"/>
        <w:rPr>
          <w:rFonts w:ascii="Arial" w:cs="Arial" w:eastAsia="Arial" w:hAnsi="Arial"/>
          <w:sz w:val="17"/>
          <w:szCs w:val="17"/>
          <w:b w:val="1"/>
          <w:bCs w:val="1"/>
          <w:color w:val="auto"/>
        </w:rPr>
      </w:pPr>
    </w:p>
    <w:p>
      <w:pPr>
        <w:ind w:left="263"/>
        <w:spacing w:after="0"/>
        <w:rPr>
          <w:rFonts w:ascii="Arial" w:cs="Arial" w:eastAsia="Arial" w:hAnsi="Arial"/>
          <w:sz w:val="17"/>
          <w:szCs w:val="17"/>
          <w:b w:val="1"/>
          <w:bCs w:val="1"/>
          <w:color w:val="auto"/>
        </w:rPr>
      </w:pPr>
      <w:r>
        <w:rPr>
          <w:rFonts w:ascii="Arial" w:cs="Arial" w:eastAsia="Arial" w:hAnsi="Arial"/>
          <w:sz w:val="17"/>
          <w:szCs w:val="17"/>
          <w:color w:val="auto"/>
        </w:rPr>
        <w:t>3,257,728</w:t>
      </w:r>
    </w:p>
    <w:p>
      <w:pPr>
        <w:spacing w:after="0" w:line="21" w:lineRule="exact"/>
        <w:rPr>
          <w:sz w:val="20"/>
          <w:szCs w:val="20"/>
          <w:color w:val="auto"/>
        </w:rPr>
      </w:pPr>
    </w:p>
    <w:p>
      <w:pPr>
        <w:ind w:left="203"/>
        <w:spacing w:after="0"/>
        <w:rPr>
          <w:sz w:val="20"/>
          <w:szCs w:val="20"/>
          <w:color w:val="auto"/>
        </w:rPr>
      </w:pPr>
      <w:r>
        <w:rPr>
          <w:rFonts w:ascii="Arial" w:cs="Arial" w:eastAsia="Arial" w:hAnsi="Arial"/>
          <w:sz w:val="16"/>
          <w:szCs w:val="16"/>
          <w:color w:val="auto"/>
        </w:rPr>
        <w:t>(3,200,000)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62611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9">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1" w:lineRule="exact"/>
        <w:rPr>
          <w:sz w:val="20"/>
          <w:szCs w:val="20"/>
          <w:color w:val="auto"/>
        </w:rPr>
      </w:pPr>
    </w:p>
    <w:p>
      <w:pPr>
        <w:ind w:left="3"/>
        <w:spacing w:after="0"/>
        <w:rPr>
          <w:sz w:val="20"/>
          <w:szCs w:val="20"/>
          <w:color w:val="auto"/>
        </w:rPr>
      </w:pPr>
      <w:r>
        <w:rPr>
          <w:rFonts w:ascii="Arial" w:cs="Arial" w:eastAsia="Arial" w:hAnsi="Arial"/>
          <w:sz w:val="17"/>
          <w:szCs w:val="17"/>
          <w:b w:val="1"/>
          <w:bCs w:val="1"/>
          <w:u w:val="single" w:color="auto"/>
          <w:color w:val="auto"/>
        </w:rPr>
        <w:t>$ 13,562,379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62611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71"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$ 17,063,374</w:t>
      </w:r>
    </w:p>
    <w:p>
      <w:pPr>
        <w:spacing w:after="0" w:line="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2,784,860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2611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6"/>
          <w:szCs w:val="16"/>
          <w:b w:val="1"/>
          <w:bCs w:val="1"/>
          <w:u w:val="single" w:color="auto"/>
          <w:color w:val="auto"/>
        </w:rPr>
        <w:t>$ 17,848,234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62611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2">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397" w:space="720"/>
            <w:col w:w="1043"/>
          </w:cols>
          <w:pgMar w:left="240" w:top="46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The accompanying notes are an integral part of these unaudited combined condensed financial statements</w:t>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FQ-42</w:t>
      </w:r>
    </w:p>
    <w:p>
      <w:pPr>
        <w:sectPr>
          <w:pgSz w:w="11900" w:h="16838" w:orient="portrait"/>
          <w:cols w:equalWidth="0" w:num="1">
            <w:col w:w="11160"/>
          </w:cols>
          <w:pgMar w:left="240" w:top="460" w:right="499" w:bottom="1440" w:gutter="0" w:footer="0" w:header="0"/>
          <w:type w:val="continuous"/>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Combined Condensed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For the Three Months Ended</w:t>
            </w:r>
          </w:p>
        </w:tc>
      </w:t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98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$ 2,784,860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3,257,728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511,986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493,015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Equipment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Inventories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451,882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(1,227,867)</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(475,959)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(175,170)</w:t>
            </w: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color w:val="auto"/>
              </w:rPr>
              <w:t>(76,065)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(43,869)</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713,375</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Accrued Liabilities</w:t>
            </w:r>
          </w:p>
        </w:tc>
        <w:tc>
          <w:tcPr>
            <w:tcW w:w="1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(475,484)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(149,975)</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PROVIDED BY OPERATING ACTIVITIES</w:t>
            </w:r>
          </w:p>
        </w:tc>
        <w:tc>
          <w:tcPr>
            <w:tcW w:w="11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2,786,551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2,892,425</w:t>
            </w:r>
          </w:p>
        </w:tc>
        <w:tc>
          <w:tcPr>
            <w:tcW w:w="140" w:type="dxa"/>
            <w:vAlign w:val="bottom"/>
            <w:shd w:val="clear" w:color="auto" w:fill="CCEEFF"/>
          </w:tcPr>
          <w:p>
            <w:pPr>
              <w:spacing w:after="0"/>
              <w:rPr>
                <w:sz w:val="18"/>
                <w:szCs w:val="18"/>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(178,242)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(164,459)</w:t>
            </w:r>
          </w:p>
        </w:tc>
      </w:tr>
      <w:tr>
        <w:trPr>
          <w:trHeight w:val="230"/>
        </w:trPr>
        <w:tc>
          <w:tcPr>
            <w:tcW w:w="20" w:type="dxa"/>
            <w:vAlign w:val="bottom"/>
          </w:tcPr>
          <w:p>
            <w:pPr>
              <w:spacing w:after="0"/>
              <w:rPr>
                <w:sz w:val="20"/>
                <w:szCs w:val="20"/>
                <w:color w:val="auto"/>
              </w:rPr>
            </w:pPr>
          </w:p>
        </w:tc>
        <w:tc>
          <w:tcPr>
            <w:tcW w:w="7580" w:type="dxa"/>
            <w:vAlign w:val="bottom"/>
          </w:tcPr>
          <w:p>
            <w:pPr>
              <w:ind w:left="1420"/>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(164,459)</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Distributions to Members</w:t>
            </w:r>
          </w:p>
        </w:tc>
        <w:tc>
          <w:tcPr>
            <w:tcW w:w="2220" w:type="dxa"/>
            <w:vAlign w:val="bottom"/>
            <w:gridSpan w:val="3"/>
          </w:tcPr>
          <w:p>
            <w:pPr>
              <w:jc w:val="right"/>
              <w:ind w:right="100"/>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(3,200,000)</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Repayments of Notes Payable</w:t>
            </w:r>
          </w:p>
        </w:tc>
        <w:tc>
          <w:tcPr>
            <w:tcW w:w="2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30"/>
        </w:trPr>
        <w:tc>
          <w:tcPr>
            <w:tcW w:w="20" w:type="dxa"/>
            <w:vAlign w:val="bottom"/>
          </w:tcPr>
          <w:p>
            <w:pPr>
              <w:spacing w:after="0"/>
              <w:rPr>
                <w:sz w:val="20"/>
                <w:szCs w:val="20"/>
                <w:color w:val="auto"/>
              </w:rPr>
            </w:pPr>
          </w:p>
        </w:tc>
        <w:tc>
          <w:tcPr>
            <w:tcW w:w="7580" w:type="dxa"/>
            <w:vAlign w:val="bottom"/>
          </w:tcPr>
          <w:p>
            <w:pPr>
              <w:ind w:left="1420"/>
              <w:spacing w:after="0"/>
              <w:rPr>
                <w:sz w:val="20"/>
                <w:szCs w:val="20"/>
                <w:color w:val="auto"/>
              </w:rPr>
            </w:pPr>
            <w:r>
              <w:rPr>
                <w:rFonts w:ascii="Arial" w:cs="Arial" w:eastAsia="Arial" w:hAnsi="Arial"/>
                <w:sz w:val="18"/>
                <w:szCs w:val="18"/>
                <w:b w:val="1"/>
                <w:bCs w:val="1"/>
                <w:color w:val="auto"/>
              </w:rPr>
              <w:t>NET CASH USED IN FINANCING ACTIVITIES</w:t>
            </w:r>
          </w:p>
        </w:tc>
        <w:tc>
          <w:tcPr>
            <w:tcW w:w="1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(2,002,513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(3,202,515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605,836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(474,549)</w:t>
            </w: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5,368,074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3,681,030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$ 5,973,910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3,206,481</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combined condensed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FQ-43</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Integral Associates Group of Companies includes the following companies: Integral Associates, LLC (“IA”), ABCATM, LLC (ABCATM), and Integral Associates CA, LLC (“IACA”) (collectively,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Prior to 2018, Integral Associates Group of Companies includes the following companies: IA, Integral Associates II, LLC (“IA II”) and ABCATM.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2018, the Company was reorganized to merge IA II into IA and created IACA to hold and operate various entities and operations in California.</w:t>
      </w:r>
    </w:p>
    <w:p>
      <w:pPr>
        <w:spacing w:after="0" w:line="234"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Through IA, the Company leases and operates a 54,000 square foot state-of-the art cultivation and production facility (see “Note 9 – Commitments and Contingencies”). The cultivation operation is controlled by a sophisticated computerized system that manages the cultivation cycle such as water mix, nutrient consumption and temperatures. The production operations produce various products, including concentrates, edibles and disposable electronic vaporizers. All products produced from the cultivation operation and production operations are sold to various dispensaries. IA also owns and operates three strategically located dispensaries in Nevada. The dispensaries are located in Clark County on Tropicana Avenue, in the city of Las Vegas on Las Vegas Boulevard, and in the city of Henderson on Sunset Boulevard.</w:t>
      </w:r>
    </w:p>
    <w:p>
      <w:pPr>
        <w:spacing w:after="0" w:line="178"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Through IACA, the Company intends to own and operate manufacturing, cultivation, distribution and dispensaries in the state of California, which are currently subject to regulatory approval.</w:t>
      </w:r>
    </w:p>
    <w:p>
      <w:pPr>
        <w:spacing w:after="0" w:line="315" w:lineRule="exact"/>
        <w:rPr>
          <w:sz w:val="20"/>
          <w:szCs w:val="20"/>
          <w:color w:val="auto"/>
        </w:rPr>
      </w:pPr>
    </w:p>
    <w:p>
      <w:pPr>
        <w:ind w:left="640" w:hanging="436"/>
        <w:spacing w:after="0"/>
        <w:tabs>
          <w:tab w:leader="none" w:pos="6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12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combined condensed financial statements (the “financial statements”), have been prepared in accordance with accounting principles generally accepted in the United States of America (“GAAP”).</w:t>
      </w:r>
    </w:p>
    <w:p>
      <w:pPr>
        <w:spacing w:after="0" w:line="62" w:lineRule="exact"/>
        <w:rPr>
          <w:rFonts w:ascii="Arial" w:cs="Arial" w:eastAsia="Arial" w:hAnsi="Arial"/>
          <w:sz w:val="18"/>
          <w:szCs w:val="18"/>
          <w:b w:val="1"/>
          <w:bCs w:val="1"/>
          <w:color w:val="auto"/>
        </w:rPr>
      </w:pPr>
    </w:p>
    <w:p>
      <w:pPr>
        <w:ind w:left="120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financial statements do not include all of the information and disclosure required in the annual financial statements, and should be read in conjunction with the Company’s annual audited combined financial statements as of December 31, 2018. The accounting policies and critical estimates applied by the Company in these financial statements are consistent with those applied in the preparation of the Company’s audited combined financial statements as of and for the year ended December 31, 2018, except for the adoption of new accounting policies as describe in this section. The results for the three months ended March 31, 2019 are not necessarily indicative of the operating results for the year ending December 31, 2019, or any other interim or future periods.</w:t>
      </w:r>
    </w:p>
    <w:p>
      <w:pPr>
        <w:spacing w:after="0" w:line="70"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The following are the Company’s subsidiaries that are included in these financial statements as of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-1673860</wp:posOffset>
            </wp:positionV>
            <wp:extent cx="6997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Integral Associates, LLC</w:t>
      </w: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56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Entity</w:t>
            </w:r>
          </w:p>
        </w:tc>
        <w:tc>
          <w:tcPr>
            <w:tcW w:w="16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w w:val="91"/>
              </w:rPr>
              <w:t>Ownership</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Essence Henderson, LLC</w:t>
            </w:r>
          </w:p>
        </w:tc>
        <w:tc>
          <w:tcPr>
            <w:tcW w:w="1620" w:type="dxa"/>
            <w:vAlign w:val="bottom"/>
            <w:shd w:val="clear" w:color="auto" w:fill="CCEEFF"/>
          </w:tcPr>
          <w:p>
            <w:pPr>
              <w:ind w:left="118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Essence LV Blvd, LLC</w:t>
            </w:r>
          </w:p>
        </w:tc>
        <w:tc>
          <w:tcPr>
            <w:tcW w:w="162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Tropicana, LLC</w:t>
            </w:r>
          </w:p>
        </w:tc>
        <w:tc>
          <w:tcPr>
            <w:tcW w:w="1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Integral Production, LLC</w:t>
            </w:r>
          </w:p>
        </w:tc>
        <w:tc>
          <w:tcPr>
            <w:tcW w:w="162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Cultivation, LLC</w:t>
            </w:r>
          </w:p>
        </w:tc>
        <w:tc>
          <w:tcPr>
            <w:tcW w:w="16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Integral Associates (New Jersey Limted Liability Company)</w:t>
            </w:r>
          </w:p>
        </w:tc>
        <w:tc>
          <w:tcPr>
            <w:tcW w:w="162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35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20" w:type="dxa"/>
            <w:vAlign w:val="bottom"/>
          </w:tcPr>
          <w:p>
            <w:pPr>
              <w:ind w:left="3560"/>
              <w:spacing w:after="0"/>
              <w:rPr>
                <w:sz w:val="20"/>
                <w:szCs w:val="20"/>
                <w:color w:val="auto"/>
              </w:rPr>
            </w:pPr>
            <w:r>
              <w:rPr>
                <w:rFonts w:ascii="Arial" w:cs="Arial" w:eastAsia="Arial" w:hAnsi="Arial"/>
                <w:sz w:val="18"/>
                <w:szCs w:val="18"/>
                <w:color w:val="auto"/>
              </w:rPr>
              <w:t>FQ-44</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Integral Associates, LLC</w:t>
      </w: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4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Entity</w:t>
            </w:r>
          </w:p>
        </w:tc>
        <w:tc>
          <w:tcPr>
            <w:tcW w:w="27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w w:val="91"/>
              </w:rPr>
              <w:t>Ownership</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ENJ Acquisitions, LLC</w:t>
            </w:r>
          </w:p>
        </w:tc>
        <w:tc>
          <w:tcPr>
            <w:tcW w:w="2760" w:type="dxa"/>
            <w:vAlign w:val="bottom"/>
            <w:shd w:val="clear" w:color="auto" w:fill="CCEEFF"/>
          </w:tcPr>
          <w:p>
            <w:pPr>
              <w:ind w:left="224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Essence Route 22, LLC</w:t>
            </w:r>
          </w:p>
        </w:tc>
        <w:tc>
          <w:tcPr>
            <w:tcW w:w="2760" w:type="dxa"/>
            <w:vAlign w:val="bottom"/>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Essense WeHo, LLC</w:t>
            </w:r>
          </w:p>
        </w:tc>
        <w:tc>
          <w:tcPr>
            <w:tcW w:w="276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97.5%</w:t>
            </w: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Essence DTLA, LLC</w:t>
            </w:r>
          </w:p>
        </w:tc>
        <w:tc>
          <w:tcPr>
            <w:tcW w:w="2760" w:type="dxa"/>
            <w:vAlign w:val="bottom"/>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La Cienaga, LLC</w:t>
            </w:r>
          </w:p>
        </w:tc>
        <w:tc>
          <w:tcPr>
            <w:tcW w:w="276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Essence Melrose, LLC</w:t>
            </w:r>
          </w:p>
        </w:tc>
        <w:tc>
          <w:tcPr>
            <w:tcW w:w="2760" w:type="dxa"/>
            <w:vAlign w:val="bottom"/>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CC, LLC</w:t>
            </w:r>
          </w:p>
        </w:tc>
        <w:tc>
          <w:tcPr>
            <w:tcW w:w="276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Ant Distribution, LLC</w:t>
            </w:r>
          </w:p>
        </w:tc>
        <w:tc>
          <w:tcPr>
            <w:tcW w:w="2760" w:type="dxa"/>
            <w:vAlign w:val="bottom"/>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Dena, LLC</w:t>
            </w:r>
          </w:p>
        </w:tc>
        <w:tc>
          <w:tcPr>
            <w:tcW w:w="276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107" w:lineRule="exact"/>
        <w:rPr>
          <w:sz w:val="20"/>
          <w:szCs w:val="20"/>
          <w:color w:val="auto"/>
        </w:rPr>
      </w:pPr>
    </w:p>
    <w:p>
      <w:pPr>
        <w:ind w:left="2180" w:hanging="545"/>
        <w:spacing w:after="0"/>
        <w:tabs>
          <w:tab w:leader="none" w:pos="21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 Nevada Limited Liability Company</w:t>
      </w:r>
    </w:p>
    <w:p>
      <w:pPr>
        <w:spacing w:after="0" w:line="23" w:lineRule="exact"/>
        <w:rPr>
          <w:sz w:val="20"/>
          <w:szCs w:val="20"/>
          <w:color w:val="auto"/>
        </w:rPr>
      </w:pPr>
    </w:p>
    <w:p>
      <w:pPr>
        <w:ind w:left="2180" w:hanging="545"/>
        <w:spacing w:after="0"/>
        <w:tabs>
          <w:tab w:leader="none" w:pos="21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 New Jersey Limited Liability Company, for which operations have not commenced as of March 31, 2019</w:t>
      </w:r>
    </w:p>
    <w:p>
      <w:pPr>
        <w:spacing w:after="0" w:line="9" w:lineRule="exact"/>
        <w:rPr>
          <w:rFonts w:ascii="Arial" w:cs="Arial" w:eastAsia="Arial" w:hAnsi="Arial"/>
          <w:sz w:val="18"/>
          <w:szCs w:val="18"/>
          <w:color w:val="auto"/>
        </w:rPr>
      </w:pPr>
    </w:p>
    <w:p>
      <w:pPr>
        <w:ind w:left="2180" w:hanging="545"/>
        <w:spacing w:after="0"/>
        <w:tabs>
          <w:tab w:leader="none" w:pos="21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 California Limited Liability Company, for which operations have not commenced as of March 31, 2019</w:t>
      </w:r>
    </w:p>
    <w:p>
      <w:pPr>
        <w:spacing w:after="0" w:line="112" w:lineRule="exact"/>
        <w:rPr>
          <w:rFonts w:ascii="Arial" w:cs="Arial" w:eastAsia="Arial" w:hAnsi="Arial"/>
          <w:sz w:val="18"/>
          <w:szCs w:val="18"/>
          <w:color w:val="auto"/>
        </w:rPr>
      </w:pPr>
    </w:p>
    <w:p>
      <w:pPr>
        <w:ind w:left="1180" w:hanging="544"/>
        <w:spacing w:after="0"/>
        <w:tabs>
          <w:tab w:leader="none" w:pos="11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Combination</w:t>
      </w:r>
    </w:p>
    <w:p>
      <w:pPr>
        <w:spacing w:after="0" w:line="121" w:lineRule="exact"/>
        <w:rPr>
          <w:rFonts w:ascii="Arial" w:cs="Arial" w:eastAsia="Arial" w:hAnsi="Arial"/>
          <w:sz w:val="18"/>
          <w:szCs w:val="18"/>
          <w:b w:val="1"/>
          <w:bCs w:val="1"/>
          <w:color w:val="auto"/>
        </w:rPr>
      </w:pPr>
    </w:p>
    <w:p>
      <w:pPr>
        <w:ind w:left="12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financial statements include entities which are controlled either through common control or common management. Control exists when the Company has the power, directly and indirectly, to govern the financial and operating policies of an entity and be exposed to the variable returns from its activities. Common management exists when entities operate under the terms of management service agreements. All entities were either under common control or management as of and for the three months ended March 31, 2019 and 2018.</w:t>
      </w:r>
    </w:p>
    <w:p>
      <w:pPr>
        <w:spacing w:after="0" w:line="80" w:lineRule="exact"/>
        <w:rPr>
          <w:rFonts w:ascii="Arial" w:cs="Arial" w:eastAsia="Arial" w:hAnsi="Arial"/>
          <w:sz w:val="18"/>
          <w:szCs w:val="18"/>
          <w:b w:val="1"/>
          <w:bCs w:val="1"/>
          <w:color w:val="auto"/>
        </w:rPr>
      </w:pPr>
    </w:p>
    <w:p>
      <w:pPr>
        <w:ind w:left="12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include the accounts of the Company and its affiliates: IA, IACA and ABCATM. All significant intercompany balances and transactions have been eliminated in combination.</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Cash include cash deposits in financial institutions and cash held at its facilities.</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Allowances</w:t>
      </w:r>
    </w:p>
    <w:p>
      <w:pPr>
        <w:spacing w:after="0" w:line="121" w:lineRule="exact"/>
        <w:rPr>
          <w:rFonts w:ascii="Arial" w:cs="Arial" w:eastAsia="Arial" w:hAnsi="Arial"/>
          <w:sz w:val="18"/>
          <w:szCs w:val="18"/>
          <w:b w:val="1"/>
          <w:bCs w:val="1"/>
          <w:color w:val="auto"/>
        </w:rPr>
      </w:pPr>
    </w:p>
    <w:p>
      <w:pPr>
        <w:jc w:val="both"/>
        <w:ind w:left="1200" w:right="1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Accounts receivable are recorded at the invoiced amount and do not bear interest. An allowance for doubtful accounts is recorded for any amounts deemed uncollectable. The Company reviews all outstanding accounts receivable for collectability on a quarterly basis and does not accrue interest receivable on past due accounts receivable. At December 31, 2018, the Company recorded an allowance of $29,615.</w:t>
      </w: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There was no allowance for the three months ended March 31, 2019.</w:t>
      </w:r>
    </w:p>
    <w:p>
      <w:pPr>
        <w:spacing w:after="0" w:line="112"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Inventories of purchased finished goods and packing materials are initially valued at cost and subsequently at the lower of cost and net realizable value. Costs incurred during the growing and production process are capitalized as incurred to the extent that cost is less than net realizable value. These costs include materials, labor and manufacturing overhead used in the growing and production</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FQ-45</w:t>
      </w:r>
    </w:p>
    <w:p>
      <w:pPr>
        <w:sectPr>
          <w:pgSz w:w="11900" w:h="16838" w:orient="portrait"/>
          <w:cols w:equalWidth="0" w:num="1">
            <w:col w:w="11220"/>
          </w:cols>
          <w:pgMar w:left="24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(continued)</w:t>
      </w:r>
    </w:p>
    <w:p>
      <w:pPr>
        <w:spacing w:after="0" w:line="27" w:lineRule="exact"/>
        <w:rPr>
          <w:rFonts w:ascii="Arial" w:cs="Arial" w:eastAsia="Arial" w:hAnsi="Arial"/>
          <w:sz w:val="18"/>
          <w:szCs w:val="18"/>
          <w:b w:val="1"/>
          <w:bCs w:val="1"/>
          <w:color w:val="auto"/>
        </w:rPr>
      </w:pPr>
    </w:p>
    <w:p>
      <w:pPr>
        <w:ind w:left="1200"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processes. Net realizable value is determined as the estimated selling price in the ordinary course of business less the estimated costs of completion and the estimated costs necessary to make the sale. Cost is determined using the weighted average cost basis. The Company reviews inventories for obsolete, redundant and slow moving goods and any such inventories identified are written down to net realizable value. At December 31, 2018 and March 31, 2019, there were no reserves for inventories required.</w:t>
      </w:r>
    </w:p>
    <w:p>
      <w:pPr>
        <w:spacing w:after="0" w:line="7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120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investments under ASC 323, “Investment – Equity Method and Joint Ventures”. Investments are first evaluated if whether an investor has the ability to exercise significant influence. Significant influence is defined as the following: a) significant direct or indirect holding of the outstanding voting securities with more than 20 percent; b) representation on the board of directors; c) participation in the policy-making processes; d) significant intercompany transactions; e) technology dependency; f) investee dependence on the investor; g) interchange of managerial personal and g) extent of ownership by an investor in relation to the concentration of other shareholders. Investments in joint venture with significant influence are accounted for using the equity method of accounting. Interests in joint venture accounted for using the equity method are initially recognized at cost. Subsequent adjustments should be made through recognition in the profit-and-losses and through recognition in shareholders’ equity for other post-acquisition changes in the investee’s net assets. During the year ended December 31, 2017, the Company’s prior investment in a joint venture was dissolved. Accordingly, the Company has no investments as of March 31, 2019 and December 31, 2018.</w:t>
      </w:r>
    </w:p>
    <w:p>
      <w:pPr>
        <w:spacing w:after="0" w:line="7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120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Property and equipment is stated at cost,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-3169920</wp:posOffset>
            </wp:positionV>
            <wp:extent cx="6997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04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6"/>
              </w:rPr>
              <w:t>5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1"/>
              </w:rPr>
              <w:t>Remaining Life of the Lease</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404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8"/>
              </w:rPr>
              <w:t>5 - 7 Years</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Automobiles</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86"/>
              </w:rPr>
              <w:t>5 Years</w:t>
            </w:r>
          </w:p>
        </w:tc>
      </w:tr>
    </w:tbl>
    <w:p>
      <w:pPr>
        <w:spacing w:after="0" w:line="187" w:lineRule="exact"/>
        <w:rPr>
          <w:sz w:val="20"/>
          <w:szCs w:val="20"/>
          <w:color w:val="auto"/>
        </w:rPr>
      </w:pPr>
    </w:p>
    <w:p>
      <w:pPr>
        <w:ind w:left="1200" w:right="40"/>
        <w:spacing w:after="0" w:line="279" w:lineRule="auto"/>
        <w:rPr>
          <w:sz w:val="20"/>
          <w:szCs w:val="20"/>
          <w:color w:val="auto"/>
        </w:rPr>
      </w:pPr>
      <w:r>
        <w:rPr>
          <w:rFonts w:ascii="Arial" w:cs="Arial" w:eastAsia="Arial" w:hAnsi="Arial"/>
          <w:sz w:val="17"/>
          <w:szCs w:val="17"/>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Combined statements of income in the year the asset is derecognized.</w:t>
      </w:r>
    </w:p>
    <w:p>
      <w:pPr>
        <w:spacing w:after="0" w:line="73" w:lineRule="exact"/>
        <w:rPr>
          <w:sz w:val="20"/>
          <w:szCs w:val="20"/>
          <w:color w:val="auto"/>
        </w:rPr>
      </w:pPr>
    </w:p>
    <w:p>
      <w:pPr>
        <w:ind w:left="1180" w:hanging="544"/>
        <w:spacing w:after="0"/>
        <w:tabs>
          <w:tab w:leader="none" w:pos="118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lease of property and equipment is classified as a capital lease if it transfers substantially all the risks and awards incidental to ownership to the Company. A lease of property and equipment is classified as an operating lease whenever the terms of the lease do not transfer substantially all of the risks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FQ-46</w:t>
      </w:r>
    </w:p>
    <w:p>
      <w:pPr>
        <w:sectPr>
          <w:pgSz w:w="11900" w:h="16838" w:orient="portrait"/>
          <w:cols w:equalWidth="0" w:num="1">
            <w:col w:w="11220"/>
          </w:cols>
          <w:pgMar w:left="240" w:top="460"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Leased Assets </w:t>
      </w:r>
      <w:r>
        <w:rPr>
          <w:rFonts w:ascii="Arial" w:cs="Arial" w:eastAsia="Arial" w:hAnsi="Arial"/>
          <w:sz w:val="18"/>
          <w:szCs w:val="18"/>
          <w:color w:val="auto"/>
        </w:rPr>
        <w:t>(continued)</w:t>
      </w:r>
    </w:p>
    <w:p>
      <w:pPr>
        <w:spacing w:after="0" w:line="27" w:lineRule="exact"/>
        <w:rPr>
          <w:rFonts w:ascii="Arial" w:cs="Arial" w:eastAsia="Arial" w:hAnsi="Arial"/>
          <w:sz w:val="18"/>
          <w:szCs w:val="18"/>
          <w:b w:val="1"/>
          <w:bCs w:val="1"/>
          <w:color w:val="auto"/>
        </w:rPr>
      </w:pPr>
    </w:p>
    <w:p>
      <w:pPr>
        <w:ind w:left="1200" w:right="2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rewards of ownership to the lessee. Lease payments are recognized as an expense on a straight-line basis over the lease term, except where another systematic basis is more representative of the time pattern in which the economic benefits are consumed.</w:t>
      </w:r>
    </w:p>
    <w:p>
      <w:pPr>
        <w:spacing w:after="0" w:line="63"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Cost of Goods Sold</w:t>
      </w:r>
    </w:p>
    <w:p>
      <w:pPr>
        <w:spacing w:after="0" w:line="121" w:lineRule="exact"/>
        <w:rPr>
          <w:rFonts w:ascii="Arial" w:cs="Arial" w:eastAsia="Arial" w:hAnsi="Arial"/>
          <w:sz w:val="18"/>
          <w:szCs w:val="18"/>
          <w:b w:val="1"/>
          <w:bCs w:val="1"/>
          <w:color w:val="auto"/>
        </w:rPr>
      </w:pPr>
    </w:p>
    <w:p>
      <w:pPr>
        <w:ind w:left="120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Cost of goods sold includes costs directly attributable to product sales and includes amounts paid for finished goods, such as flower, edibles and concentrates, as well as production and processing costs, packaging and other supplies, fees for services and processing, other expenses for services, and allocated overhead.</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w:t>
      </w:r>
    </w:p>
    <w:p>
      <w:pPr>
        <w:spacing w:after="0" w:line="121" w:lineRule="exact"/>
        <w:rPr>
          <w:rFonts w:ascii="Arial" w:cs="Arial" w:eastAsia="Arial" w:hAnsi="Arial"/>
          <w:sz w:val="18"/>
          <w:szCs w:val="18"/>
          <w:b w:val="1"/>
          <w:bCs w:val="1"/>
          <w:color w:val="auto"/>
        </w:rPr>
      </w:pPr>
    </w:p>
    <w:p>
      <w:pPr>
        <w:ind w:left="120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Sales and marketing costs are expensed as incurred. Costs associated with sales and marketing were $317,566 and $239,494 for the three months ended March 31, 2019 and 2018, respectively.</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Shipping</w:t>
      </w:r>
    </w:p>
    <w:p>
      <w:pPr>
        <w:spacing w:after="0" w:line="121" w:lineRule="exact"/>
        <w:rPr>
          <w:rFonts w:ascii="Arial" w:cs="Arial" w:eastAsia="Arial" w:hAnsi="Arial"/>
          <w:sz w:val="18"/>
          <w:szCs w:val="18"/>
          <w:b w:val="1"/>
          <w:bCs w:val="1"/>
          <w:color w:val="auto"/>
        </w:rPr>
      </w:pPr>
    </w:p>
    <w:p>
      <w:pPr>
        <w:ind w:left="120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uses a third party distributor in addition to its own delivery to deliver its products to third-party dispensaries. Costs associated with shipping totaling $160,497 and $140,521 have been included as part of cost of goods sold for the three months ended March 31, 2019 and 2018, respectively.</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Effective January 1, 2019, the Company adopted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57"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2280" w:hanging="537"/>
        <w:spacing w:after="0"/>
        <w:tabs>
          <w:tab w:leader="none" w:pos="228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2280" w:hanging="537"/>
        <w:spacing w:after="0"/>
        <w:tabs>
          <w:tab w:leader="none" w:pos="228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2280" w:right="460" w:hanging="537"/>
        <w:spacing w:after="0" w:line="277" w:lineRule="auto"/>
        <w:tabs>
          <w:tab w:leader="none" w:pos="228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2280" w:hanging="537"/>
        <w:spacing w:after="0"/>
        <w:tabs>
          <w:tab w:leader="none" w:pos="228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2280" w:hanging="537"/>
        <w:spacing w:after="0"/>
        <w:tabs>
          <w:tab w:leader="none" w:pos="228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-4563745</wp:posOffset>
            </wp:positionV>
            <wp:extent cx="6997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right="100"/>
        <w:spacing w:after="0" w:line="259" w:lineRule="auto"/>
        <w:rPr>
          <w:sz w:val="20"/>
          <w:szCs w:val="20"/>
          <w:color w:val="auto"/>
        </w:rPr>
      </w:pPr>
      <w:r>
        <w:rPr>
          <w:rFonts w:ascii="Arial" w:cs="Arial" w:eastAsia="Arial" w:hAnsi="Arial"/>
          <w:sz w:val="18"/>
          <w:szCs w:val="18"/>
          <w:color w:val="auto"/>
        </w:rPr>
        <w:t>Revenue consist of wholesale and retail sales of cannabis, which are generally recognized at a point in time when control over the goods have been transferred to the customer and is recorded net of sales discounts. Payment is typically due upon transferring the goods to the customer or within a specific time period permitted under the Company’s credit policy. Sales discounts were not material during the three months ended in March 31, 2019 and 2018, respectively.</w:t>
      </w:r>
    </w:p>
    <w:p>
      <w:pPr>
        <w:spacing w:after="0" w:line="79" w:lineRule="exact"/>
        <w:rPr>
          <w:sz w:val="20"/>
          <w:szCs w:val="20"/>
          <w:color w:val="auto"/>
        </w:rPr>
      </w:pPr>
    </w:p>
    <w:p>
      <w:pPr>
        <w:ind w:left="120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FQ-47</w:t>
      </w:r>
    </w:p>
    <w:p>
      <w:pPr>
        <w:sectPr>
          <w:pgSz w:w="11900" w:h="16838" w:orient="portrait"/>
          <w:cols w:equalWidth="0" w:num="1">
            <w:col w:w="11200"/>
          </w:cols>
          <w:pgMar w:left="240" w:top="460"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Loyalty Reward Program</w:t>
      </w:r>
    </w:p>
    <w:p>
      <w:pPr>
        <w:spacing w:after="0" w:line="121" w:lineRule="exact"/>
        <w:rPr>
          <w:rFonts w:ascii="Arial" w:cs="Arial" w:eastAsia="Arial" w:hAnsi="Arial"/>
          <w:sz w:val="18"/>
          <w:szCs w:val="18"/>
          <w:b w:val="1"/>
          <w:bCs w:val="1"/>
          <w:color w:val="auto"/>
        </w:rPr>
      </w:pPr>
    </w:p>
    <w:p>
      <w:pPr>
        <w:ind w:left="1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offers a loyalty reward program to its dispensary customers. Customers receive one point for every dollar purchase they make. For every 33 points, a customer earns $1 dollar towards their next purchase. The Company’s loyalty point liability totaled $696,211 and $535,388 at March 31, 2019 and December 31, 2018, respectively. Loyalty point liability is included in accrued liabilities.</w:t>
      </w:r>
    </w:p>
    <w:p>
      <w:pPr>
        <w:spacing w:after="0" w:line="4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12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members have elected to have the Company treated as a partnership for income tax purpose. As such, all the Company’s items of income, loss, deduction, and credit are passed through to, and taken into account by, the Company’s members in computing their own taxable income.</w:t>
      </w:r>
    </w:p>
    <w:p>
      <w:pPr>
        <w:spacing w:after="0" w:line="73" w:lineRule="exact"/>
        <w:rPr>
          <w:rFonts w:ascii="Arial" w:cs="Arial" w:eastAsia="Arial" w:hAnsi="Arial"/>
          <w:sz w:val="18"/>
          <w:szCs w:val="18"/>
          <w:b w:val="1"/>
          <w:bCs w:val="1"/>
          <w:color w:val="auto"/>
        </w:rPr>
      </w:pPr>
    </w:p>
    <w:p>
      <w:pPr>
        <w:ind w:left="120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Company operates in the cannabis industry, it is subject to the limits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120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the combined financial instruments, include accounts receivable, accounts payable and accrued liabilities, approximate fair value due to the short maturity of these instruments. The carrying amounts of long-term debt approximate fair value because the interest rates fluctuate with market interest rates or the fix rate are based on current rates received by the Company for instruments with similar terms and maturities.</w:t>
      </w:r>
    </w:p>
    <w:p>
      <w:pPr>
        <w:spacing w:after="0" w:line="78" w:lineRule="exact"/>
        <w:rPr>
          <w:rFonts w:ascii="Arial" w:cs="Arial" w:eastAsia="Arial" w:hAnsi="Arial"/>
          <w:sz w:val="18"/>
          <w:szCs w:val="18"/>
          <w:b w:val="1"/>
          <w:bCs w:val="1"/>
          <w:color w:val="auto"/>
        </w:rPr>
      </w:pPr>
    </w:p>
    <w:p>
      <w:pPr>
        <w:ind w:left="120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unaudited combined condensed financial statements.</w:t>
      </w:r>
    </w:p>
    <w:p>
      <w:pPr>
        <w:spacing w:after="0" w:line="38" w:lineRule="exact"/>
        <w:rPr>
          <w:rFonts w:ascii="Arial" w:cs="Arial" w:eastAsia="Arial" w:hAnsi="Arial"/>
          <w:sz w:val="18"/>
          <w:szCs w:val="18"/>
          <w:b w:val="1"/>
          <w:bCs w:val="1"/>
          <w:color w:val="auto"/>
        </w:rPr>
      </w:pPr>
    </w:p>
    <w:p>
      <w:pPr>
        <w:ind w:left="12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75" w:lineRule="exact"/>
        <w:rPr>
          <w:rFonts w:ascii="Arial" w:cs="Arial" w:eastAsia="Arial" w:hAnsi="Arial"/>
          <w:sz w:val="18"/>
          <w:szCs w:val="18"/>
          <w:b w:val="1"/>
          <w:bCs w:val="1"/>
          <w:color w:val="auto"/>
        </w:rPr>
      </w:pPr>
    </w:p>
    <w:p>
      <w:pPr>
        <w:ind w:left="1240" w:right="438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or liabilities; Unadjusted</w:t>
      </w:r>
    </w:p>
    <w:p>
      <w:pPr>
        <w:spacing w:after="0" w:line="75" w:lineRule="exact"/>
        <w:rPr>
          <w:rFonts w:ascii="Arial" w:cs="Arial" w:eastAsia="Arial" w:hAnsi="Arial"/>
          <w:sz w:val="18"/>
          <w:szCs w:val="18"/>
          <w:b w:val="1"/>
          <w:bCs w:val="1"/>
          <w:color w:val="auto"/>
        </w:rPr>
      </w:pPr>
    </w:p>
    <w:p>
      <w:pPr>
        <w:ind w:left="1240" w:right="174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 – other than quoted prices that are observable for the asset or liability, either directly or indirectly; and Inputs</w:t>
      </w:r>
    </w:p>
    <w:p>
      <w:pPr>
        <w:spacing w:after="0" w:line="75" w:lineRule="exact"/>
        <w:rPr>
          <w:rFonts w:ascii="Arial" w:cs="Arial" w:eastAsia="Arial" w:hAnsi="Arial"/>
          <w:sz w:val="18"/>
          <w:szCs w:val="18"/>
          <w:b w:val="1"/>
          <w:bCs w:val="1"/>
          <w:color w:val="auto"/>
        </w:rPr>
      </w:pPr>
    </w:p>
    <w:p>
      <w:pPr>
        <w:ind w:left="1240" w:right="400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 for the asset or liability that are not based on observable market data. Inputs</w:t>
      </w:r>
    </w:p>
    <w:p>
      <w:pPr>
        <w:spacing w:after="0" w:line="62"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There have been no transfers between fair value levels during the three months ended March 31, 2019 and 2018.</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Risk</w:t>
      </w:r>
    </w:p>
    <w:p>
      <w:pPr>
        <w:spacing w:after="0" w:line="121" w:lineRule="exact"/>
        <w:rPr>
          <w:rFonts w:ascii="Arial" w:cs="Arial" w:eastAsia="Arial" w:hAnsi="Arial"/>
          <w:sz w:val="18"/>
          <w:szCs w:val="18"/>
          <w:b w:val="1"/>
          <w:bCs w:val="1"/>
          <w:color w:val="auto"/>
        </w:rPr>
      </w:pPr>
    </w:p>
    <w:p>
      <w:pPr>
        <w:ind w:left="120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significant concentrations of risk consists of cash. The Company maintains its cash with high-credit, quality financial institutions. At times, such deposits may be in excess of amounts insured by the Federal Deposit Insurance Corporation, up to $250,000 per bank. As of March 31, 2019, the Company has approximately $5,015,000 in excess of FDIC limit. The Company has not experienced any losses in such accounts and believes that is not exposed to any significant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-5669915</wp:posOffset>
            </wp:positionV>
            <wp:extent cx="6997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FQ-48</w:t>
      </w:r>
    </w:p>
    <w:p>
      <w:pPr>
        <w:sectPr>
          <w:pgSz w:w="11900" w:h="16838" w:orient="portrait"/>
          <w:cols w:equalWidth="0" w:num="1">
            <w:col w:w="11140"/>
          </w:cols>
          <w:pgMar w:left="240" w:top="459" w:right="5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1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unaudited combined condensed financial statements and accompanying notes and related disclosures. Although these estimates are based on management’s best knowledge of current events and actions the Company may undertake in the future, actual results ultimately may differ from the estimates. Such estimates include the allowance in doubtful accounts, inventory related assumptions, loyalty program liability and useful lives and depreciation for property and equipment.</w:t>
      </w:r>
    </w:p>
    <w:p>
      <w:pPr>
        <w:spacing w:after="0" w:line="64"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a number of risks similar to those of other companies of similar size and having a focus on serving the cannabis industry, including limited number of suppliers, acquisitions and integration, and government regulations.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Pronouncements Applicable in Future Years</w:t>
      </w:r>
    </w:p>
    <w:p>
      <w:pPr>
        <w:spacing w:after="0" w:line="134" w:lineRule="exact"/>
        <w:rPr>
          <w:rFonts w:ascii="Arial" w:cs="Arial" w:eastAsia="Arial" w:hAnsi="Arial"/>
          <w:sz w:val="18"/>
          <w:szCs w:val="18"/>
          <w:b w:val="1"/>
          <w:bCs w:val="1"/>
          <w:color w:val="auto"/>
        </w:rPr>
      </w:pPr>
    </w:p>
    <w:p>
      <w:pPr>
        <w:ind w:left="1620" w:right="20" w:hanging="430"/>
        <w:spacing w:after="0" w:line="273" w:lineRule="auto"/>
        <w:tabs>
          <w:tab w:leader="none" w:pos="1620" w:val="left"/>
        </w:tabs>
        <w:numPr>
          <w:ilvl w:val="2"/>
          <w:numId w:val="304"/>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ASU No. 2017-04 “Intangibles—Goodwill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83" w:lineRule="exact"/>
        <w:rPr>
          <w:rFonts w:ascii="Arial" w:cs="Arial" w:eastAsia="Arial" w:hAnsi="Arial"/>
          <w:sz w:val="17"/>
          <w:szCs w:val="17"/>
          <w:i w:val="1"/>
          <w:iCs w:val="1"/>
          <w:color w:val="auto"/>
        </w:rPr>
      </w:pPr>
    </w:p>
    <w:p>
      <w:pPr>
        <w:ind w:left="1620" w:right="100" w:hanging="430"/>
        <w:spacing w:after="0" w:line="291" w:lineRule="auto"/>
        <w:tabs>
          <w:tab w:leader="none" w:pos="1620" w:val="left"/>
        </w:tabs>
        <w:numPr>
          <w:ilvl w:val="2"/>
          <w:numId w:val="304"/>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ASU No. 2016-02 “Leases (Topic 842)” (“ASU 2016-02”), which requires lessees to put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2021. Early adoption of ASU 2016-02 is permitted; however the Company plans to adopt the standard in the first quarter of 2021. The Company has completed its analysis of the impact of the adoption of ASU 2016-02 and expects to recognize material right-of-use assets and leased liabilities.</w:t>
      </w:r>
    </w:p>
    <w:p>
      <w:pPr>
        <w:spacing w:after="0" w:line="311" w:lineRule="exact"/>
        <w:rPr>
          <w:rFonts w:ascii="Arial" w:cs="Arial" w:eastAsia="Arial" w:hAnsi="Arial"/>
          <w:sz w:val="16"/>
          <w:szCs w:val="16"/>
          <w:i w:val="1"/>
          <w:iCs w:val="1"/>
          <w:color w:val="auto"/>
        </w:rPr>
      </w:pPr>
    </w:p>
    <w:p>
      <w:pPr>
        <w:ind w:left="640" w:hanging="436"/>
        <w:spacing w:after="0"/>
        <w:tabs>
          <w:tab w:leader="none" w:pos="6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-3849370</wp:posOffset>
            </wp:positionV>
            <wp:extent cx="6997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accounts receivables include the following at March 31, 2019 and December 31, 2018:</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(Unaudited)</w:t>
            </w:r>
          </w:p>
        </w:tc>
        <w:tc>
          <w:tcPr>
            <w:tcW w:w="5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(Audited)</w:t>
            </w: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5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660" w:type="dxa"/>
            <w:vAlign w:val="bottom"/>
            <w:gridSpan w:val="2"/>
          </w:tcPr>
          <w:p>
            <w:pPr>
              <w:jc w:val="center"/>
              <w:ind w:left="2736"/>
              <w:spacing w:after="0"/>
              <w:rPr>
                <w:sz w:val="20"/>
                <w:szCs w:val="20"/>
                <w:color w:val="auto"/>
              </w:rPr>
            </w:pPr>
            <w:r>
              <w:rPr>
                <w:rFonts w:ascii="Arial" w:cs="Arial" w:eastAsia="Arial" w:hAnsi="Arial"/>
                <w:sz w:val="14"/>
                <w:szCs w:val="14"/>
                <w:b w:val="1"/>
                <w:bCs w:val="1"/>
                <w:color w:val="auto"/>
                <w:w w:val="89"/>
              </w:rPr>
              <w:t>2019</w:t>
            </w:r>
          </w:p>
        </w:tc>
        <w:tc>
          <w:tcPr>
            <w:tcW w:w="1400" w:type="dxa"/>
            <w:vAlign w:val="bottom"/>
            <w:gridSpan w:val="2"/>
          </w:tcPr>
          <w:p>
            <w:pPr>
              <w:jc w:val="center"/>
              <w:ind w:left="456"/>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Receivables</w:t>
            </w:r>
          </w:p>
        </w:tc>
        <w:tc>
          <w:tcPr>
            <w:tcW w:w="2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$1,285,406</w:t>
            </w:r>
          </w:p>
        </w:tc>
        <w:tc>
          <w:tcPr>
            <w:tcW w:w="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$ 1,455,062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Allowance of Receivables</w:t>
            </w:r>
          </w:p>
        </w:tc>
        <w:tc>
          <w:tcPr>
            <w:tcW w:w="284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(29,615)</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16,292</w:t>
            </w:r>
          </w:p>
        </w:tc>
        <w:tc>
          <w:tcPr>
            <w:tcW w:w="120" w:type="dxa"/>
            <w:vAlign w:val="bottom"/>
            <w:shd w:val="clear" w:color="auto" w:fill="CCEEFF"/>
          </w:tcPr>
          <w:p>
            <w:pPr>
              <w:spacing w:after="0"/>
              <w:rPr>
                <w:sz w:val="18"/>
                <w:szCs w:val="18"/>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Total Accounts Receivables, Net</w:t>
            </w:r>
          </w:p>
        </w:tc>
        <w:tc>
          <w:tcPr>
            <w:tcW w:w="2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1,305,139</w:t>
            </w:r>
          </w:p>
        </w:tc>
        <w:tc>
          <w:tcPr>
            <w:tcW w:w="5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$ 1,441,739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60" w:type="dxa"/>
            <w:vAlign w:val="bottom"/>
            <w:gridSpan w:val="2"/>
          </w:tcPr>
          <w:p>
            <w:pPr>
              <w:jc w:val="right"/>
              <w:ind w:right="2357"/>
              <w:spacing w:after="0"/>
              <w:rPr>
                <w:sz w:val="20"/>
                <w:szCs w:val="20"/>
                <w:color w:val="auto"/>
              </w:rPr>
            </w:pPr>
            <w:r>
              <w:rPr>
                <w:rFonts w:ascii="Arial" w:cs="Arial" w:eastAsia="Arial" w:hAnsi="Arial"/>
                <w:sz w:val="18"/>
                <w:szCs w:val="18"/>
                <w:color w:val="auto"/>
              </w:rPr>
              <w:t>FQ-49</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00"/>
          </w:cols>
          <w:pgMar w:left="240" w:top="460"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67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gridSpan w:val="2"/>
          </w:tcPr>
          <w:p>
            <w:pPr>
              <w:spacing w:after="0"/>
              <w:rPr>
                <w:sz w:val="5"/>
                <w:szCs w:val="5"/>
                <w:color w:val="auto"/>
              </w:rPr>
            </w:pPr>
          </w:p>
        </w:tc>
        <w:tc>
          <w:tcPr>
            <w:tcW w:w="57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60" w:type="dxa"/>
            <w:vAlign w:val="bottom"/>
            <w:gridSpan w:val="4"/>
          </w:tcPr>
          <w:p>
            <w:pPr>
              <w:spacing w:after="0"/>
              <w:rPr>
                <w:sz w:val="20"/>
                <w:szCs w:val="20"/>
                <w:color w:val="auto"/>
              </w:rPr>
            </w:pPr>
            <w:r>
              <w:rPr>
                <w:rFonts w:ascii="Arial" w:cs="Arial" w:eastAsia="Arial" w:hAnsi="Arial"/>
                <w:sz w:val="18"/>
                <w:szCs w:val="18"/>
                <w:color w:val="auto"/>
                <w:w w:val="95"/>
              </w:rPr>
              <w:t>The Company’s inventories include the following at March 31, 2019 and December 31, 2018:</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5"/>
              </w:rPr>
              <w:t>(Unaudited)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(Audited)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4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$ 1,436,422</w:t>
            </w: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rPr>
              <w:t>$ 1,593,457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supplies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493,652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438,028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8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1,930,074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2,031,485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Work-in-Progress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4,109,444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3,255,692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1,987,860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3,192,083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$ 8,027,378</w:t>
            </w:r>
          </w:p>
        </w:tc>
        <w:tc>
          <w:tcPr>
            <w:tcW w:w="15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$ 8,479,260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w:t>
            </w:r>
          </w:p>
        </w:tc>
        <w:tc>
          <w:tcPr>
            <w:tcW w:w="67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gridSpan w:val="2"/>
            <w:vMerge w:val="continue"/>
          </w:tcPr>
          <w:p>
            <w:pPr>
              <w:spacing w:after="0"/>
              <w:rPr>
                <w:sz w:val="24"/>
                <w:szCs w:val="24"/>
                <w:color w:val="auto"/>
              </w:rPr>
            </w:pPr>
          </w:p>
        </w:tc>
        <w:tc>
          <w:tcPr>
            <w:tcW w:w="67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8180" w:type="dxa"/>
            <w:vAlign w:val="bottom"/>
            <w:tcBorders>
              <w:bottom w:val="single" w:sz="8" w:color="auto"/>
            </w:tcBorders>
            <w:gridSpan w:val="5"/>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200" w:type="dxa"/>
            <w:vAlign w:val="bottom"/>
            <w:gridSpan w:val="6"/>
          </w:tcPr>
          <w:p>
            <w:pPr>
              <w:spacing w:after="0"/>
              <w:rPr>
                <w:sz w:val="20"/>
                <w:szCs w:val="20"/>
                <w:color w:val="auto"/>
              </w:rPr>
            </w:pPr>
            <w:r>
              <w:rPr>
                <w:rFonts w:ascii="Arial" w:cs="Arial" w:eastAsia="Arial" w:hAnsi="Arial"/>
                <w:sz w:val="18"/>
                <w:szCs w:val="18"/>
                <w:color w:val="auto"/>
                <w:w w:val="94"/>
              </w:rPr>
              <w:t>The Company’s property and equipment consists of the following at March 31, 2019 and December 31, 2018: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(Unaudited)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6,767,004</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6,724,286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Manufacturing Equipment</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3,441,667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3,381,107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Automobiles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55,755</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Property and Equipment, Gross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10,372,281</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10,257,153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(3,983,849)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(3,496,106)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6,388,432</w:t>
            </w: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6,761,047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Depreciation expense for the three months ended March 31, 2019 and 2018, totaled $511,986 and $493,015, of which $328,475 and $323,223, respectively, was included in cost of goods sold.</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6.</w:t>
            </w:r>
          </w:p>
        </w:tc>
        <w:tc>
          <w:tcPr>
            <w:tcW w:w="8120" w:type="dxa"/>
            <w:vAlign w:val="bottom"/>
          </w:tcPr>
          <w:p>
            <w:pPr>
              <w:ind w:left="280"/>
              <w:spacing w:after="0"/>
              <w:rPr>
                <w:sz w:val="20"/>
                <w:szCs w:val="20"/>
                <w:color w:val="auto"/>
              </w:rPr>
            </w:pPr>
            <w:r>
              <w:rPr>
                <w:rFonts w:ascii="Arial" w:cs="Arial" w:eastAsia="Arial" w:hAnsi="Arial"/>
                <w:sz w:val="18"/>
                <w:szCs w:val="18"/>
                <w:b w:val="1"/>
                <w:bCs w:val="1"/>
                <w:color w:val="auto"/>
              </w:rPr>
              <w:t>NOTES PAYABLE</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8260" w:type="dxa"/>
            <w:vAlign w:val="bottom"/>
            <w:tcBorders>
              <w:bottom w:val="single" w:sz="8" w:color="auto"/>
            </w:tcBorders>
            <w:gridSpan w:val="2"/>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280" w:type="dxa"/>
            <w:vAlign w:val="bottom"/>
            <w:gridSpan w:val="3"/>
          </w:tcPr>
          <w:p>
            <w:pPr>
              <w:spacing w:after="0"/>
              <w:rPr>
                <w:sz w:val="20"/>
                <w:szCs w:val="20"/>
                <w:color w:val="auto"/>
              </w:rPr>
            </w:pPr>
            <w:r>
              <w:rPr>
                <w:rFonts w:ascii="Arial" w:cs="Arial" w:eastAsia="Arial" w:hAnsi="Arial"/>
                <w:sz w:val="18"/>
                <w:szCs w:val="18"/>
                <w:color w:val="auto"/>
              </w:rPr>
              <w:t>The Company’s notes payable includes the following at March 31, 2019 and December 31, 2018: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560" w:type="dxa"/>
            <w:vAlign w:val="bottom"/>
            <w:gridSpan w:val="4"/>
          </w:tcPr>
          <w:p>
            <w:pPr>
              <w:ind w:left="580"/>
              <w:spacing w:after="0"/>
              <w:rPr>
                <w:sz w:val="20"/>
                <w:szCs w:val="20"/>
                <w:color w:val="auto"/>
              </w:rPr>
            </w:pPr>
            <w:r>
              <w:rPr>
                <w:rFonts w:ascii="Arial" w:cs="Arial" w:eastAsia="Arial" w:hAnsi="Arial"/>
                <w:sz w:val="14"/>
                <w:szCs w:val="14"/>
                <w:color w:val="auto"/>
              </w:rPr>
              <w:t>(Unaudited)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7"/>
              </w:rPr>
              <w:t>Automobile Loan—Secured promissory note issued for $20,107, which matures on February 18, 2020, and</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 bearing.</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2"/>
          </w:tcPr>
          <w:p>
            <w:pPr>
              <w:spacing w:after="0" w:line="201" w:lineRule="exact"/>
              <w:rPr>
                <w:sz w:val="20"/>
                <w:szCs w:val="20"/>
                <w:color w:val="auto"/>
              </w:rPr>
            </w:pPr>
            <w:r>
              <w:rPr>
                <w:rFonts w:ascii="Arial" w:cs="Arial" w:eastAsia="Arial" w:hAnsi="Arial"/>
                <w:sz w:val="18"/>
                <w:szCs w:val="18"/>
                <w:color w:val="auto"/>
                <w:w w:val="98"/>
              </w:rPr>
              <w:t>Automobile Loan—Secured promissory note issued for $20,107, which matures on August 27, 2020, and</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non-interest bearing.</w:t>
            </w: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(9,634)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120" w:type="dxa"/>
            <w:vAlign w:val="bottom"/>
            <w:vMerge w:val="restart"/>
          </w:tcPr>
          <w:p>
            <w:pPr>
              <w:ind w:left="5120"/>
              <w:spacing w:after="0"/>
              <w:rPr>
                <w:sz w:val="20"/>
                <w:szCs w:val="20"/>
                <w:color w:val="auto"/>
              </w:rPr>
            </w:pPr>
            <w:r>
              <w:rPr>
                <w:rFonts w:ascii="Arial" w:cs="Arial" w:eastAsia="Arial" w:hAnsi="Arial"/>
                <w:sz w:val="18"/>
                <w:szCs w:val="18"/>
                <w:color w:val="auto"/>
              </w:rPr>
              <w:t>FQ-50</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Allocations of profits and losses for each fiscal year are allocated pro rata in proportion to the member’s capital interest. There are no members units. No member has the right to transfer any or part of their membership interest without the express written permission of a vote of members.</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For the three months ended March 31, 2019 and 2018, the Company distributed $2,000,000 and $3,200,000, respectively, in cash to the members of the Company.</w:t>
      </w:r>
    </w:p>
    <w:p>
      <w:pPr>
        <w:spacing w:after="0" w:line="315" w:lineRule="exact"/>
        <w:rPr>
          <w:sz w:val="20"/>
          <w:szCs w:val="20"/>
          <w:color w:val="auto"/>
        </w:rPr>
      </w:pPr>
    </w:p>
    <w:p>
      <w:pPr>
        <w:ind w:left="640" w:hanging="436"/>
        <w:spacing w:after="0"/>
        <w:tabs>
          <w:tab w:leader="none" w:pos="6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The Company started a joint venture during 2016 with an unaffiliated company in 50/50 ownership structure. The joint venture entity provides extraction and production of various cannabis related products. The Company used the equity method to account for its investment in the joint venture. Accordingly, the Company’s combined results of operations include its proportionate share of the net income or loss of the joint venture. There was no activity during 2016, thus, the Company had no remaining carrying value in the joint venture at December 31, 2016.</w:t>
      </w:r>
    </w:p>
    <w:p>
      <w:pPr>
        <w:spacing w:after="0" w:line="171" w:lineRule="exact"/>
        <w:rPr>
          <w:sz w:val="20"/>
          <w:szCs w:val="20"/>
          <w:color w:val="auto"/>
        </w:rPr>
      </w:pPr>
    </w:p>
    <w:p>
      <w:pPr>
        <w:jc w:val="both"/>
        <w:ind w:left="200" w:right="160"/>
        <w:spacing w:after="0" w:line="259" w:lineRule="auto"/>
        <w:rPr>
          <w:sz w:val="20"/>
          <w:szCs w:val="20"/>
          <w:color w:val="auto"/>
        </w:rPr>
      </w:pPr>
      <w:r>
        <w:rPr>
          <w:rFonts w:ascii="Arial" w:cs="Arial" w:eastAsia="Arial" w:hAnsi="Arial"/>
          <w:sz w:val="18"/>
          <w:szCs w:val="18"/>
          <w:color w:val="auto"/>
        </w:rPr>
        <w:t>During the year ended December 31, 2017, the Company dissolved the joint venture and entered into a licensing agreement with the unaffiliated third party. The licensing agreement provides for a license fee equal to 50 percent of the profits from the unaffiliated third party’s operations generated from the license. For the three months ended March 31, 2019 and 2018, the proportionate shares of the income from the licensing agreement were $659,156 and $258,788, respectively.</w:t>
      </w:r>
    </w:p>
    <w:p>
      <w:pPr>
        <w:spacing w:after="0" w:line="331" w:lineRule="exact"/>
        <w:rPr>
          <w:sz w:val="20"/>
          <w:szCs w:val="20"/>
          <w:color w:val="auto"/>
        </w:rPr>
      </w:pPr>
    </w:p>
    <w:p>
      <w:pPr>
        <w:ind w:left="640" w:hanging="436"/>
        <w:spacing w:after="0"/>
        <w:tabs>
          <w:tab w:leader="none" w:pos="6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leases certain business facilities from third parties under operating lease agreements that specify minimum rentals. The leases expire through 2028 and contain certain renewal provisions. Additionally, certain leases provide for rent abatement, and rent expense is calculated on straight-line basis over the terms of the leases. The Company’s rent expense for the three months ended March 31, 2019 and 2018, were approximately $288,496 and $230,285, of which $106,000 and $100,000, respectively was included in cost of goods sold, respectively.</w:t>
      </w:r>
    </w:p>
    <w:p>
      <w:pPr>
        <w:spacing w:after="0" w:line="80" w:lineRule="exact"/>
        <w:rPr>
          <w:rFonts w:ascii="Arial" w:cs="Arial" w:eastAsia="Arial" w:hAnsi="Arial"/>
          <w:sz w:val="18"/>
          <w:szCs w:val="18"/>
          <w:b w:val="1"/>
          <w:bCs w:val="1"/>
          <w:color w:val="auto"/>
        </w:rPr>
      </w:pPr>
    </w:p>
    <w:p>
      <w:pPr>
        <w:ind w:left="12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-1365885</wp:posOffset>
            </wp:positionV>
            <wp:extent cx="6997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Scheduled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 (nine months)</w:t>
            </w:r>
          </w:p>
        </w:tc>
        <w:tc>
          <w:tcPr>
            <w:tcW w:w="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$ 1,135,577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1,389,434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1,332,947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$ 8,592,018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3940"/>
              <w:spacing w:after="0"/>
              <w:rPr>
                <w:sz w:val="20"/>
                <w:szCs w:val="20"/>
                <w:color w:val="auto"/>
              </w:rPr>
            </w:pPr>
            <w:r>
              <w:rPr>
                <w:rFonts w:ascii="Arial" w:cs="Arial" w:eastAsia="Arial" w:hAnsi="Arial"/>
                <w:sz w:val="18"/>
                <w:szCs w:val="18"/>
                <w:color w:val="auto"/>
              </w:rPr>
              <w:t>FQ-51</w:t>
            </w: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Combined Condensed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March 31, 2019, medical cannabis regulations continue to evolve and are subject to differing interpretations. As a result, the Company may be subject to regulatory fines, penalties, or restrictions in the future.</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jc w:val="both"/>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March 31, 2019, there were no pending or threatened lawsuits that could reasonably be expected to have a material effect on the results of the Company’s combined operations. There are also no proceedings in which any of the Company’s directors, officers or affiliates is an adverse party or has a material interest adverse to the Company’s interest.</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-2185670</wp:posOffset>
            </wp:positionV>
            <wp:extent cx="6997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Management has evaluated subsequent events through March 5, 2020, the date the financial statements were available to be issued. All subsequent events requiring recognition as of March 31, 2019 have been incorporated into these financial statements.</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On June 5, 2019, a publicly traded company (“GTI”) acquired 100% of the ownership interests of Integral Associates Group of Companies. The acquisition included Integral Associates Group of Companies’ retail brand Essence, as well as two cultivation and processing facilities. The transaction consideration included $52 million paid in cash and the issuance of approximately 20.8 million in GTI Subordinate Voting Shares. The purchase agreement also includes additional consideration based upon future performance targets.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FQ-52</w:t>
      </w:r>
    </w:p>
    <w:p>
      <w:pPr>
        <w:sectPr>
          <w:pgSz w:w="11900" w:h="16838" w:orient="portrait"/>
          <w:cols w:equalWidth="0" w:num="1">
            <w:col w:w="11180"/>
          </w:cols>
          <w:pgMar w:left="240" w:top="460"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INTRODUCTION TO UNAUDITED PRO FORMA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10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following unaudited pro forma condensed combined financial statements are based on our historical consolidated and combined financial statements and Advanced Grow Labs and Integral Associates historical consolidated and combined financial statements as adjusted to give effect to the February 11, 2019 acquisition of Advanced Grow Labs and the June 5, 2019 acquisition of Integral Associates. The unaudited pro forma condensed combined statements of operations for the three months ended March 31, 2019 for Integral Associates and for the twelve months ended December 31, 2018 and 2017 for Integral Associates and Advanced Grow Labs give effect to each acquisition as if it had occurred on January 1, 2017. The unaudited pro forma condensed combined balance sheet as of March 31, 2019 for Integral Associates and as of December 31, 2018 and 2017 for Integral Associates and Advanced Grow Labs gives effect to each acquisition as if it had occurred on January 1, 2017.</w:t>
      </w:r>
    </w:p>
    <w:p>
      <w:pPr>
        <w:spacing w:after="0" w:line="178"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pro forma condensed combined financial statements do not necessarily reflect what the combined company’s financial condition or results of operations would have been had the acquisition occurred on the dates indicated. They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PF-1</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 AND INTEGRAL ASSOCIATES, LLC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4"/>
              </w:rPr>
              <w:t>For the Three Months ended March 31, 2019</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Green Thumb</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Integral</w:t>
            </w:r>
          </w:p>
        </w:tc>
        <w:tc>
          <w:tcPr>
            <w:tcW w:w="360" w:type="dxa"/>
            <w:vAlign w:val="bottom"/>
          </w:tcPr>
          <w:p>
            <w:pPr>
              <w:spacing w:after="0"/>
              <w:rPr>
                <w:sz w:val="10"/>
                <w:szCs w:val="10"/>
                <w:color w:val="auto"/>
              </w:rPr>
            </w:pPr>
          </w:p>
        </w:tc>
        <w:tc>
          <w:tcPr>
            <w:tcW w:w="820" w:type="dxa"/>
            <w:vAlign w:val="bottom"/>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Pro Forma</w:t>
            </w: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Notes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Industries</w:t>
            </w:r>
          </w:p>
        </w:tc>
        <w:tc>
          <w:tcPr>
            <w:tcW w:w="3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1"/>
              </w:rPr>
              <w:t>Associates, LLC</w:t>
            </w:r>
          </w:p>
        </w:tc>
        <w:tc>
          <w:tcPr>
            <w:tcW w:w="3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Adjustments</w:t>
            </w:r>
          </w:p>
        </w:tc>
        <w:tc>
          <w:tcPr>
            <w:tcW w:w="9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Borders>
              <w:top w:val="single" w:sz="8" w:color="CCEEFF"/>
            </w:tcBorders>
            <w:shd w:val="clear" w:color="auto" w:fill="CCEEFF"/>
          </w:tcPr>
          <w:p>
            <w:pPr>
              <w:ind w:left="2300"/>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117,081,967</w:t>
            </w:r>
          </w:p>
        </w:tc>
        <w:tc>
          <w:tcPr>
            <w:tcW w:w="4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5,973,910</w:t>
            </w: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123,055,877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18,156,343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8,027,378</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26,183,721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9,672,975</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2,228,140</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11,901,115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97"/>
              </w:rPr>
              <w:t>144,911,285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16,229,428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161,140,713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83,891,080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6,388,432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90,279,512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37,014,805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37,014,805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181,117,138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135,999,997</w:t>
            </w:r>
          </w:p>
        </w:tc>
        <w:tc>
          <w:tcPr>
            <w:tcW w:w="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(a)</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317,117,135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166,432,993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189,608,171</w:t>
            </w:r>
          </w:p>
        </w:tc>
        <w:tc>
          <w:tcPr>
            <w:tcW w:w="3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(b)</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356,041,164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48,708,601</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232,225</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48,940,826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662,075,902</w:t>
            </w: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22,850,085</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325,608,168</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1,010,534,155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00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14,615,937</w:t>
            </w:r>
          </w:p>
        </w:tc>
        <w:tc>
          <w:tcPr>
            <w:tcW w:w="4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1,607,337</w:t>
            </w: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16,223,274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6,403,018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3,382,785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9,785,803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1,558,339</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9,634</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1,567,973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60,465,372</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60,465,372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83,042,666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4,999,756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88,042,422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13,565,000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13,565,000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37,785,905</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2,095</w:t>
            </w:r>
          </w:p>
        </w:tc>
        <w:tc>
          <w:tcPr>
            <w:tcW w:w="3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37,788,000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97"/>
              </w:rPr>
              <w:t>134,393,571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5,001,851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139,395,422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527,682,331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17,848,234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325,608,168</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871,138,733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662,075,902</w:t>
            </w:r>
          </w:p>
        </w:tc>
        <w:tc>
          <w:tcPr>
            <w:tcW w:w="4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22,850,085</w:t>
            </w: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325,608,168</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1"/>
              </w:rPr>
              <w:t>1,010,534,155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PF-2</w:t>
      </w:r>
    </w:p>
    <w:p>
      <w:pPr>
        <w:sectPr>
          <w:pgSz w:w="11900" w:h="16838" w:orient="portrait"/>
          <w:cols w:equalWidth="0" w:num="1">
            <w:col w:w="11240"/>
          </w:cols>
          <w:pgMar w:left="240" w:top="460" w:right="4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w w:val="95"/>
              </w:rPr>
              <w:t>For the Year ended December 31, 2018</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Green Thumb</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9"/>
              </w:rPr>
              <w:t>Advanced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Integral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Grow Labs,</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Associates,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Industries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8"/>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Borders>
              <w:top w:val="single" w:sz="8" w:color="CCEEFF"/>
            </w:tcBorders>
            <w:shd w:val="clear" w:color="auto" w:fill="CCEEFF"/>
          </w:tcPr>
          <w:p>
            <w:pPr>
              <w:ind w:left="2420"/>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145,986,072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1,149,560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5,368,074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152,503,706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12,359,064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1,463,867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8,479,260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22,302,191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10,716,885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1,499,700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1,888,781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14,105,366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169,062,021</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4,113,127</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15,736,115</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188,911,263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65,324,080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6,011,124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6,761,047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78,096,251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40,933,283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2,617,513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43,550,796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88,365,678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179,705,329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268,071,007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39,204,360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268,215,393</w:t>
            </w:r>
          </w:p>
        </w:tc>
        <w:tc>
          <w:tcPr>
            <w:tcW w:w="160" w:type="dxa"/>
            <w:vAlign w:val="bottom"/>
          </w:tcPr>
          <w:p>
            <w:pPr>
              <w:spacing w:after="0"/>
              <w:rPr>
                <w:sz w:val="12"/>
                <w:szCs w:val="12"/>
                <w:color w:val="auto"/>
              </w:rPr>
            </w:pPr>
          </w:p>
        </w:tc>
        <w:tc>
          <w:tcPr>
            <w:tcW w:w="380" w:type="dxa"/>
            <w:vAlign w:val="bottom"/>
          </w:tcPr>
          <w:p>
            <w:pPr>
              <w:ind w:left="140"/>
              <w:spacing w:after="0" w:line="149"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307,419,753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15,459,144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15,651,581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418,348,566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12,778,041</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22,653,322</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447,920,722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901,700,651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8,928,528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266,654</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1,717,437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10,912,619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7,046,029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3,858,269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10,904,298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1,480,660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4,408,524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5,899,238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30,116,295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705,411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30,821,706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47,571,512</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5,380,589</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5,585,760</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58,537,861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13,541,000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10,748,400</w:t>
            </w:r>
          </w:p>
        </w:tc>
        <w:tc>
          <w:tcPr>
            <w:tcW w:w="160" w:type="dxa"/>
            <w:vAlign w:val="bottom"/>
          </w:tcPr>
          <w:p>
            <w:pPr>
              <w:spacing w:after="0"/>
              <w:rPr>
                <w:sz w:val="12"/>
                <w:szCs w:val="12"/>
                <w:color w:val="auto"/>
              </w:rPr>
            </w:pPr>
          </w:p>
        </w:tc>
        <w:tc>
          <w:tcPr>
            <w:tcW w:w="380" w:type="dxa"/>
            <w:vAlign w:val="bottom"/>
          </w:tcPr>
          <w:p>
            <w:pPr>
              <w:ind w:left="140"/>
              <w:spacing w:after="0" w:line="149"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24,289,400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15,049,174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15,124,234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76,161,686</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5,451,461</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5,589,948</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10,748,400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97,951,495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342,186,880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7,326,580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17,063,374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437,172,322</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803,749,156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418,348,566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12,778,041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22,653,322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447,920,722</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901,700,651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PF-3</w:t>
      </w:r>
    </w:p>
    <w:p>
      <w:pPr>
        <w:sectPr>
          <w:pgSz w:w="11900" w:h="16838" w:orient="portrait"/>
          <w:cols w:equalWidth="0" w:num="1">
            <w:col w:w="11240"/>
          </w:cols>
          <w:pgMar w:left="240" w:top="459" w:right="4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w w:val="95"/>
              </w:rPr>
              <w:t>For the Year ended December 31, 2017</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Green Thumb</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6"/>
              </w:rPr>
              <w:t>Advanced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Integral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Grow Labs,</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Associates,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Notes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Industries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tcBorders>
            <w:shd w:val="clear" w:color="auto" w:fill="CCEEFF"/>
          </w:tcPr>
          <w:p>
            <w:pPr>
              <w:ind w:left="2480"/>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29,565,497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3,743,051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3,681,030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36,989,578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3,862,862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735,634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4,722,276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9,320,772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5,417,446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852,981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739,466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7,009,893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38,845,805</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5,331,666</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9,142,772</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53,320,243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31,558,357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6,168,920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8,362,970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46,090,247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14,161,995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193,702,665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207,864,660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188,260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268,215,393</w:t>
            </w:r>
          </w:p>
        </w:tc>
        <w:tc>
          <w:tcPr>
            <w:tcW w:w="1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rPr>
              <w:t>(b)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268,403,653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1,458,833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1,604,310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86,213,250</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11,579,437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17,572,368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461,918,058</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577,283,113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18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4,044,760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291,978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779,300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5,116,038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1,160,521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2,864,120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4,024,641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8,861,376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1,411,177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10,282,607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1,659,168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1,973,168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14,280,657</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3,362,323</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3,753,474</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21,396,454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11,575,200</w:t>
            </w:r>
          </w:p>
        </w:tc>
        <w:tc>
          <w:tcPr>
            <w:tcW w:w="1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rPr>
              <w:t>(b)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11,575,200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7,507,778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314,243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7,893,831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21,788,435</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3,434,133</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4,067,717</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11,575,200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40,865,485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64,424,815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8,145,304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13,504,651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450,342,858</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536,417,628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86,213,250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11,579,437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17,572,368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461,918,058</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577,283,113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PF-4</w:t>
      </w:r>
    </w:p>
    <w:p>
      <w:pPr>
        <w:sectPr>
          <w:pgSz w:w="11900" w:h="16838" w:orient="portrait"/>
          <w:cols w:equalWidth="0" w:num="1">
            <w:col w:w="11240"/>
          </w:cols>
          <w:pgMar w:left="240" w:top="460" w:right="4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 AND INTEGRAL ASSOCIATES, LLC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w w:val="93"/>
              </w:rPr>
              <w:t>For the Three Months ended March 31, 2019</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Green Thumb</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Integral</w:t>
            </w:r>
          </w:p>
        </w:tc>
        <w:tc>
          <w:tcPr>
            <w:tcW w:w="180" w:type="dxa"/>
            <w:vAlign w:val="bottom"/>
          </w:tcPr>
          <w:p>
            <w:pPr>
              <w:spacing w:after="0"/>
              <w:rPr>
                <w:sz w:val="10"/>
                <w:szCs w:val="10"/>
                <w:color w:val="auto"/>
              </w:rPr>
            </w:pPr>
          </w:p>
        </w:tc>
        <w:tc>
          <w:tcPr>
            <w:tcW w:w="102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Pro Forma</w:t>
            </w: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0"/>
                <w:szCs w:val="10"/>
                <w:color w:val="auto"/>
              </w:rPr>
            </w:pPr>
          </w:p>
        </w:tc>
        <w:tc>
          <w:tcPr>
            <w:tcW w:w="820" w:type="dxa"/>
            <w:vAlign w:val="bottom"/>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Industries</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Associates, LLC</w:t>
            </w:r>
          </w:p>
        </w:tc>
        <w:tc>
          <w:tcPr>
            <w:tcW w:w="1200" w:type="dxa"/>
            <w:vAlign w:val="bottom"/>
            <w:gridSpan w:val="4"/>
          </w:tcPr>
          <w:p>
            <w:pPr>
              <w:ind w:left="180"/>
              <w:spacing w:after="0"/>
              <w:rPr>
                <w:sz w:val="20"/>
                <w:szCs w:val="20"/>
                <w:color w:val="auto"/>
              </w:rPr>
            </w:pPr>
            <w:r>
              <w:rPr>
                <w:rFonts w:ascii="Arial" w:cs="Arial" w:eastAsia="Arial" w:hAnsi="Arial"/>
                <w:sz w:val="14"/>
                <w:szCs w:val="14"/>
                <w:b w:val="1"/>
                <w:bCs w:val="1"/>
                <w:color w:val="auto"/>
              </w:rPr>
              <w:t>Adjustments</w:t>
            </w:r>
          </w:p>
        </w:tc>
        <w:tc>
          <w:tcPr>
            <w:tcW w:w="7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net of discounts</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62,493,680</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14,012,677</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76,506,357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color w:val="auto"/>
              </w:rPr>
              <w:t>Cost of Goods Sold, net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(34,177,259)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(7,045,345)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(41,222,604)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28,316,421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6,967,332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35,283,753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49,313,262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3,675,275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52,988,537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1,494,239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317,566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1,811,805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3,849,078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183,511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2,666,667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(c)</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6,699,256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Expenses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54,656,579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4,176,352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2,666,667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9"/>
              </w:rPr>
              <w:t>61,499,598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(26,340,158)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2,790,980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(2,666,667)</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(26,215,845)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Other Income (Expense):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56,417,421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(6,120)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56,411,301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1,952,945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1,952,945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(2,278,834)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(2,278,834)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Other Income (Expense)</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56,091,532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56,085,412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040" w:type="dxa"/>
            <w:vAlign w:val="bottom"/>
            <w:shd w:val="clear" w:color="auto" w:fill="CCEEFF"/>
          </w:tcPr>
          <w:p>
            <w:pPr>
              <w:ind w:left="280"/>
              <w:spacing w:after="0" w:line="126" w:lineRule="exact"/>
              <w:rPr>
                <w:sz w:val="20"/>
                <w:szCs w:val="20"/>
                <w:color w:val="auto"/>
              </w:rPr>
            </w:pPr>
            <w:r>
              <w:rPr>
                <w:rFonts w:ascii="Arial" w:cs="Arial" w:eastAsia="Arial" w:hAnsi="Arial"/>
                <w:sz w:val="14"/>
                <w:szCs w:val="14"/>
                <w:b w:val="1"/>
                <w:bCs w:val="1"/>
                <w:color w:val="auto"/>
              </w:rPr>
              <w:t>Income (Loss) Before Provision for Income Taxes And Non-Controlling</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Interest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29,751,374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2,784,860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(2,666,667)</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29,869,567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7,183,595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668,366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7,851,961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Before Non-Controlling Interest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22,567,779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2,784,860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(3,335,033)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22,017,606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Non-Controlling Interest</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27,811,696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27,811,696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Green Thumb Industries Inc.</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(5,243,917)</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2,784,860</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(3,335,033)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(5,794,090)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Income (Loss) per share - basic and diluted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(0.03)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Weighted average number of shares outstanding - basic and diluted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170,931,786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20,829,952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198,301,484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PF-5</w:t>
      </w:r>
    </w:p>
    <w:p>
      <w:pPr>
        <w:sectPr>
          <w:pgSz w:w="11900" w:h="16838" w:orient="portrait"/>
          <w:cols w:equalWidth="0" w:num="1">
            <w:col w:w="11240"/>
          </w:cols>
          <w:pgMar w:left="240" w:top="460" w:right="41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For the Year ended December 31, 2018</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8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Advanced</w:t>
            </w: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Integral</w:t>
            </w:r>
          </w:p>
        </w:tc>
        <w:tc>
          <w:tcPr>
            <w:tcW w:w="80" w:type="dxa"/>
            <w:vAlign w:val="bottom"/>
          </w:tcPr>
          <w:p>
            <w:pPr>
              <w:spacing w:after="0"/>
              <w:rPr>
                <w:sz w:val="10"/>
                <w:szCs w:val="10"/>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Grow</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Associates,</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Industries</w:t>
            </w:r>
          </w:p>
        </w:tc>
        <w:tc>
          <w:tcPr>
            <w:tcW w:w="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Labs, LLC</w:t>
            </w: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LLC</w:t>
            </w:r>
          </w:p>
        </w:tc>
        <w:tc>
          <w:tcPr>
            <w:tcW w:w="1000" w:type="dxa"/>
            <w:vAlign w:val="bottom"/>
            <w:gridSpan w:val="4"/>
          </w:tcPr>
          <w:p>
            <w:pPr>
              <w:ind w:left="80"/>
              <w:spacing w:after="0"/>
              <w:rPr>
                <w:sz w:val="20"/>
                <w:szCs w:val="20"/>
                <w:color w:val="auto"/>
              </w:rPr>
            </w:pPr>
            <w:r>
              <w:rPr>
                <w:rFonts w:ascii="Arial" w:cs="Arial" w:eastAsia="Arial" w:hAnsi="Arial"/>
                <w:sz w:val="14"/>
                <w:szCs w:val="14"/>
                <w:b w:val="1"/>
                <w:bCs w:val="1"/>
                <w:color w:val="auto"/>
              </w:rPr>
              <w:t>Adjustments</w:t>
            </w:r>
          </w:p>
        </w:tc>
        <w:tc>
          <w:tcPr>
            <w:tcW w:w="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net of discounts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62,493,680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17,016,743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$ 60,261,432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139,771,855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color w:val="auto"/>
              </w:rPr>
              <w:t>Cost of Goods Sold, net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(34,177,259)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(6,818,485)</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(35,192,662)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(76,188,406)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28,316,421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10,198,258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25,068,770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63,583,449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49,313,262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1,883,915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7,614,328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58,811,505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1,494,239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1,198,423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2,692,662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3,849,078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696,393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13,997,336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18,556,060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Expenses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54,656,579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1,897,168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9,509,144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13,997,336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80,060,227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(26,340,158)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8,301,090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15,559,626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(13,997,336)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(16,476,778)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56,417,421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(352,297)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(2,340,350)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53,724,774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1,952,945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1,952,945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(2,278,834)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(368,216)</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(2,648,167)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8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Other Income (Expense)</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56,091,532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(720,513)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(2,341,467)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53,029,552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96"/>
              </w:rPr>
              <w:t>Income (Loss) Before Provision for Income Taxes And Non-Controlling Interest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29,751,374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7,580,577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13,218,159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(13,997,336)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36,552,775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8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7,183,595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4,164,897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20"/>
              <w:spacing w:after="0" w:line="155" w:lineRule="exact"/>
              <w:rPr>
                <w:sz w:val="20"/>
                <w:szCs w:val="20"/>
                <w:color w:val="auto"/>
              </w:rPr>
            </w:pPr>
            <w:r>
              <w:rPr>
                <w:rFonts w:ascii="Arial" w:cs="Arial" w:eastAsia="Arial" w:hAnsi="Arial"/>
                <w:sz w:val="14"/>
                <w:szCs w:val="14"/>
                <w:color w:val="auto"/>
              </w:rPr>
              <w:t>(d)</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11,348,492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Before Non-Controlling Interest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22,567,779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7,580,577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13,218,159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(18,162,233)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25,204,283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Non-Controlling Interest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27,811,696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82,881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27,894,577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Green Thumb Industries Inc.</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(5,243,917)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7,497,696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$ 13,218,159</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(18,162,233)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(2,690,295)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Income (Loss) per share - basic and diluted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Weighted average number of shares outstanding - basic and diluted</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130,102,523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6,539,746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20,829,952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157,472,221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PF-6</w:t>
      </w:r>
    </w:p>
    <w:p>
      <w:pPr>
        <w:sectPr>
          <w:pgSz w:w="11900" w:h="16838" w:orient="portrait"/>
          <w:cols w:equalWidth="0" w:num="1">
            <w:col w:w="11240"/>
          </w:cols>
          <w:pgMar w:left="240" w:top="459" w:right="4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rPr>
              <w:t>For the Year ended December 31, 2017</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Green Thumb</w:t>
            </w:r>
          </w:p>
        </w:tc>
        <w:tc>
          <w:tcPr>
            <w:tcW w:w="80" w:type="dxa"/>
            <w:vAlign w:val="bottom"/>
          </w:tcPr>
          <w:p>
            <w:pPr>
              <w:spacing w:after="0"/>
              <w:rPr>
                <w:sz w:val="10"/>
                <w:szCs w:val="10"/>
                <w:color w:val="auto"/>
              </w:rPr>
            </w:pPr>
          </w:p>
        </w:tc>
        <w:tc>
          <w:tcPr>
            <w:tcW w:w="8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Advanced</w:t>
            </w:r>
          </w:p>
        </w:tc>
        <w:tc>
          <w:tcPr>
            <w:tcW w:w="80" w:type="dxa"/>
            <w:vAlign w:val="bottom"/>
          </w:tcPr>
          <w:p>
            <w:pPr>
              <w:spacing w:after="0"/>
              <w:rPr>
                <w:sz w:val="10"/>
                <w:szCs w:val="10"/>
                <w:color w:val="auto"/>
              </w:rPr>
            </w:pPr>
          </w:p>
        </w:tc>
        <w:tc>
          <w:tcPr>
            <w:tcW w:w="10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Integral</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Grow Labs,</w:t>
            </w: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Associates,</w:t>
            </w:r>
          </w:p>
        </w:tc>
        <w:tc>
          <w:tcPr>
            <w:tcW w:w="1020" w:type="dxa"/>
            <w:vAlign w:val="bottom"/>
            <w:gridSpan w:val="2"/>
            <w:vMerge w:val="continue"/>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Notes</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Industries</w:t>
            </w: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LLC</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Adjustments</w:t>
            </w:r>
          </w:p>
        </w:tc>
        <w:tc>
          <w:tcPr>
            <w:tcW w:w="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net of discounts</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16,528,779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$ 13,979,514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$ 30,420,101</w:t>
            </w: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60,928,394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Cost of Goods Sold, net</w:t>
            </w:r>
          </w:p>
        </w:tc>
        <w:tc>
          <w:tcPr>
            <w:tcW w:w="160" w:type="dxa"/>
            <w:vAlign w:val="bottom"/>
          </w:tcPr>
          <w:p>
            <w:pPr>
              <w:spacing w:after="0"/>
              <w:rPr>
                <w:sz w:val="13"/>
                <w:szCs w:val="13"/>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(9,807,775)</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(5,347,881)</w:t>
            </w:r>
          </w:p>
        </w:tc>
        <w:tc>
          <w:tcPr>
            <w:tcW w:w="11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(15,702,502)</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(30,858,158)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6,721,004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8,631,633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14,717,599</w:t>
            </w:r>
          </w:p>
        </w:tc>
        <w:tc>
          <w:tcPr>
            <w:tcW w:w="2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30,070,236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11,039,124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905,097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6,741,483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18,685,704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190,384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1,006,311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1,196,695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261,264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616,547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13,997,336</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14,875,147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11,490,772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905,097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8,364,341</w:t>
            </w:r>
          </w:p>
        </w:tc>
        <w:tc>
          <w:tcPr>
            <w:tcW w:w="20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13,997,336</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34,757,545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(4,769,768)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7,726,537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6,353,258</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(13,997,336)</w:t>
            </w:r>
          </w:p>
        </w:tc>
        <w:tc>
          <w:tcPr>
            <w:tcW w:w="3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(4,687,309)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544,399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635,280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1,179,679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(432,448)</w:t>
            </w:r>
          </w:p>
        </w:tc>
        <w:tc>
          <w:tcPr>
            <w:tcW w:w="9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(4,910)</w:t>
            </w:r>
          </w:p>
        </w:tc>
        <w:tc>
          <w:tcPr>
            <w:tcW w:w="11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(5,510)</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(442,868)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2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Other Income (Expense)</w:t>
            </w:r>
          </w:p>
        </w:tc>
        <w:tc>
          <w:tcPr>
            <w:tcW w:w="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111,951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629,770</w:t>
            </w:r>
          </w:p>
        </w:tc>
        <w:tc>
          <w:tcPr>
            <w:tcW w:w="2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736,811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95"/>
              </w:rPr>
              <w:t>Income (Loss) Before Provision for Income Taxes And Non-Controlling Interest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(4,657,817)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7,721,627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6,983,028</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(13,997,336)</w:t>
            </w:r>
          </w:p>
        </w:tc>
        <w:tc>
          <w:tcPr>
            <w:tcW w:w="3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(3,950,497)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2,702,317</w:t>
            </w:r>
          </w:p>
        </w:tc>
        <w:tc>
          <w:tcPr>
            <w:tcW w:w="200" w:type="dxa"/>
            <w:vAlign w:val="bottom"/>
          </w:tcPr>
          <w:p>
            <w:pPr>
              <w:spacing w:after="0"/>
              <w:rPr>
                <w:sz w:val="14"/>
                <w:szCs w:val="14"/>
                <w:color w:val="auto"/>
              </w:rPr>
            </w:pPr>
          </w:p>
        </w:tc>
        <w:tc>
          <w:tcPr>
            <w:tcW w:w="380" w:type="dxa"/>
            <w:vAlign w:val="bottom"/>
          </w:tcPr>
          <w:p>
            <w:pPr>
              <w:ind w:left="120"/>
              <w:spacing w:after="0" w:line="155" w:lineRule="exact"/>
              <w:rPr>
                <w:sz w:val="20"/>
                <w:szCs w:val="20"/>
                <w:color w:val="auto"/>
              </w:rPr>
            </w:pPr>
            <w:r>
              <w:rPr>
                <w:rFonts w:ascii="Arial" w:cs="Arial" w:eastAsia="Arial" w:hAnsi="Arial"/>
                <w:sz w:val="14"/>
                <w:szCs w:val="14"/>
                <w:color w:val="auto"/>
              </w:rPr>
              <w:t>(d)</w:t>
            </w: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2,916,317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Before Non-Controlling Interest</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(4,871,817)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7,721,627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6,983,028</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(16,699,653)</w:t>
            </w:r>
          </w:p>
        </w:tc>
        <w:tc>
          <w:tcPr>
            <w:tcW w:w="3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(6,866,814)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Non-Controlling Interest</w:t>
            </w:r>
          </w:p>
        </w:tc>
        <w:tc>
          <w:tcPr>
            <w:tcW w:w="1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(622,042)</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(622,042)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Green Thumb Industries Inc.</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(4,249,775)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7,721,627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6,983,028</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(16,699,653)</w:t>
            </w:r>
          </w:p>
        </w:tc>
        <w:tc>
          <w:tcPr>
            <w:tcW w:w="3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(6,244,772)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Income (Loss) per share - basic and diluted</w:t>
            </w: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(0.07)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Weighted average number of shares outstanding - basic and diluted</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63,123,183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6,539,746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20,829,952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90,492,881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PF-7</w:t>
      </w:r>
    </w:p>
    <w:p>
      <w:pPr>
        <w:sectPr>
          <w:pgSz w:w="11900" w:h="16838" w:orient="portrait"/>
          <w:cols w:equalWidth="0" w:num="1">
            <w:col w:w="11240"/>
          </w:cols>
          <w:pgMar w:left="240" w:top="460" w:right="4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Basis of presentation</w:t>
      </w:r>
    </w:p>
    <w:p>
      <w:pPr>
        <w:spacing w:after="0" w:line="117"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unaudited pro forma condensed combined financial statements are based on Registrant’s and Advanced Grow Labs and Integral Associates historical consolidated and combined financial statements as adjusted to give effect to the acquisition of Advanced Grow Labs and Integral Associates. The unaudited pro forma combined statements of operations for the three months ended March 31, 2019 for Integral Associates, and for the twelve months ended December 31, 2018 and 2017 for Integral Associates and Advanced Grow Labs give effect to each acquisition as if it had occurred on January 1, 2017. The unaudited pro forma condensed combined balance sheet as of March 31, 2019 for Integral Associates and as of December 31, 2018 and 2017 for Integral Associates and Advanced Grow Labs gives effect to each acquisition as if it had occurred on January 1, 2017.</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2 — Preliminary purchase price allocation</w:t>
      </w:r>
    </w:p>
    <w:p>
      <w:pPr>
        <w:spacing w:after="0" w:line="117"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On February 11, 2019, Registrant acquired Advanced Grow Labs for total consideration of approximately $110.3 million. The purchase agreement also included additional consideration based upon future performance targets.</w:t>
      </w:r>
    </w:p>
    <w:p>
      <w:pPr>
        <w:spacing w:after="0" w:line="17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On June 05, 2019, Registrant acquired Integral Associates for total consideration of approximately $363.9 million. The purchase agreement also included additional consideration based upon future performance targets.</w:t>
      </w:r>
    </w:p>
    <w:p>
      <w:pPr>
        <w:spacing w:after="0" w:line="17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The unaudited pro forma condensed combined financial information includes various assumptions, including those related to the preliminary purchase price allocation of the assets acquired and liabilities assumed of Advanced Grow Labs and Integral Associates based on management’s best estimates of fair value. The final purchase price allocation may vary based on final appraisals, valuations and analyses of the fair value of the acquired assets and assumed liabilities. Accordingly, the pro forma adjustments are preliminary and have been made solely for illustrative purposes.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PF-8</w:t>
      </w:r>
    </w:p>
    <w:p>
      <w:pPr>
        <w:sectPr>
          <w:pgSz w:w="11900" w:h="16838" w:orient="portrait"/>
          <w:cols w:equalWidth="0" w:num="1">
            <w:col w:w="11220"/>
          </w:cols>
          <w:pgMar w:left="24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table shows the preliminary allocation of the purchase price for Advanced Grow Labs and Integral Associates to the acquired identifiable assets, assumed liabilities and pro forma goodwill:</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w w:val="96"/>
              </w:rPr>
              <w:t>Advanced Grow</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Integral</w:t>
            </w: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color w:val="auto"/>
              </w:rPr>
              <w:t>Labs, LLC</w:t>
            </w:r>
          </w:p>
        </w:tc>
        <w:tc>
          <w:tcPr>
            <w:tcW w:w="28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8"/>
              </w:rPr>
              <w:t>Associates, LLC</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Inventory</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10,107,303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Prepaid Expenses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492,571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Right-of-Use Asset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470,703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1,655,309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Intangible Assets: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 and Permits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28,920,000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130,000,000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17,750,000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Non-competition Agreements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(1,174,361)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(9,134,651)</w:t>
            </w: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(12,815,000)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1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44,049,831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174,297,411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66,205,222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189,608,171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110,255,053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363,905,582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3 — Pro forma adjustments</w:t>
      </w:r>
    </w:p>
    <w:p>
      <w:pPr>
        <w:spacing w:after="0" w:line="11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pro forma adjustments are based on our preliminary estimates and assumptions that are subject to change. The following adjustments have been reflected in the unaudited pro forma condensed combined financial information: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Adjustments to the pro forma condensed combined balance sheet</w:t>
      </w:r>
    </w:p>
    <w:p>
      <w:pPr>
        <w:spacing w:after="0" w:line="225" w:lineRule="exact"/>
        <w:rPr>
          <w:sz w:val="20"/>
          <w:szCs w:val="20"/>
          <w:color w:val="auto"/>
        </w:rPr>
      </w:pPr>
    </w:p>
    <w:p>
      <w:pPr>
        <w:ind w:left="200" w:right="360" w:firstLine="4"/>
        <w:spacing w:after="0" w:line="277" w:lineRule="auto"/>
        <w:tabs>
          <w:tab w:leader="none" w:pos="44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Reflects the fair value adjustment of $207.7 million for intangible assets as described further in Note 8 of the unaudited condensed consolidated financial statements as of September 30, 2019.</w:t>
      </w:r>
    </w:p>
    <w:p>
      <w:pPr>
        <w:spacing w:after="0" w:line="170" w:lineRule="exact"/>
        <w:rPr>
          <w:rFonts w:ascii="Arial" w:cs="Arial" w:eastAsia="Arial" w:hAnsi="Arial"/>
          <w:sz w:val="18"/>
          <w:szCs w:val="18"/>
          <w:color w:val="auto"/>
        </w:rPr>
      </w:pPr>
    </w:p>
    <w:p>
      <w:pPr>
        <w:ind w:left="200" w:right="320" w:firstLine="4"/>
        <w:spacing w:after="0" w:line="264" w:lineRule="auto"/>
        <w:tabs>
          <w:tab w:leader="none" w:pos="4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Reflects the preliminary estimate of goodwill, which represents the excess of the purchase price over the fair value of Advanced Grow Labs and Integral Associates identifiable assets acquired and liabilities assumed as shown in Note 2 Adjustments to the pro forma condensed statements of operations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Adjustments to the pro forma condensed statements of operations</w:t>
      </w:r>
    </w:p>
    <w:p>
      <w:pPr>
        <w:spacing w:after="0" w:line="225" w:lineRule="exact"/>
        <w:rPr>
          <w:sz w:val="20"/>
          <w:szCs w:val="20"/>
          <w:color w:val="auto"/>
        </w:rPr>
      </w:pPr>
    </w:p>
    <w:p>
      <w:pPr>
        <w:ind w:left="440" w:hanging="236"/>
        <w:spacing w:after="0"/>
        <w:tabs>
          <w:tab w:leader="none" w:pos="4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Reflects the estimated amortization expense related to the acquired intangible assets discussed at Note 3(a)</w:t>
      </w:r>
    </w:p>
    <w:p>
      <w:pPr>
        <w:spacing w:after="0" w:line="225" w:lineRule="exact"/>
        <w:rPr>
          <w:rFonts w:ascii="Arial" w:cs="Arial" w:eastAsia="Arial" w:hAnsi="Arial"/>
          <w:sz w:val="18"/>
          <w:szCs w:val="18"/>
          <w:color w:val="auto"/>
        </w:rPr>
      </w:pPr>
    </w:p>
    <w:p>
      <w:pPr>
        <w:ind w:left="5540" w:right="3120" w:hanging="5336"/>
        <w:spacing w:after="0" w:line="449" w:lineRule="auto"/>
        <w:tabs>
          <w:tab w:leader="none" w:pos="4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Reflects the income tax effect of pro forma adjustments based on the estimated combined tax rate of 24% PF-9</w:t>
      </w:r>
    </w:p>
    <w:p>
      <w:pPr>
        <w:sectPr>
          <w:pgSz w:w="11900" w:h="16838" w:orient="portrait"/>
          <w:cols w:equalWidth="0" w:num="1">
            <w:col w:w="11160"/>
          </w:cols>
          <w:pgMar w:left="240" w:top="460" w:right="4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172085</wp:posOffset>
            </wp:positionV>
            <wp:extent cx="1080770" cy="3517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5">
                      <a:extLst>
                        <a:ext uri="{28A0092B-C50C-407E-A947-70E740481C1C}"/>
                      </a:extLst>
                    </a:blip>
                    <a:srcRect/>
                    <a:stretch>
                      <a:fillRect/>
                    </a:stretch>
                  </pic:blipFill>
                  <pic:spPr bwMode="auto">
                    <a:xfrm>
                      <a:off x="0" y="0"/>
                      <a:ext cx="108077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We, MNP LLP (“</w:t>
      </w:r>
      <w:r>
        <w:rPr>
          <w:rFonts w:ascii="Arial" w:cs="Arial" w:eastAsia="Arial" w:hAnsi="Arial"/>
          <w:sz w:val="18"/>
          <w:szCs w:val="18"/>
          <w:b w:val="1"/>
          <w:bCs w:val="1"/>
          <w:color w:val="auto"/>
        </w:rPr>
        <w:t>MNP</w:t>
      </w:r>
      <w:r>
        <w:rPr>
          <w:rFonts w:ascii="Arial" w:cs="Arial" w:eastAsia="Arial" w:hAnsi="Arial"/>
          <w:sz w:val="18"/>
          <w:szCs w:val="18"/>
          <w:color w:val="auto"/>
        </w:rPr>
        <w:t>”), were previously the auditor for Green Thumb Industries Inc. (“</w:t>
      </w:r>
      <w:r>
        <w:rPr>
          <w:rFonts w:ascii="Arial" w:cs="Arial" w:eastAsia="Arial" w:hAnsi="Arial"/>
          <w:sz w:val="18"/>
          <w:szCs w:val="18"/>
          <w:b w:val="1"/>
          <w:bCs w:val="1"/>
          <w:color w:val="auto"/>
        </w:rPr>
        <w:t>GTI</w:t>
      </w:r>
      <w:r>
        <w:rPr>
          <w:rFonts w:ascii="Arial" w:cs="Arial" w:eastAsia="Arial" w:hAnsi="Arial"/>
          <w:sz w:val="18"/>
          <w:szCs w:val="18"/>
          <w:color w:val="auto"/>
        </w:rPr>
        <w:t>”) and, under the date of April 30, 2019, we reported on the consolidated financial statements of GTI as of and for the year ended December 31, 2018. MNP resigned as GTI’s auditor effective October 15, 2019.</w:t>
      </w:r>
    </w:p>
    <w:p>
      <w:pPr>
        <w:spacing w:after="0" w:line="18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have read GTI’s statements included in Item 14 of its Amendment No. 2 to the Form 10 under the heading “Prior Independent Registered Accounting Firm” dated March 5, 2020, and we agree with such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1423670" cy="3346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6">
                      <a:extLst>
                        <a:ext uri="{28A0092B-C50C-407E-A947-70E740481C1C}"/>
                      </a:extLst>
                    </a:blip>
                    <a:srcRect/>
                    <a:stretch>
                      <a:fillRect/>
                    </a:stretch>
                  </pic:blipFill>
                  <pic:spPr bwMode="auto">
                    <a:xfrm>
                      <a:off x="0" y="0"/>
                      <a:ext cx="14236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MNP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083425" cy="4629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7">
                      <a:extLst>
                        <a:ext uri="{28A0092B-C50C-407E-A947-70E740481C1C}"/>
                      </a:extLst>
                    </a:blip>
                    <a:srcRect/>
                    <a:stretch>
                      <a:fillRect/>
                    </a:stretch>
                  </pic:blipFill>
                  <pic:spPr bwMode="auto">
                    <a:xfrm>
                      <a:off x="0" y="0"/>
                      <a:ext cx="7083425" cy="46291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594807"/>
    <w:multiLevelType w:val="hybridMultilevel"/>
    <w:lvl w:ilvl="0">
      <w:lvlJc w:val="left"/>
      <w:lvlText w:val="•"/>
      <w:numFmt w:val="bullet"/>
      <w:start w:val="1"/>
    </w:lvl>
  </w:abstractNum>
  <w:abstractNum w:abstractNumId="1">
    <w:nsid w:val="6CAA2304"/>
    <w:multiLevelType w:val="hybridMultilevel"/>
    <w:lvl w:ilvl="0">
      <w:lvlJc w:val="left"/>
      <w:lvlText w:val="(%1)"/>
      <w:numFmt w:val="lowerRoman"/>
      <w:start w:val="1"/>
    </w:lvl>
  </w:abstractNum>
  <w:abstractNum w:abstractNumId="2">
    <w:nsid w:val="3F7C2FF4"/>
    <w:multiLevelType w:val="hybridMultilevel"/>
    <w:lvl w:ilvl="0">
      <w:lvlJc w:val="left"/>
      <w:lvlText w:val="(%1)"/>
      <w:numFmt w:val="lowerRoman"/>
      <w:start w:val="3"/>
    </w:lvl>
  </w:abstractNum>
  <w:abstractNum w:abstractNumId="3">
    <w:nsid w:val="25413BEC"/>
    <w:multiLevelType w:val="hybridMultilevel"/>
    <w:lvl w:ilvl="0">
      <w:lvlJc w:val="left"/>
      <w:lvlText w:val="(%1)"/>
      <w:numFmt w:val="lowerLetter"/>
      <w:start w:val="5"/>
    </w:lvl>
  </w:abstractNum>
  <w:abstractNum w:abstractNumId="4">
    <w:nsid w:val="17180B0B"/>
    <w:multiLevelType w:val="hybridMultilevel"/>
    <w:lvl w:ilvl="0">
      <w:lvlJc w:val="left"/>
      <w:lvlText w:val="(%1)"/>
      <w:numFmt w:val="lowerLetter"/>
      <w:start w:val="2"/>
    </w:lvl>
  </w:abstractNum>
  <w:abstractNum w:abstractNumId="5">
    <w:nsid w:val="579328B9"/>
    <w:multiLevelType w:val="hybridMultilevel"/>
    <w:lvl w:ilvl="0">
      <w:lvlJc w:val="left"/>
      <w:lvlText w:val="•"/>
      <w:numFmt w:val="bullet"/>
      <w:start w:val="1"/>
    </w:lvl>
  </w:abstractNum>
  <w:abstractNum w:abstractNumId="6">
    <w:nsid w:val="5D205E20"/>
    <w:multiLevelType w:val="hybridMultilevel"/>
    <w:lvl w:ilvl="0">
      <w:lvlJc w:val="left"/>
      <w:lvlText w:val="•"/>
      <w:numFmt w:val="bullet"/>
      <w:start w:val="1"/>
    </w:lvl>
  </w:abstractNum>
  <w:abstractNum w:abstractNumId="7">
    <w:nsid w:val="11CCA8BA"/>
    <w:multiLevelType w:val="hybridMultilevel"/>
    <w:lvl w:ilvl="0">
      <w:lvlJc w:val="left"/>
      <w:lvlText w:val="•"/>
      <w:numFmt w:val="bullet"/>
      <w:start w:val="1"/>
    </w:lvl>
  </w:abstractNum>
  <w:abstractNum w:abstractNumId="8">
    <w:nsid w:val="4D32AB86"/>
    <w:multiLevelType w:val="hybridMultilevel"/>
    <w:lvl w:ilvl="0">
      <w:lvlJc w:val="left"/>
      <w:lvlText w:val="(%1)"/>
      <w:numFmt w:val="lowerRoman"/>
      <w:start w:val="1"/>
    </w:lvl>
  </w:abstractNum>
  <w:abstractNum w:abstractNumId="9">
    <w:nsid w:val="3F07ACC3"/>
    <w:multiLevelType w:val="hybridMultilevel"/>
    <w:lvl w:ilvl="0">
      <w:lvlJc w:val="left"/>
      <w:lvlText w:val="(%1)"/>
      <w:numFmt w:val="lowerRoman"/>
      <w:start w:val="1"/>
    </w:lvl>
  </w:abstractNum>
  <w:abstractNum w:abstractNumId="10">
    <w:nsid w:val="6B47F63E"/>
    <w:multiLevelType w:val="hybridMultilevel"/>
    <w:lvl w:ilvl="0">
      <w:lvlJc w:val="left"/>
      <w:lvlText w:val="•"/>
      <w:numFmt w:val="bullet"/>
      <w:start w:val="1"/>
    </w:lvl>
  </w:abstractNum>
  <w:abstractNum w:abstractNumId="11">
    <w:nsid w:val="5CB44A05"/>
    <w:multiLevelType w:val="hybridMultilevel"/>
    <w:lvl w:ilvl="0">
      <w:lvlJc w:val="left"/>
      <w:lvlText w:val="(%1)"/>
      <w:numFmt w:val="decimal"/>
      <w:start w:val="1"/>
    </w:lvl>
    <w:lvl w:ilvl="1">
      <w:lvlJc w:val="left"/>
      <w:lvlText w:val="•"/>
      <w:numFmt w:val="bullet"/>
      <w:start w:val="1"/>
    </w:lvl>
  </w:abstractNum>
  <w:abstractNum w:abstractNumId="12">
    <w:nsid w:val="16CF80F1"/>
    <w:multiLevelType w:val="hybridMultilevel"/>
    <w:lvl w:ilvl="0">
      <w:lvlJc w:val="left"/>
      <w:lvlText w:val="(%1)"/>
      <w:numFmt w:val="decimal"/>
      <w:start w:val="3"/>
    </w:lvl>
    <w:lvl w:ilvl="1">
      <w:lvlJc w:val="left"/>
      <w:lvlText w:val="•"/>
      <w:numFmt w:val="bullet"/>
      <w:start w:val="1"/>
    </w:lvl>
  </w:abstractNum>
  <w:abstractNum w:abstractNumId="13">
    <w:nsid w:val="1C695DEC"/>
    <w:multiLevelType w:val="hybridMultilevel"/>
    <w:lvl w:ilvl="0">
      <w:lvlJc w:val="left"/>
      <w:lvlText w:val="(%1)"/>
      <w:numFmt w:val="decimal"/>
      <w:start w:val="1"/>
    </w:lvl>
  </w:abstractNum>
  <w:abstractNum w:abstractNumId="14">
    <w:nsid w:val="3FCFAED9"/>
    <w:multiLevelType w:val="hybridMultilevel"/>
    <w:lvl w:ilvl="0">
      <w:lvlJc w:val="left"/>
      <w:lvlText w:val="(%1)"/>
      <w:numFmt w:val="lowerRoman"/>
      <w:start w:val="3"/>
    </w:lvl>
  </w:abstractNum>
  <w:abstractNum w:abstractNumId="15">
    <w:nsid w:val="F856867"/>
    <w:multiLevelType w:val="hybridMultilevel"/>
    <w:lvl w:ilvl="0">
      <w:lvlJc w:val="left"/>
      <w:lvlText w:val="•"/>
      <w:numFmt w:val="bullet"/>
      <w:start w:val="1"/>
    </w:lvl>
  </w:abstractNum>
  <w:abstractNum w:abstractNumId="16">
    <w:nsid w:val="11B1CC33"/>
    <w:multiLevelType w:val="hybridMultilevel"/>
    <w:lvl w:ilvl="0">
      <w:lvlJc w:val="left"/>
      <w:lvlText w:val="•"/>
      <w:numFmt w:val="bullet"/>
      <w:start w:val="1"/>
    </w:lvl>
  </w:abstractNum>
  <w:abstractNum w:abstractNumId="17">
    <w:nsid w:val="2E22FBB7"/>
    <w:multiLevelType w:val="hybridMultilevel"/>
    <w:lvl w:ilvl="0">
      <w:lvlJc w:val="left"/>
      <w:lvlText w:val="•"/>
      <w:numFmt w:val="bullet"/>
      <w:start w:val="1"/>
    </w:lvl>
  </w:abstractNum>
  <w:abstractNum w:abstractNumId="18">
    <w:nsid w:val="29934699"/>
    <w:multiLevelType w:val="hybridMultilevel"/>
    <w:lvl w:ilvl="0">
      <w:lvlJc w:val="left"/>
      <w:lvlText w:val="•"/>
      <w:numFmt w:val="bullet"/>
      <w:start w:val="1"/>
    </w:lvl>
  </w:abstractNum>
  <w:abstractNum w:abstractNumId="19">
    <w:nsid w:val="77485850"/>
    <w:multiLevelType w:val="hybridMultilevel"/>
    <w:lvl w:ilvl="0">
      <w:lvlJc w:val="left"/>
      <w:lvlText w:val="•"/>
      <w:numFmt w:val="bullet"/>
      <w:start w:val="1"/>
    </w:lvl>
  </w:abstractNum>
  <w:abstractNum w:abstractNumId="20">
    <w:nsid w:val="744939A3"/>
    <w:multiLevelType w:val="hybridMultilevel"/>
    <w:lvl w:ilvl="0">
      <w:lvlJc w:val="left"/>
      <w:lvlText w:val="•"/>
      <w:numFmt w:val="bullet"/>
      <w:start w:val="1"/>
    </w:lvl>
  </w:abstractNum>
  <w:abstractNum w:abstractNumId="21">
    <w:nsid w:val="4FA0D2E3"/>
    <w:multiLevelType w:val="hybridMultilevel"/>
    <w:lvl w:ilvl="0">
      <w:lvlJc w:val="left"/>
      <w:lvlText w:val="•"/>
      <w:numFmt w:val="bullet"/>
      <w:start w:val="1"/>
    </w:lvl>
  </w:abstractNum>
  <w:abstractNum w:abstractNumId="22">
    <w:nsid w:val="6B1D2C14"/>
    <w:multiLevelType w:val="hybridMultilevel"/>
    <w:lvl w:ilvl="0">
      <w:lvlJc w:val="left"/>
      <w:lvlText w:val="•"/>
      <w:numFmt w:val="bullet"/>
      <w:start w:val="1"/>
    </w:lvl>
  </w:abstractNum>
  <w:abstractNum w:abstractNumId="23">
    <w:nsid w:val="68B867D3"/>
    <w:multiLevelType w:val="hybridMultilevel"/>
    <w:lvl w:ilvl="0">
      <w:lvlJc w:val="left"/>
      <w:lvlText w:val="%1."/>
      <w:numFmt w:val="decimal"/>
      <w:start w:val="1"/>
    </w:lvl>
  </w:abstractNum>
  <w:abstractNum w:abstractNumId="24">
    <w:nsid w:val="3F7F5DD9"/>
    <w:multiLevelType w:val="hybridMultilevel"/>
    <w:lvl w:ilvl="0">
      <w:lvlJc w:val="left"/>
      <w:lvlText w:val="(%1)"/>
      <w:numFmt w:val="decimal"/>
      <w:start w:val="1"/>
    </w:lvl>
  </w:abstractNum>
  <w:abstractNum w:abstractNumId="25">
    <w:nsid w:val="2AE05A34"/>
    <w:multiLevelType w:val="hybridMultilevel"/>
    <w:lvl w:ilvl="0">
      <w:lvlJc w:val="left"/>
      <w:lvlText w:val="(%1)"/>
      <w:numFmt w:val="decimal"/>
      <w:start w:val="1"/>
    </w:lvl>
  </w:abstractNum>
  <w:abstractNum w:abstractNumId="26">
    <w:nsid w:val="32794FF7"/>
    <w:multiLevelType w:val="hybridMultilevel"/>
    <w:lvl w:ilvl="0">
      <w:lvlJc w:val="left"/>
      <w:lvlText w:val="(%1)"/>
      <w:numFmt w:val="decimal"/>
      <w:start w:val="1"/>
    </w:lvl>
  </w:abstractNum>
  <w:abstractNum w:abstractNumId="27">
    <w:nsid w:val="5454945E"/>
    <w:multiLevelType w:val="hybridMultilevel"/>
    <w:lvl w:ilvl="0">
      <w:lvlJc w:val="left"/>
      <w:lvlText w:val="•"/>
      <w:numFmt w:val="bullet"/>
      <w:start w:val="1"/>
    </w:lvl>
  </w:abstractNum>
  <w:abstractNum w:abstractNumId="28">
    <w:nsid w:val="4DEFDFA0"/>
    <w:multiLevelType w:val="hybridMultilevel"/>
    <w:lvl w:ilvl="0">
      <w:lvlJc w:val="left"/>
      <w:lvlText w:val="•"/>
      <w:numFmt w:val="bullet"/>
      <w:start w:val="1"/>
    </w:lvl>
  </w:abstractNum>
  <w:abstractNum w:abstractNumId="29">
    <w:nsid w:val="2123D5F2"/>
    <w:multiLevelType w:val="hybridMultilevel"/>
    <w:lvl w:ilvl="0">
      <w:lvlJc w:val="left"/>
      <w:lvlText w:val="•"/>
      <w:numFmt w:val="bullet"/>
      <w:start w:val="1"/>
    </w:lvl>
  </w:abstractNum>
  <w:abstractNum w:abstractNumId="30">
    <w:nsid w:val="135B8110"/>
    <w:multiLevelType w:val="hybridMultilevel"/>
    <w:lvl w:ilvl="0">
      <w:lvlJc w:val="left"/>
      <w:lvlText w:val="(%1)"/>
      <w:numFmt w:val="decimal"/>
      <w:start w:val="1"/>
    </w:lvl>
  </w:abstractNum>
  <w:abstractNum w:abstractNumId="31">
    <w:nsid w:val="94927A8"/>
    <w:multiLevelType w:val="hybridMultilevel"/>
    <w:lvl w:ilvl="0">
      <w:lvlJc w:val="left"/>
      <w:lvlText w:val="(%1)"/>
      <w:numFmt w:val="decimal"/>
      <w:start w:val="1"/>
    </w:lvl>
  </w:abstractNum>
  <w:abstractNum w:abstractNumId="32">
    <w:nsid w:val="DCDF8F6"/>
    <w:multiLevelType w:val="hybridMultilevel"/>
    <w:lvl w:ilvl="0">
      <w:lvlJc w:val="left"/>
      <w:lvlText w:val="(%1)"/>
      <w:numFmt w:val="decimal"/>
      <w:start w:val="2"/>
    </w:lvl>
  </w:abstractNum>
  <w:abstractNum w:abstractNumId="33">
    <w:nsid w:val="52D7B105"/>
    <w:multiLevelType w:val="hybridMultilevel"/>
    <w:lvl w:ilvl="0">
      <w:lvlJc w:val="left"/>
      <w:lvlText w:val="(%1)"/>
      <w:numFmt w:val="decimal"/>
      <w:start w:val="1"/>
    </w:lvl>
  </w:abstractNum>
  <w:abstractNum w:abstractNumId="34">
    <w:nsid w:val="2E8A6394"/>
    <w:multiLevelType w:val="hybridMultilevel"/>
    <w:lvl w:ilvl="0">
      <w:lvlJc w:val="left"/>
      <w:lvlText w:val="(%1)"/>
      <w:numFmt w:val="lowerRoman"/>
      <w:start w:val="4"/>
    </w:lvl>
  </w:abstractNum>
  <w:abstractNum w:abstractNumId="35">
    <w:nsid w:val="24E60401"/>
    <w:multiLevelType w:val="hybridMultilevel"/>
    <w:lvl w:ilvl="0">
      <w:lvlJc w:val="left"/>
      <w:lvlText w:val="(%1)"/>
      <w:numFmt w:val="lowerLetter"/>
      <w:start w:val="1"/>
    </w:lvl>
  </w:abstractNum>
  <w:abstractNum w:abstractNumId="36">
    <w:nsid w:val="2A6AD9BE"/>
    <w:multiLevelType w:val="hybridMultilevel"/>
    <w:lvl w:ilvl="0">
      <w:lvlJc w:val="left"/>
      <w:lvlText w:val="(%1)"/>
      <w:numFmt w:val="lowerLetter"/>
      <w:start w:val="1"/>
    </w:lvl>
    <w:lvl w:ilvl="1">
      <w:lvlJc w:val="left"/>
      <w:lvlText w:val="(%2)"/>
      <w:numFmt w:val="lowerRoman"/>
      <w:start w:val="1"/>
    </w:lvl>
  </w:abstractNum>
  <w:abstractNum w:abstractNumId="37">
    <w:nsid w:val="BAAC1B4"/>
    <w:multiLevelType w:val="hybridMultilevel"/>
    <w:lvl w:ilvl="0">
      <w:lvlJc w:val="left"/>
      <w:lvlText w:val="(%1)"/>
      <w:numFmt w:val="lowerRoman"/>
      <w:start w:val="3"/>
    </w:lvl>
  </w:abstractNum>
  <w:abstractNum w:abstractNumId="38">
    <w:nsid w:val="36B2ACBC"/>
    <w:multiLevelType w:val="hybridMultilevel"/>
    <w:lvl w:ilvl="0">
      <w:lvlJc w:val="left"/>
      <w:lvlText w:val="(%1)"/>
      <w:numFmt w:val="lowerLetter"/>
      <w:start w:val="2"/>
    </w:lvl>
    <w:lvl w:ilvl="1">
      <w:lvlJc w:val="left"/>
      <w:lvlText w:val="(%2)"/>
      <w:numFmt w:val="lowerRoman"/>
      <w:start w:val="1"/>
    </w:lvl>
  </w:abstractNum>
  <w:abstractNum w:abstractNumId="39">
    <w:nsid w:val="779D8544"/>
    <w:multiLevelType w:val="hybridMultilevel"/>
    <w:lvl w:ilvl="0">
      <w:lvlJc w:val="left"/>
      <w:lvlText w:val="(%1)"/>
      <w:numFmt w:val="lowerLetter"/>
      <w:start w:val="1"/>
    </w:lvl>
  </w:abstractNum>
  <w:abstractNum w:abstractNumId="40">
    <w:nsid w:val="4AB26E78"/>
    <w:multiLevelType w:val="hybridMultilevel"/>
    <w:lvl w:ilvl="0">
      <w:lvlJc w:val="left"/>
      <w:lvlText w:val="(%1)"/>
      <w:numFmt w:val="lowerLetter"/>
      <w:start w:val="1"/>
    </w:lvl>
  </w:abstractNum>
  <w:abstractNum w:abstractNumId="41">
    <w:nsid w:val="21FAA2FA"/>
    <w:multiLevelType w:val="hybridMultilevel"/>
    <w:lvl w:ilvl="0">
      <w:lvlJc w:val="left"/>
      <w:lvlText w:val="(%1)"/>
      <w:numFmt w:val="decimal"/>
      <w:start w:val="1"/>
    </w:lvl>
  </w:abstractNum>
  <w:abstractNum w:abstractNumId="42">
    <w:nsid w:val="5451CF49"/>
    <w:multiLevelType w:val="hybridMultilevel"/>
    <w:lvl w:ilvl="0">
      <w:lvlJc w:val="left"/>
      <w:lvlText w:val="•"/>
      <w:numFmt w:val="bullet"/>
      <w:start w:val="1"/>
    </w:lvl>
  </w:abstractNum>
  <w:abstractNum w:abstractNumId="43">
    <w:nsid w:val="6181EF69"/>
    <w:multiLevelType w:val="hybridMultilevel"/>
    <w:lvl w:ilvl="0">
      <w:lvlJc w:val="left"/>
      <w:lvlText w:val="•"/>
      <w:numFmt w:val="bullet"/>
      <w:start w:val="1"/>
    </w:lvl>
  </w:abstractNum>
  <w:abstractNum w:abstractNumId="44">
    <w:nsid w:val="3E6400E6"/>
    <w:multiLevelType w:val="hybridMultilevel"/>
    <w:lvl w:ilvl="0">
      <w:lvlJc w:val="left"/>
      <w:lvlText w:val="(%1)"/>
      <w:numFmt w:val="lowerLetter"/>
      <w:start w:val="1"/>
    </w:lvl>
  </w:abstractNum>
  <w:abstractNum w:abstractNumId="45">
    <w:nsid w:val="14217E23"/>
    <w:multiLevelType w:val="hybridMultilevel"/>
    <w:lvl w:ilvl="0">
      <w:lvlJc w:val="left"/>
      <w:lvlText w:val="(%1)"/>
      <w:numFmt w:val="lowerLetter"/>
      <w:start w:val="2"/>
    </w:lvl>
  </w:abstractNum>
  <w:abstractNum w:abstractNumId="46">
    <w:nsid w:val="710757D0"/>
    <w:multiLevelType w:val="hybridMultilevel"/>
    <w:lvl w:ilvl="0">
      <w:lvlJc w:val="left"/>
      <w:lvlText w:val="(%1)"/>
      <w:numFmt w:val="lowerLetter"/>
      <w:start w:val="3"/>
    </w:lvl>
  </w:abstractNum>
  <w:abstractNum w:abstractNumId="47">
    <w:nsid w:val="5015CD1A"/>
    <w:multiLevelType w:val="hybridMultilevel"/>
    <w:lvl w:ilvl="0">
      <w:lvlJc w:val="left"/>
      <w:lvlText w:val="(%1)"/>
      <w:numFmt w:val="lowerLetter"/>
      <w:start w:val="4"/>
    </w:lvl>
  </w:abstractNum>
  <w:abstractNum w:abstractNumId="48">
    <w:nsid w:val="424479DA"/>
    <w:multiLevelType w:val="hybridMultilevel"/>
    <w:lvl w:ilvl="0">
      <w:lvlJc w:val="left"/>
      <w:lvlText w:val="(%1)"/>
      <w:numFmt w:val="lowerLetter"/>
      <w:start w:val="5"/>
    </w:lvl>
  </w:abstractNum>
  <w:abstractNum w:abstractNumId="49">
    <w:nsid w:val="1A9A9E69"/>
    <w:multiLevelType w:val="hybridMultilevel"/>
    <w:lvl w:ilvl="0">
      <w:lvlJc w:val="left"/>
      <w:lvlText w:val="(%1)"/>
      <w:numFmt w:val="lowerLetter"/>
      <w:start w:val="6"/>
    </w:lvl>
  </w:abstractNum>
  <w:abstractNum w:abstractNumId="50">
    <w:nsid w:val="475E256A"/>
    <w:multiLevelType w:val="hybridMultilevel"/>
    <w:lvl w:ilvl="0">
      <w:lvlJc w:val="left"/>
      <w:lvlText w:val="(%1)"/>
      <w:numFmt w:val="lowerLetter"/>
      <w:start w:val="8"/>
    </w:lvl>
  </w:abstractNum>
  <w:abstractNum w:abstractNumId="51">
    <w:nsid w:val="368DB37E"/>
    <w:multiLevelType w:val="hybridMultilevel"/>
    <w:lvl w:ilvl="0">
      <w:lvlJc w:val="left"/>
      <w:lvlText w:val="*"/>
      <w:numFmt w:val="bullet"/>
      <w:start w:val="1"/>
    </w:lvl>
  </w:abstractNum>
  <w:abstractNum w:abstractNumId="52">
    <w:nsid w:val="6A3B714C"/>
    <w:multiLevelType w:val="hybridMultilevel"/>
    <w:lvl w:ilvl="0">
      <w:lvlJc w:val="left"/>
      <w:lvlText w:val="*"/>
      <w:numFmt w:val="bullet"/>
      <w:start w:val="1"/>
    </w:lvl>
  </w:abstractNum>
  <w:abstractNum w:abstractNumId="53">
    <w:nsid w:val="327B517E"/>
    <w:multiLevelType w:val="hybridMultilevel"/>
    <w:lvl w:ilvl="0">
      <w:lvlJc w:val="left"/>
      <w:lvlText w:val="%1."/>
      <w:numFmt w:val="decimal"/>
      <w:start w:val="1"/>
    </w:lvl>
  </w:abstractNum>
  <w:abstractNum w:abstractNumId="54">
    <w:nsid w:val="1F461B51"/>
    <w:multiLevelType w:val="hybridMultilevel"/>
    <w:lvl w:ilvl="0">
      <w:lvlJc w:val="left"/>
      <w:lvlText w:val="%1."/>
      <w:numFmt w:val="decimal"/>
      <w:start w:val="2"/>
    </w:lvl>
    <w:lvl w:ilvl="1">
      <w:lvlJc w:val="left"/>
      <w:lvlText w:val="(%2)"/>
      <w:numFmt w:val="lowerLetter"/>
      <w:start w:val="1"/>
    </w:lvl>
  </w:abstractNum>
  <w:abstractNum w:abstractNumId="55">
    <w:nsid w:val="29BACF25"/>
    <w:multiLevelType w:val="hybridMultilevel"/>
    <w:lvl w:ilvl="0">
      <w:lvlJc w:val="left"/>
      <w:lvlText w:val="%1."/>
      <w:numFmt w:val="decimal"/>
      <w:start w:val="2"/>
    </w:lvl>
    <w:lvl w:ilvl="1">
      <w:lvlJc w:val="left"/>
      <w:lvlText w:val="(%2)"/>
      <w:numFmt w:val="lowerLetter"/>
      <w:start w:val="4"/>
    </w:lvl>
  </w:abstractNum>
  <w:abstractNum w:abstractNumId="56">
    <w:nsid w:val="5D5BABB3"/>
    <w:multiLevelType w:val="hybridMultilevel"/>
    <w:lvl w:ilvl="0">
      <w:lvlJc w:val="left"/>
      <w:lvlText w:val="%1."/>
      <w:numFmt w:val="decimal"/>
      <w:start w:val="2"/>
    </w:lvl>
  </w:abstractNum>
  <w:abstractNum w:abstractNumId="57">
    <w:nsid w:val="51BF6B48"/>
    <w:multiLevelType w:val="hybridMultilevel"/>
    <w:lvl w:ilvl="0">
      <w:lvlJc w:val="left"/>
      <w:lvlText w:val="(%1)"/>
      <w:numFmt w:val="lowerLetter"/>
      <w:start w:val="4"/>
    </w:lvl>
  </w:abstractNum>
  <w:abstractNum w:abstractNumId="58">
    <w:nsid w:val="7E0F6384"/>
    <w:multiLevelType w:val="hybridMultilevel"/>
    <w:lvl w:ilvl="0">
      <w:lvlJc w:val="left"/>
      <w:lvlText w:val="(%1)"/>
      <w:numFmt w:val="lowerLetter"/>
      <w:start w:val="4"/>
    </w:lvl>
    <w:lvl w:ilvl="1">
      <w:lvlJc w:val="left"/>
      <w:lvlText w:val="•"/>
      <w:numFmt w:val="bullet"/>
      <w:start w:val="1"/>
    </w:lvl>
  </w:abstractNum>
  <w:abstractNum w:abstractNumId="59">
    <w:nsid w:val="2B4B8B53"/>
    <w:multiLevelType w:val="hybridMultilevel"/>
    <w:lvl w:ilvl="0">
      <w:lvlJc w:val="left"/>
      <w:lvlText w:val="%1."/>
      <w:numFmt w:val="decimal"/>
      <w:start w:val="2"/>
    </w:lvl>
    <w:lvl w:ilvl="1">
      <w:lvlJc w:val="left"/>
      <w:lvlText w:val="(%2)"/>
      <w:numFmt w:val="lowerLetter"/>
      <w:start w:val="6"/>
    </w:lvl>
  </w:abstractNum>
  <w:abstractNum w:abstractNumId="60">
    <w:nsid w:val="72E3413A"/>
    <w:multiLevelType w:val="hybridMultilevel"/>
    <w:lvl w:ilvl="0">
      <w:lvlJc w:val="left"/>
      <w:lvlText w:val="%1."/>
      <w:numFmt w:val="decimal"/>
      <w:start w:val="2"/>
    </w:lvl>
    <w:lvl w:ilvl="1">
      <w:lvlJc w:val="left"/>
      <w:lvlText w:val="(%2)"/>
      <w:numFmt w:val="lowerLetter"/>
      <w:start w:val="10"/>
    </w:lvl>
  </w:abstractNum>
  <w:abstractNum w:abstractNumId="61">
    <w:nsid w:val="116AE494"/>
    <w:multiLevelType w:val="hybridMultilevel"/>
    <w:lvl w:ilvl="0">
      <w:lvlJc w:val="left"/>
      <w:lvlText w:val="(%1)"/>
      <w:numFmt w:val="lowerLetter"/>
      <w:start w:val="13"/>
    </w:lvl>
  </w:abstractNum>
  <w:abstractNum w:abstractNumId="62">
    <w:nsid w:val="3494B2FB"/>
    <w:multiLevelType w:val="hybridMultilevel"/>
    <w:lvl w:ilvl="0">
      <w:lvlJc w:val="left"/>
      <w:lvlText w:val="%1."/>
      <w:numFmt w:val="decimal"/>
      <w:start w:val="2"/>
    </w:lvl>
    <w:lvl w:ilvl="1">
      <w:lvlJc w:val="left"/>
      <w:lvlText w:val="(%2)"/>
      <w:numFmt w:val="lowerLetter"/>
      <w:start w:val="14"/>
    </w:lvl>
    <w:lvl w:ilvl="2">
      <w:lvlJc w:val="left"/>
      <w:lvlText w:val="•"/>
      <w:numFmt w:val="bullet"/>
      <w:start w:val="1"/>
    </w:lvl>
  </w:abstractNum>
  <w:abstractNum w:abstractNumId="63">
    <w:nsid w:val="B13A31"/>
    <w:multiLevelType w:val="hybridMultilevel"/>
    <w:lvl w:ilvl="0">
      <w:lvlJc w:val="left"/>
      <w:lvlText w:val="%1."/>
      <w:numFmt w:val="decimal"/>
      <w:start w:val="2"/>
    </w:lvl>
    <w:lvl w:ilvl="1">
      <w:lvlJc w:val="left"/>
      <w:lvlText w:val="(%2)"/>
      <w:numFmt w:val="lowerLetter"/>
      <w:start w:val="17"/>
    </w:lvl>
  </w:abstractNum>
  <w:abstractNum w:abstractNumId="64">
    <w:nsid w:val="64429599"/>
    <w:multiLevelType w:val="hybridMultilevel"/>
    <w:lvl w:ilvl="0">
      <w:lvlJc w:val="left"/>
      <w:lvlText w:val="%1."/>
      <w:numFmt w:val="decimal"/>
      <w:start w:val="2"/>
    </w:lvl>
    <w:lvl w:ilvl="1">
      <w:lvlJc w:val="left"/>
      <w:lvlText w:val="(%2)"/>
      <w:numFmt w:val="lowerLetter"/>
      <w:start w:val="19"/>
    </w:lvl>
  </w:abstractNum>
  <w:abstractNum w:abstractNumId="65">
    <w:nsid w:val="631F1690"/>
    <w:multiLevelType w:val="hybridMultilevel"/>
    <w:lvl w:ilvl="0">
      <w:lvlJc w:val="left"/>
      <w:lvlText w:val="(%1)"/>
      <w:numFmt w:val="lowerLetter"/>
      <w:start w:val="20"/>
    </w:lvl>
  </w:abstractNum>
  <w:abstractNum w:abstractNumId="66">
    <w:nsid w:val="25973E32"/>
    <w:multiLevelType w:val="hybridMultilevel"/>
    <w:lvl w:ilvl="0">
      <w:lvlJc w:val="left"/>
      <w:lvlText w:val="%1."/>
      <w:numFmt w:val="decimal"/>
      <w:start w:val="2"/>
    </w:lvl>
    <w:lvl w:ilvl="1">
      <w:lvlJc w:val="left"/>
      <w:lvlText w:val="(%2)"/>
      <w:numFmt w:val="lowerLetter"/>
      <w:start w:val="23"/>
    </w:lvl>
  </w:abstractNum>
  <w:abstractNum w:abstractNumId="67">
    <w:nsid w:val="EAD6F57"/>
    <w:multiLevelType w:val="hybridMultilevel"/>
    <w:lvl w:ilvl="0">
      <w:lvlJc w:val="left"/>
      <w:lvlText w:val="%1."/>
      <w:numFmt w:val="decimal"/>
      <w:start w:val="2"/>
    </w:lvl>
    <w:lvl w:ilvl="1">
      <w:lvlJc w:val="left"/>
      <w:lvlText w:val="(%2)"/>
      <w:numFmt w:val="lowerLetter"/>
      <w:start w:val="26"/>
    </w:lvl>
    <w:lvl w:ilvl="2">
      <w:lvlJc w:val="left"/>
      <w:lvlText w:val="(%3)"/>
      <w:numFmt w:val="lowerRoman"/>
      <w:start w:val="1"/>
    </w:lvl>
  </w:abstractNum>
  <w:abstractNum w:abstractNumId="68">
    <w:nsid w:val="6EC9D844"/>
    <w:multiLevelType w:val="hybridMultilevel"/>
    <w:lvl w:ilvl="0">
      <w:lvlJc w:val="left"/>
      <w:lvlText w:val="%1."/>
      <w:numFmt w:val="decimal"/>
      <w:start w:val="2"/>
    </w:lvl>
    <w:lvl w:ilvl="1">
      <w:lvlJc w:val="left"/>
      <w:lvlText w:val="(%2)"/>
      <w:numFmt w:val="lowerLetter"/>
      <w:start w:val="26"/>
    </w:lvl>
    <w:lvl w:ilvl="2">
      <w:lvlJc w:val="left"/>
      <w:lvlText w:val="(%3)"/>
      <w:numFmt w:val="lowerRoman"/>
      <w:start w:val="4"/>
    </w:lvl>
  </w:abstractNum>
  <w:abstractNum w:abstractNumId="69">
    <w:nsid w:val="5C49EAEE"/>
    <w:multiLevelType w:val="hybridMultilevel"/>
    <w:lvl w:ilvl="0">
      <w:lvlJc w:val="left"/>
      <w:lvlText w:val="%1."/>
      <w:numFmt w:val="decimal"/>
      <w:start w:val="2"/>
    </w:lvl>
    <w:lvl w:ilvl="1">
      <w:lvlJc w:val="left"/>
      <w:lvlText w:val="(%2)"/>
      <w:numFmt w:val="lowerLetter"/>
      <w:start w:val="26"/>
    </w:lvl>
    <w:lvl w:ilvl="2">
      <w:lvlJc w:val="left"/>
      <w:lvlText w:val="(%3)"/>
      <w:numFmt w:val="lowerRoman"/>
      <w:start w:val="9"/>
    </w:lvl>
  </w:abstractNum>
  <w:abstractNum w:abstractNumId="70">
    <w:nsid w:val="64AF49B"/>
    <w:multiLevelType w:val="hybridMultilevel"/>
    <w:lvl w:ilvl="0">
      <w:lvlJc w:val="left"/>
      <w:lvlText w:val="(%1)"/>
      <w:numFmt w:val="lowerLetter"/>
      <w:start w:val="27"/>
    </w:lvl>
    <w:lvl w:ilvl="1">
      <w:lvlJc w:val="left"/>
      <w:lvlText w:val="(%2)"/>
      <w:numFmt w:val="lowerRoman"/>
      <w:start w:val="1"/>
    </w:lvl>
  </w:abstractNum>
  <w:abstractNum w:abstractNumId="71">
    <w:nsid w:val="397C46BC"/>
    <w:multiLevelType w:val="hybridMultilevel"/>
    <w:lvl w:ilvl="0">
      <w:lvlJc w:val="left"/>
      <w:lvlText w:val="%1."/>
      <w:numFmt w:val="decimal"/>
      <w:start w:val="3"/>
    </w:lvl>
  </w:abstractNum>
  <w:abstractNum w:abstractNumId="72">
    <w:nsid w:val="7E448DE9"/>
    <w:multiLevelType w:val="hybridMultilevel"/>
    <w:lvl w:ilvl="0">
      <w:lvlJc w:val="left"/>
      <w:lvlText w:val="%1."/>
      <w:numFmt w:val="decimal"/>
      <w:start w:val="3"/>
    </w:lvl>
  </w:abstractNum>
  <w:abstractNum w:abstractNumId="73">
    <w:nsid w:val="5A9CC3E5"/>
    <w:multiLevelType w:val="hybridMultilevel"/>
    <w:lvl w:ilvl="0">
      <w:lvlJc w:val="left"/>
      <w:lvlText w:val="%1."/>
      <w:numFmt w:val="decimal"/>
      <w:start w:val="4"/>
    </w:lvl>
  </w:abstractNum>
  <w:abstractNum w:abstractNumId="74">
    <w:nsid w:val="1AFE3625"/>
    <w:multiLevelType w:val="hybridMultilevel"/>
    <w:lvl w:ilvl="0">
      <w:lvlJc w:val="left"/>
      <w:lvlText w:val="%1."/>
      <w:numFmt w:val="decimal"/>
      <w:start w:val="5"/>
    </w:lvl>
  </w:abstractNum>
  <w:abstractNum w:abstractNumId="75">
    <w:nsid w:val="3CA88ECF"/>
    <w:multiLevelType w:val="hybridMultilevel"/>
    <w:lvl w:ilvl="0">
      <w:lvlJc w:val="left"/>
      <w:lvlText w:val="%1."/>
      <w:numFmt w:val="decimal"/>
      <w:start w:val="6"/>
    </w:lvl>
  </w:abstractNum>
  <w:abstractNum w:abstractNumId="76">
    <w:nsid w:val="6EBE4208"/>
    <w:multiLevelType w:val="hybridMultilevel"/>
    <w:lvl w:ilvl="0">
      <w:lvlJc w:val="left"/>
      <w:lvlText w:val="%1."/>
      <w:numFmt w:val="decimal"/>
      <w:start w:val="6"/>
    </w:lvl>
  </w:abstractNum>
  <w:abstractNum w:abstractNumId="77">
    <w:nsid w:val="C058DF5"/>
    <w:multiLevelType w:val="hybridMultilevel"/>
    <w:lvl w:ilvl="0">
      <w:lvlJc w:val="left"/>
      <w:lvlText w:val="%1."/>
      <w:numFmt w:val="decimal"/>
      <w:start w:val="7"/>
    </w:lvl>
  </w:abstractNum>
  <w:abstractNum w:abstractNumId="78">
    <w:nsid w:val="CBE5BE9"/>
    <w:multiLevelType w:val="hybridMultilevel"/>
    <w:lvl w:ilvl="0">
      <w:lvlJc w:val="left"/>
      <w:lvlText w:val="%1."/>
      <w:numFmt w:val="decimal"/>
      <w:start w:val="7"/>
    </w:lvl>
  </w:abstractNum>
  <w:abstractNum w:abstractNumId="79">
    <w:nsid w:val="3102BBE2"/>
    <w:multiLevelType w:val="hybridMultilevel"/>
    <w:lvl w:ilvl="0">
      <w:lvlJc w:val="left"/>
      <w:lvlText w:val="(%1)"/>
      <w:numFmt w:val="lowerLetter"/>
      <w:start w:val="1"/>
    </w:lvl>
  </w:abstractNum>
  <w:abstractNum w:abstractNumId="80">
    <w:nsid w:val="26A02C5E"/>
    <w:multiLevelType w:val="hybridMultilevel"/>
    <w:lvl w:ilvl="0">
      <w:lvlJc w:val="left"/>
      <w:lvlText w:val="%1."/>
      <w:numFmt w:val="decimal"/>
      <w:start w:val="7"/>
    </w:lvl>
  </w:abstractNum>
  <w:abstractNum w:abstractNumId="81">
    <w:nsid w:val="541C8153"/>
    <w:multiLevelType w:val="hybridMultilevel"/>
    <w:lvl w:ilvl="0">
      <w:lvlJc w:val="left"/>
      <w:lvlText w:val="(%1)"/>
      <w:numFmt w:val="lowerLetter"/>
      <w:start w:val="2"/>
    </w:lvl>
  </w:abstractNum>
  <w:abstractNum w:abstractNumId="82">
    <w:nsid w:val="67906F60"/>
    <w:multiLevelType w:val="hybridMultilevel"/>
    <w:lvl w:ilvl="0">
      <w:lvlJc w:val="left"/>
      <w:lvlText w:val="(%1)"/>
      <w:numFmt w:val="lowerLetter"/>
      <w:start w:val="3"/>
    </w:lvl>
  </w:abstractNum>
  <w:abstractNum w:abstractNumId="83">
    <w:nsid w:val="10DB9DAA"/>
    <w:multiLevelType w:val="hybridMultilevel"/>
    <w:lvl w:ilvl="0">
      <w:lvlJc w:val="left"/>
      <w:lvlText w:val="%1."/>
      <w:numFmt w:val="decimal"/>
      <w:start w:val="7"/>
    </w:lvl>
  </w:abstractNum>
  <w:abstractNum w:abstractNumId="84">
    <w:nsid w:val="697D2D2"/>
    <w:multiLevelType w:val="hybridMultilevel"/>
    <w:lvl w:ilvl="0">
      <w:lvlJc w:val="left"/>
      <w:lvlText w:val="(%1)"/>
      <w:numFmt w:val="lowerLetter"/>
      <w:start w:val="3"/>
    </w:lvl>
  </w:abstractNum>
  <w:abstractNum w:abstractNumId="85">
    <w:nsid w:val="6D68AB2"/>
    <w:multiLevelType w:val="hybridMultilevel"/>
    <w:lvl w:ilvl="0">
      <w:lvlJc w:val="left"/>
      <w:lvlText w:val="%1."/>
      <w:numFmt w:val="decimal"/>
      <w:start w:val="8"/>
    </w:lvl>
  </w:abstractNum>
  <w:abstractNum w:abstractNumId="86">
    <w:nsid w:val="3A966CD0"/>
    <w:multiLevelType w:val="hybridMultilevel"/>
    <w:lvl w:ilvl="0">
      <w:lvlJc w:val="left"/>
      <w:lvlText w:val="%1."/>
      <w:numFmt w:val="decimal"/>
      <w:start w:val="8"/>
    </w:lvl>
  </w:abstractNum>
  <w:abstractNum w:abstractNumId="87">
    <w:nsid w:val="63F37E85"/>
    <w:multiLevelType w:val="hybridMultilevel"/>
    <w:lvl w:ilvl="0">
      <w:lvlJc w:val="left"/>
      <w:lvlText w:val="%1."/>
      <w:numFmt w:val="decimal"/>
      <w:start w:val="10"/>
    </w:lvl>
  </w:abstractNum>
  <w:abstractNum w:abstractNumId="88">
    <w:nsid w:val="5895F5FA"/>
    <w:multiLevelType w:val="hybridMultilevel"/>
    <w:lvl w:ilvl="0">
      <w:lvlJc w:val="left"/>
      <w:lvlText w:val="%1."/>
      <w:numFmt w:val="decimal"/>
      <w:start w:val="11"/>
    </w:lvl>
  </w:abstractNum>
  <w:abstractNum w:abstractNumId="89">
    <w:nsid w:val="38A5D054"/>
    <w:multiLevelType w:val="hybridMultilevel"/>
    <w:lvl w:ilvl="0">
      <w:lvlJc w:val="left"/>
      <w:lvlText w:val="%1."/>
      <w:numFmt w:val="decimal"/>
      <w:start w:val="11"/>
    </w:lvl>
  </w:abstractNum>
  <w:abstractNum w:abstractNumId="90">
    <w:nsid w:val="F3F09D8"/>
    <w:multiLevelType w:val="hybridMultilevel"/>
    <w:lvl w:ilvl="0">
      <w:lvlJc w:val="left"/>
      <w:lvlText w:val="%1."/>
      <w:numFmt w:val="decimal"/>
      <w:start w:val="12"/>
    </w:lvl>
  </w:abstractNum>
  <w:abstractNum w:abstractNumId="91">
    <w:nsid w:val="4B793735"/>
    <w:multiLevelType w:val="hybridMultilevel"/>
    <w:lvl w:ilvl="0">
      <w:lvlJc w:val="left"/>
      <w:lvlText w:val="%1."/>
      <w:numFmt w:val="decimal"/>
      <w:start w:val="12"/>
    </w:lvl>
  </w:abstractNum>
  <w:abstractNum w:abstractNumId="92">
    <w:nsid w:val="4A10B4E8"/>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93">
    <w:nsid w:val="43D3BCD4"/>
    <w:multiLevelType w:val="hybridMultilevel"/>
    <w:lvl w:ilvl="0">
      <w:lvlJc w:val="left"/>
      <w:lvlText w:val="(%1)"/>
      <w:numFmt w:val="lowerRoman"/>
      <w:start w:val="2"/>
    </w:lvl>
  </w:abstractNum>
  <w:abstractNum w:abstractNumId="94">
    <w:nsid w:val="4C2A7166"/>
    <w:multiLevelType w:val="hybridMultilevel"/>
    <w:lvl w:ilvl="0">
      <w:lvlJc w:val="left"/>
      <w:lvlText w:val="%1."/>
      <w:numFmt w:val="decimal"/>
      <w:start w:val="13"/>
    </w:lvl>
    <w:lvl w:ilvl="1">
      <w:lvlJc w:val="left"/>
      <w:lvlText w:val="(%2)"/>
      <w:numFmt w:val="lowerLetter"/>
      <w:start w:val="2"/>
    </w:lvl>
  </w:abstractNum>
  <w:abstractNum w:abstractNumId="95">
    <w:nsid w:val="2E534A82"/>
    <w:multiLevelType w:val="hybridMultilevel"/>
    <w:lvl w:ilvl="0">
      <w:lvlJc w:val="left"/>
      <w:lvlText w:val="(%1)"/>
      <w:numFmt w:val="lowerLetter"/>
      <w:start w:val="3"/>
    </w:lvl>
  </w:abstractNum>
  <w:abstractNum w:abstractNumId="96">
    <w:nsid w:val="26F2D364"/>
    <w:multiLevelType w:val="hybridMultilevel"/>
    <w:lvl w:ilvl="0">
      <w:lvlJc w:val="left"/>
      <w:lvlText w:val="%1."/>
      <w:numFmt w:val="decimal"/>
      <w:start w:val="13"/>
    </w:lvl>
  </w:abstractNum>
  <w:abstractNum w:abstractNumId="97">
    <w:nsid w:val="71C1AF98"/>
    <w:multiLevelType w:val="hybridMultilevel"/>
    <w:lvl w:ilvl="0">
      <w:lvlJc w:val="left"/>
      <w:lvlText w:val="(%1)"/>
      <w:numFmt w:val="lowerLetter"/>
      <w:start w:val="3"/>
    </w:lvl>
  </w:abstractNum>
  <w:abstractNum w:abstractNumId="98">
    <w:nsid w:val="3D00B9D9"/>
    <w:multiLevelType w:val="hybridMultilevel"/>
    <w:lvl w:ilvl="0">
      <w:lvlJc w:val="left"/>
      <w:lvlText w:val="(%1)"/>
      <w:numFmt w:val="lowerLetter"/>
      <w:start w:val="4"/>
    </w:lvl>
  </w:abstractNum>
  <w:abstractNum w:abstractNumId="99">
    <w:nsid w:val="15BCABA8"/>
    <w:multiLevelType w:val="hybridMultilevel"/>
    <w:lvl w:ilvl="0">
      <w:lvlJc w:val="left"/>
      <w:lvlText w:val="(%1)"/>
      <w:numFmt w:val="lowerLetter"/>
      <w:start w:val="5"/>
    </w:lvl>
  </w:abstractNum>
  <w:abstractNum w:abstractNumId="100">
    <w:nsid w:val="4E0B9A87"/>
    <w:multiLevelType w:val="hybridMultilevel"/>
    <w:lvl w:ilvl="0">
      <w:lvlJc w:val="left"/>
      <w:lvlText w:val="%1."/>
      <w:numFmt w:val="decimal"/>
      <w:start w:val="13"/>
    </w:lvl>
  </w:abstractNum>
  <w:abstractNum w:abstractNumId="101">
    <w:nsid w:val="434BAE75"/>
    <w:multiLevelType w:val="hybridMultilevel"/>
    <w:lvl w:ilvl="0">
      <w:lvlJc w:val="left"/>
      <w:lvlText w:val="(%1)"/>
      <w:numFmt w:val="lowerLetter"/>
      <w:start w:val="5"/>
    </w:lvl>
  </w:abstractNum>
  <w:abstractNum w:abstractNumId="102">
    <w:nsid w:val="4F38F265"/>
    <w:multiLevelType w:val="hybridMultilevel"/>
    <w:lvl w:ilvl="0">
      <w:lvlJc w:val="left"/>
      <w:lvlText w:val="(%1)"/>
      <w:numFmt w:val="lowerLetter"/>
      <w:start w:val="6"/>
    </w:lvl>
  </w:abstractNum>
  <w:abstractNum w:abstractNumId="103">
    <w:nsid w:val="4C502870"/>
    <w:multiLevelType w:val="hybridMultilevel"/>
    <w:lvl w:ilvl="0">
      <w:lvlJc w:val="left"/>
      <w:lvlText w:val="%1."/>
      <w:numFmt w:val="decimal"/>
      <w:start w:val="13"/>
    </w:lvl>
  </w:abstractNum>
  <w:abstractNum w:abstractNumId="104">
    <w:nsid w:val="1DE8725A"/>
    <w:multiLevelType w:val="hybridMultilevel"/>
    <w:lvl w:ilvl="0">
      <w:lvlJc w:val="left"/>
      <w:lvlText w:val="(%1)"/>
      <w:numFmt w:val="lowerLetter"/>
      <w:start w:val="6"/>
    </w:lvl>
  </w:abstractNum>
  <w:abstractNum w:abstractNumId="105">
    <w:nsid w:val="6A37288A"/>
    <w:multiLevelType w:val="hybridMultilevel"/>
    <w:lvl w:ilvl="0">
      <w:lvlJc w:val="left"/>
      <w:lvlText w:val="(%1)"/>
      <w:numFmt w:val="lowerLetter"/>
      <w:start w:val="7"/>
    </w:lvl>
  </w:abstractNum>
  <w:abstractNum w:abstractNumId="106">
    <w:nsid w:val="8F8B73F"/>
    <w:multiLevelType w:val="hybridMultilevel"/>
    <w:lvl w:ilvl="0">
      <w:lvlJc w:val="left"/>
      <w:lvlText w:val="%1."/>
      <w:numFmt w:val="decimal"/>
      <w:start w:val="14"/>
    </w:lvl>
  </w:abstractNum>
  <w:abstractNum w:abstractNumId="107">
    <w:nsid w:val="CA6B462"/>
    <w:multiLevelType w:val="hybridMultilevel"/>
    <w:lvl w:ilvl="0">
      <w:lvlJc w:val="left"/>
      <w:lvlText w:val="%1."/>
      <w:numFmt w:val="decimal"/>
      <w:start w:val="14"/>
    </w:lvl>
  </w:abstractNum>
  <w:abstractNum w:abstractNumId="108">
    <w:nsid w:val="763CB680"/>
    <w:multiLevelType w:val="hybridMultilevel"/>
    <w:lvl w:ilvl="0">
      <w:lvlJc w:val="left"/>
      <w:lvlText w:val="%1."/>
      <w:numFmt w:val="decimal"/>
      <w:start w:val="15"/>
    </w:lvl>
  </w:abstractNum>
  <w:abstractNum w:abstractNumId="109">
    <w:nsid w:val="15B71329"/>
    <w:multiLevelType w:val="hybridMultilevel"/>
    <w:lvl w:ilvl="0">
      <w:lvlJc w:val="left"/>
      <w:lvlText w:val="%1."/>
      <w:numFmt w:val="decimal"/>
      <w:start w:val="17"/>
    </w:lvl>
    <w:lvl w:ilvl="1">
      <w:lvlJc w:val="left"/>
      <w:lvlText w:val="(%2)"/>
      <w:numFmt w:val="lowerLetter"/>
      <w:start w:val="1"/>
    </w:lvl>
  </w:abstractNum>
  <w:abstractNum w:abstractNumId="110">
    <w:nsid w:val="3DA97044"/>
    <w:multiLevelType w:val="hybridMultilevel"/>
    <w:lvl w:ilvl="0">
      <w:lvlJc w:val="left"/>
      <w:lvlText w:val="(%1)"/>
      <w:numFmt w:val="lowerLetter"/>
      <w:start w:val="2"/>
    </w:lvl>
  </w:abstractNum>
  <w:abstractNum w:abstractNumId="111">
    <w:nsid w:val="1CDCE2DE"/>
    <w:multiLevelType w:val="hybridMultilevel"/>
    <w:lvl w:ilvl="0">
      <w:lvlJc w:val="left"/>
      <w:lvlText w:val="%1."/>
      <w:numFmt w:val="decimal"/>
      <w:start w:val="17"/>
    </w:lvl>
    <w:lvl w:ilvl="1">
      <w:lvlJc w:val="left"/>
      <w:lvlText w:val="(%2)"/>
      <w:numFmt w:val="lowerLetter"/>
      <w:start w:val="3"/>
    </w:lvl>
  </w:abstractNum>
  <w:abstractNum w:abstractNumId="112">
    <w:nsid w:val="69D3947C"/>
    <w:multiLevelType w:val="hybridMultilevel"/>
    <w:lvl w:ilvl="0">
      <w:lvlJc w:val="left"/>
      <w:lvlText w:val="%1"/>
      <w:numFmt w:val="decimal"/>
      <w:start w:val="1"/>
    </w:lvl>
    <w:lvl w:ilvl="1">
      <w:lvlJc w:val="left"/>
      <w:lvlText w:val="(%2)"/>
      <w:numFmt w:val="lowerLetter"/>
      <w:start w:val="1"/>
    </w:lvl>
  </w:abstractNum>
  <w:abstractNum w:abstractNumId="113">
    <w:nsid w:val="2539DFA5"/>
    <w:multiLevelType w:val="hybridMultilevel"/>
    <w:lvl w:ilvl="0">
      <w:lvlJc w:val="left"/>
      <w:lvlText w:val="%1."/>
      <w:numFmt w:val="decimal"/>
      <w:start w:val="19"/>
    </w:lvl>
  </w:abstractNum>
  <w:abstractNum w:abstractNumId="114">
    <w:nsid w:val="2DB88089"/>
    <w:multiLevelType w:val="hybridMultilevel"/>
    <w:lvl w:ilvl="0">
      <w:lvlJc w:val="left"/>
      <w:lvlText w:val="%1."/>
      <w:numFmt w:val="decimal"/>
      <w:start w:val="19"/>
    </w:lvl>
  </w:abstractNum>
  <w:abstractNum w:abstractNumId="115">
    <w:nsid w:val="706B674E"/>
    <w:multiLevelType w:val="hybridMultilevel"/>
    <w:lvl w:ilvl="0">
      <w:lvlJc w:val="left"/>
      <w:lvlText w:val="(%1)"/>
      <w:numFmt w:val="lowerLetter"/>
      <w:start w:val="1"/>
    </w:lvl>
  </w:abstractNum>
  <w:abstractNum w:abstractNumId="116">
    <w:nsid w:val="2C106A57"/>
    <w:multiLevelType w:val="hybridMultilevel"/>
    <w:lvl w:ilvl="0">
      <w:lvlJc w:val="left"/>
      <w:lvlText w:val="%1."/>
      <w:numFmt w:val="decimal"/>
      <w:start w:val="19"/>
    </w:lvl>
    <w:lvl w:ilvl="1">
      <w:lvlJc w:val="left"/>
      <w:lvlText w:val="(%2)"/>
      <w:numFmt w:val="lowerLetter"/>
      <w:start w:val="2"/>
    </w:lvl>
  </w:abstractNum>
  <w:abstractNum w:abstractNumId="117">
    <w:nsid w:val="684EED59"/>
    <w:multiLevelType w:val="hybridMultilevel"/>
    <w:lvl w:ilvl="0">
      <w:lvlJc w:val="left"/>
      <w:lvlText w:val="%1"/>
      <w:numFmt w:val="decimal"/>
      <w:start w:val="1"/>
    </w:lvl>
    <w:lvl w:ilvl="1">
      <w:lvlJc w:val="left"/>
      <w:lvlText w:val="(%2)"/>
      <w:numFmt w:val="lowerLetter"/>
      <w:start w:val="3"/>
    </w:lvl>
  </w:abstractNum>
  <w:abstractNum w:abstractNumId="118">
    <w:nsid w:val="545EE5D3"/>
    <w:multiLevelType w:val="hybridMultilevel"/>
    <w:lvl w:ilvl="0">
      <w:lvlJc w:val="left"/>
      <w:lvlText w:val="%1."/>
      <w:numFmt w:val="decimal"/>
      <w:start w:val="20"/>
    </w:lvl>
    <w:lvl w:ilvl="1">
      <w:lvlJc w:val="left"/>
      <w:lvlText w:val="%2"/>
      <w:numFmt w:val="lowerLetter"/>
      <w:start w:val="1"/>
    </w:lvl>
  </w:abstractNum>
  <w:abstractNum w:abstractNumId="119">
    <w:nsid w:val="4A66051"/>
    <w:multiLevelType w:val="hybridMultilevel"/>
    <w:lvl w:ilvl="0">
      <w:lvlJc w:val="left"/>
      <w:lvlText w:val="%1."/>
      <w:numFmt w:val="decimal"/>
      <w:start w:val="20"/>
    </w:lvl>
  </w:abstractNum>
  <w:abstractNum w:abstractNumId="120">
    <w:nsid w:val="20F4BDAD"/>
    <w:multiLevelType w:val="hybridMultilevel"/>
    <w:lvl w:ilvl="0">
      <w:lvlJc w:val="left"/>
      <w:lvlText w:val="%1."/>
      <w:numFmt w:val="decimal"/>
      <w:start w:val="21"/>
    </w:lvl>
  </w:abstractNum>
  <w:abstractNum w:abstractNumId="121">
    <w:nsid w:val="639DEFAC"/>
    <w:multiLevelType w:val="hybridMultilevel"/>
    <w:lvl w:ilvl="0">
      <w:lvlJc w:val="left"/>
      <w:lvlText w:val="(%1)"/>
      <w:numFmt w:val="lowerLetter"/>
      <w:start w:val="1"/>
    </w:lvl>
  </w:abstractNum>
  <w:abstractNum w:abstractNumId="122">
    <w:nsid w:val="501F9786"/>
    <w:multiLevelType w:val="hybridMultilevel"/>
    <w:lvl w:ilvl="0">
      <w:lvlJc w:val="left"/>
      <w:lvlText w:val="%1."/>
      <w:numFmt w:val="decimal"/>
      <w:start w:val="21"/>
    </w:lvl>
  </w:abstractNum>
  <w:abstractNum w:abstractNumId="123">
    <w:nsid w:val="6B057295"/>
    <w:multiLevelType w:val="hybridMultilevel"/>
    <w:lvl w:ilvl="0">
      <w:lvlJc w:val="left"/>
      <w:lvlText w:val="(%1)"/>
      <w:numFmt w:val="lowerLetter"/>
      <w:start w:val="1"/>
    </w:lvl>
  </w:abstractNum>
  <w:abstractNum w:abstractNumId="124">
    <w:nsid w:val="2771AC80"/>
    <w:multiLevelType w:val="hybridMultilevel"/>
    <w:lvl w:ilvl="0">
      <w:lvlJc w:val="left"/>
      <w:lvlText w:val="(%1)"/>
      <w:numFmt w:val="lowerLetter"/>
      <w:start w:val="2"/>
    </w:lvl>
  </w:abstractNum>
  <w:abstractNum w:abstractNumId="125">
    <w:nsid w:val="1C4A08EC"/>
    <w:multiLevelType w:val="hybridMultilevel"/>
    <w:lvl w:ilvl="0">
      <w:lvlJc w:val="left"/>
      <w:lvlText w:val="(%1)"/>
      <w:numFmt w:val="lowerLetter"/>
      <w:start w:val="3"/>
    </w:lvl>
  </w:abstractNum>
  <w:abstractNum w:abstractNumId="126">
    <w:nsid w:val="1958BD17"/>
    <w:multiLevelType w:val="hybridMultilevel"/>
    <w:lvl w:ilvl="0">
      <w:lvlJc w:val="left"/>
      <w:lvlText w:val="(%1)"/>
      <w:numFmt w:val="lowerLetter"/>
      <w:start w:val="4"/>
    </w:lvl>
  </w:abstractNum>
  <w:abstractNum w:abstractNumId="127">
    <w:nsid w:val="4E647FE4"/>
    <w:multiLevelType w:val="hybridMultilevel"/>
    <w:lvl w:ilvl="0">
      <w:lvlJc w:val="left"/>
      <w:lvlText w:val="(%1)"/>
      <w:numFmt w:val="lowerLetter"/>
      <w:start w:val="5"/>
    </w:lvl>
  </w:abstractNum>
  <w:abstractNum w:abstractNumId="128">
    <w:nsid w:val="E0BB885"/>
    <w:multiLevelType w:val="hybridMultilevel"/>
    <w:lvl w:ilvl="0">
      <w:lvlJc w:val="left"/>
      <w:lvlText w:val="%1."/>
      <w:numFmt w:val="decimal"/>
      <w:start w:val="21"/>
    </w:lvl>
  </w:abstractNum>
  <w:abstractNum w:abstractNumId="129">
    <w:nsid w:val="565976F1"/>
    <w:multiLevelType w:val="hybridMultilevel"/>
    <w:lvl w:ilvl="0">
      <w:lvlJc w:val="left"/>
      <w:lvlText w:val="(%1)"/>
      <w:numFmt w:val="lowerLetter"/>
      <w:start w:val="6"/>
    </w:lvl>
  </w:abstractNum>
  <w:abstractNum w:abstractNumId="130">
    <w:nsid w:val="64212B8C"/>
    <w:multiLevelType w:val="hybridMultilevel"/>
    <w:lvl w:ilvl="0">
      <w:lvlJc w:val="left"/>
      <w:lvlText w:val="(%1)"/>
      <w:numFmt w:val="lowerLetter"/>
      <w:start w:val="7"/>
    </w:lvl>
  </w:abstractNum>
  <w:abstractNum w:abstractNumId="131">
    <w:nsid w:val="5C17530C"/>
    <w:multiLevelType w:val="hybridMultilevel"/>
    <w:lvl w:ilvl="0">
      <w:lvlJc w:val="left"/>
      <w:lvlText w:val="(%1)"/>
      <w:numFmt w:val="lowerLetter"/>
      <w:start w:val="8"/>
    </w:lvl>
  </w:abstractNum>
  <w:abstractNum w:abstractNumId="132">
    <w:nsid w:val="19A52566"/>
    <w:multiLevelType w:val="hybridMultilevel"/>
    <w:lvl w:ilvl="0">
      <w:lvlJc w:val="left"/>
      <w:lvlText w:val="%1."/>
      <w:numFmt w:val="decimal"/>
      <w:start w:val="21"/>
    </w:lvl>
  </w:abstractNum>
  <w:abstractNum w:abstractNumId="133">
    <w:nsid w:val="335A1DF1"/>
    <w:multiLevelType w:val="hybridMultilevel"/>
    <w:lvl w:ilvl="0">
      <w:lvlJc w:val="left"/>
      <w:lvlText w:val="(%1)"/>
      <w:numFmt w:val="lowerLetter"/>
      <w:start w:val="8"/>
    </w:lvl>
  </w:abstractNum>
  <w:abstractNum w:abstractNumId="134">
    <w:nsid w:val="28677B7C"/>
    <w:multiLevelType w:val="hybridMultilevel"/>
    <w:lvl w:ilvl="0">
      <w:lvlJc w:val="left"/>
      <w:lvlText w:val="%1."/>
      <w:numFmt w:val="decimal"/>
      <w:start w:val="1"/>
    </w:lvl>
  </w:abstractNum>
  <w:abstractNum w:abstractNumId="135">
    <w:nsid w:val="378D97C0"/>
    <w:multiLevelType w:val="hybridMultilevel"/>
    <w:lvl w:ilvl="0">
      <w:lvlJc w:val="left"/>
      <w:lvlText w:val="%1."/>
      <w:numFmt w:val="decimal"/>
      <w:start w:val="2"/>
    </w:lvl>
    <w:lvl w:ilvl="1">
      <w:lvlJc w:val="left"/>
      <w:lvlText w:val="(%2)"/>
      <w:numFmt w:val="lowerLetter"/>
      <w:start w:val="1"/>
    </w:lvl>
  </w:abstractNum>
  <w:abstractNum w:abstractNumId="136">
    <w:nsid w:val="1D91467C"/>
    <w:multiLevelType w:val="hybridMultilevel"/>
    <w:lvl w:ilvl="0">
      <w:lvlJc w:val="left"/>
      <w:lvlText w:val="%1."/>
      <w:numFmt w:val="decimal"/>
      <w:start w:val="2"/>
    </w:lvl>
    <w:lvl w:ilvl="1">
      <w:lvlJc w:val="left"/>
      <w:lvlText w:val="(%2)"/>
      <w:numFmt w:val="lowerLetter"/>
      <w:start w:val="3"/>
    </w:lvl>
    <w:lvl w:ilvl="2">
      <w:lvlJc w:val="left"/>
      <w:lvlText w:val="•"/>
      <w:numFmt w:val="bullet"/>
      <w:start w:val="1"/>
    </w:lvl>
  </w:abstractNum>
  <w:abstractNum w:abstractNumId="137">
    <w:nsid w:val="316032BB"/>
    <w:multiLevelType w:val="hybridMultilevel"/>
    <w:lvl w:ilvl="0">
      <w:lvlJc w:val="left"/>
      <w:lvlText w:val="(%1)"/>
      <w:numFmt w:val="lowerLetter"/>
      <w:start w:val="5"/>
    </w:lvl>
  </w:abstractNum>
  <w:abstractNum w:abstractNumId="138">
    <w:nsid w:val="44344C22"/>
    <w:multiLevelType w:val="hybridMultilevel"/>
    <w:lvl w:ilvl="0">
      <w:lvlJc w:val="left"/>
      <w:lvlText w:val="%1."/>
      <w:numFmt w:val="decimal"/>
      <w:start w:val="2"/>
    </w:lvl>
    <w:lvl w:ilvl="1">
      <w:lvlJc w:val="left"/>
      <w:lvlText w:val="(%2)"/>
      <w:numFmt w:val="lowerLetter"/>
      <w:start w:val="8"/>
    </w:lvl>
  </w:abstractNum>
  <w:abstractNum w:abstractNumId="139">
    <w:nsid w:val="13CDFCFC"/>
    <w:multiLevelType w:val="hybridMultilevel"/>
    <w:lvl w:ilvl="0">
      <w:lvlJc w:val="left"/>
      <w:lvlText w:val="(%1)"/>
      <w:numFmt w:val="lowerLetter"/>
      <w:start w:val="10"/>
    </w:lvl>
  </w:abstractNum>
  <w:abstractNum w:abstractNumId="140">
    <w:nsid w:val="471745E4"/>
    <w:multiLevelType w:val="hybridMultilevel"/>
    <w:lvl w:ilvl="0">
      <w:lvlJc w:val="left"/>
      <w:lvlText w:val="%1."/>
      <w:numFmt w:val="decimal"/>
      <w:start w:val="2"/>
    </w:lvl>
    <w:lvl w:ilvl="1">
      <w:lvlJc w:val="left"/>
      <w:lvlText w:val="(%2)"/>
      <w:numFmt w:val="lowerLetter"/>
      <w:start w:val="11"/>
    </w:lvl>
  </w:abstractNum>
  <w:abstractNum w:abstractNumId="141">
    <w:nsid w:val="1DDBC66"/>
    <w:multiLevelType w:val="hybridMultilevel"/>
    <w:lvl w:ilvl="0">
      <w:lvlJc w:val="left"/>
      <w:lvlText w:val="%1."/>
      <w:numFmt w:val="decimal"/>
      <w:start w:val="2"/>
    </w:lvl>
    <w:lvl w:ilvl="1">
      <w:lvlJc w:val="left"/>
      <w:lvlText w:val="(%2)"/>
      <w:numFmt w:val="lowerLetter"/>
      <w:start w:val="14"/>
    </w:lvl>
    <w:lvl w:ilvl="2">
      <w:lvlJc w:val="left"/>
      <w:lvlText w:val="•"/>
      <w:numFmt w:val="bullet"/>
      <w:start w:val="1"/>
    </w:lvl>
  </w:abstractNum>
  <w:abstractNum w:abstractNumId="142">
    <w:nsid w:val="30AADFDA"/>
    <w:multiLevelType w:val="hybridMultilevel"/>
    <w:lvl w:ilvl="0">
      <w:lvlJc w:val="left"/>
      <w:lvlText w:val="%1."/>
      <w:numFmt w:val="decimal"/>
      <w:start w:val="2"/>
    </w:lvl>
    <w:lvl w:ilvl="1">
      <w:lvlJc w:val="left"/>
      <w:lvlText w:val="(%2)"/>
      <w:numFmt w:val="lowerLetter"/>
      <w:start w:val="16"/>
    </w:lvl>
  </w:abstractNum>
  <w:abstractNum w:abstractNumId="143">
    <w:nsid w:val="30EADA61"/>
    <w:multiLevelType w:val="hybridMultilevel"/>
    <w:lvl w:ilvl="0">
      <w:lvlJc w:val="left"/>
      <w:lvlText w:val="(%1)"/>
      <w:numFmt w:val="lowerLetter"/>
      <w:start w:val="17"/>
    </w:lvl>
  </w:abstractNum>
  <w:abstractNum w:abstractNumId="144">
    <w:nsid w:val="27179C0B"/>
    <w:multiLevelType w:val="hybridMultilevel"/>
    <w:lvl w:ilvl="0">
      <w:lvlJc w:val="left"/>
      <w:lvlText w:val="%1."/>
      <w:numFmt w:val="decimal"/>
      <w:start w:val="2"/>
    </w:lvl>
    <w:lvl w:ilvl="1">
      <w:lvlJc w:val="left"/>
      <w:lvlText w:val="(%2)"/>
      <w:numFmt w:val="lowerLetter"/>
      <w:start w:val="19"/>
    </w:lvl>
  </w:abstractNum>
  <w:abstractNum w:abstractNumId="145">
    <w:nsid w:val="5E636063"/>
    <w:multiLevelType w:val="hybridMultilevel"/>
    <w:lvl w:ilvl="0">
      <w:lvlJc w:val="left"/>
      <w:lvlText w:val="%1."/>
      <w:numFmt w:val="decimal"/>
      <w:start w:val="2"/>
    </w:lvl>
    <w:lvl w:ilvl="1">
      <w:lvlJc w:val="left"/>
      <w:lvlText w:val="(%2)"/>
      <w:numFmt w:val="lowerRoman"/>
      <w:start w:val="5"/>
    </w:lvl>
    <w:lvl w:ilvl="2">
      <w:lvlJc w:val="left"/>
      <w:lvlText w:val="(%3)"/>
      <w:numFmt w:val="lowerRoman"/>
      <w:start w:val="1"/>
    </w:lvl>
  </w:abstractNum>
  <w:abstractNum w:abstractNumId="146">
    <w:nsid w:val="215641AF"/>
    <w:multiLevelType w:val="hybridMultilevel"/>
    <w:lvl w:ilvl="0">
      <w:lvlJc w:val="left"/>
      <w:lvlText w:val="%1."/>
      <w:numFmt w:val="decimal"/>
      <w:start w:val="2"/>
    </w:lvl>
    <w:lvl w:ilvl="1">
      <w:lvlJc w:val="left"/>
      <w:lvlText w:val="(%2)"/>
      <w:numFmt w:val="lowerRoman"/>
      <w:start w:val="5"/>
    </w:lvl>
    <w:lvl w:ilvl="2">
      <w:lvlJc w:val="left"/>
      <w:lvlText w:val="(%3)"/>
      <w:numFmt w:val="lowerRoman"/>
      <w:start w:val="4"/>
    </w:lvl>
  </w:abstractNum>
  <w:abstractNum w:abstractNumId="147">
    <w:nsid w:val="53280662"/>
    <w:multiLevelType w:val="hybridMultilevel"/>
    <w:lvl w:ilvl="0">
      <w:lvlJc w:val="left"/>
      <w:lvlText w:val="(%1)"/>
      <w:numFmt w:val="lowerLetter"/>
      <w:start w:val="23"/>
    </w:lvl>
    <w:lvl w:ilvl="1">
      <w:lvlJc w:val="left"/>
      <w:lvlText w:val="(%2)"/>
      <w:numFmt w:val="lowerRoman"/>
      <w:start w:val="1"/>
    </w:lvl>
  </w:abstractNum>
  <w:abstractNum w:abstractNumId="148">
    <w:nsid w:val="46B24DBC"/>
    <w:multiLevelType w:val="hybridMultilevel"/>
    <w:lvl w:ilvl="0">
      <w:lvlJc w:val="left"/>
      <w:lvlText w:val="%1."/>
      <w:numFmt w:val="decimal"/>
      <w:start w:val="2"/>
    </w:lvl>
  </w:abstractNum>
  <w:abstractNum w:abstractNumId="149">
    <w:nsid w:val="75B52783"/>
    <w:multiLevelType w:val="hybridMultilevel"/>
    <w:lvl w:ilvl="0">
      <w:lvlJc w:val="left"/>
      <w:lvlText w:val="(%1)"/>
      <w:numFmt w:val="lowerLetter"/>
      <w:start w:val="23"/>
    </w:lvl>
  </w:abstractNum>
  <w:abstractNum w:abstractNumId="150">
    <w:nsid w:val="57CE66B4"/>
    <w:multiLevelType w:val="hybridMultilevel"/>
    <w:lvl w:ilvl="0">
      <w:lvlJc w:val="left"/>
      <w:lvlText w:val="(%1)"/>
      <w:numFmt w:val="lowerRoman"/>
      <w:start w:val="2"/>
    </w:lvl>
  </w:abstractNum>
  <w:abstractNum w:abstractNumId="151">
    <w:nsid w:val="67A70B69"/>
    <w:multiLevelType w:val="hybridMultilevel"/>
    <w:lvl w:ilvl="0">
      <w:lvlJc w:val="left"/>
      <w:lvlText w:val="%1."/>
      <w:numFmt w:val="decimal"/>
      <w:start w:val="5"/>
    </w:lvl>
  </w:abstractNum>
  <w:abstractNum w:abstractNumId="152">
    <w:nsid w:val="5953172F"/>
    <w:multiLevelType w:val="hybridMultilevel"/>
    <w:lvl w:ilvl="0">
      <w:lvlJc w:val="left"/>
      <w:lvlText w:val="%1."/>
      <w:numFmt w:val="decimal"/>
      <w:start w:val="5"/>
    </w:lvl>
  </w:abstractNum>
  <w:abstractNum w:abstractNumId="153">
    <w:nsid w:val="27EDFE3A"/>
    <w:multiLevelType w:val="hybridMultilevel"/>
    <w:lvl w:ilvl="0">
      <w:lvlJc w:val="left"/>
      <w:lvlText w:val="%1."/>
      <w:numFmt w:val="decimal"/>
      <w:start w:val="6"/>
    </w:lvl>
  </w:abstractNum>
  <w:abstractNum w:abstractNumId="154">
    <w:nsid w:val="52AC7DFF"/>
    <w:multiLevelType w:val="hybridMultilevel"/>
    <w:lvl w:ilvl="0">
      <w:lvlJc w:val="left"/>
      <w:lvlText w:val="%1."/>
      <w:numFmt w:val="decimal"/>
      <w:start w:val="6"/>
    </w:lvl>
  </w:abstractNum>
  <w:abstractNum w:abstractNumId="155">
    <w:nsid w:val="C4C3AF"/>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56">
    <w:nsid w:val="44380727"/>
    <w:multiLevelType w:val="hybridMultilevel"/>
    <w:lvl w:ilvl="0">
      <w:lvlJc w:val="left"/>
      <w:lvlText w:val="(%1)"/>
      <w:numFmt w:val="lowerRoman"/>
      <w:start w:val="2"/>
    </w:lvl>
  </w:abstractNum>
  <w:abstractNum w:abstractNumId="157">
    <w:nsid w:val="6C053B16"/>
    <w:multiLevelType w:val="hybridMultilevel"/>
    <w:lvl w:ilvl="0">
      <w:lvlJc w:val="left"/>
      <w:lvlText w:val="%1."/>
      <w:numFmt w:val="decimal"/>
      <w:start w:val="9"/>
    </w:lvl>
  </w:abstractNum>
  <w:abstractNum w:abstractNumId="158">
    <w:nsid w:val="4F294393"/>
    <w:multiLevelType w:val="hybridMultilevel"/>
    <w:lvl w:ilvl="0">
      <w:lvlJc w:val="left"/>
      <w:lvlText w:val="%1."/>
      <w:numFmt w:val="decimal"/>
      <w:start w:val="9"/>
    </w:lvl>
  </w:abstractNum>
  <w:abstractNum w:abstractNumId="159">
    <w:nsid w:val="5243BFAC"/>
    <w:multiLevelType w:val="hybridMultilevel"/>
    <w:lvl w:ilvl="0">
      <w:lvlJc w:val="left"/>
      <w:lvlText w:val="%1."/>
      <w:numFmt w:val="decimal"/>
      <w:start w:val="10"/>
    </w:lvl>
    <w:lvl w:ilvl="1">
      <w:lvlJc w:val="left"/>
      <w:lvlText w:val="(%2)"/>
      <w:numFmt w:val="lowerLetter"/>
      <w:start w:val="1"/>
    </w:lvl>
  </w:abstractNum>
  <w:abstractNum w:abstractNumId="160">
    <w:nsid w:val="425EB207"/>
    <w:multiLevelType w:val="hybridMultilevel"/>
    <w:lvl w:ilvl="0">
      <w:lvlJc w:val="left"/>
      <w:lvlText w:val="(%1)"/>
      <w:numFmt w:val="lowerLetter"/>
      <w:start w:val="2"/>
    </w:lvl>
  </w:abstractNum>
  <w:abstractNum w:abstractNumId="161">
    <w:nsid w:val="334A6F1F"/>
    <w:multiLevelType w:val="hybridMultilevel"/>
    <w:lvl w:ilvl="0">
      <w:lvlJc w:val="left"/>
      <w:lvlText w:val="%1."/>
      <w:numFmt w:val="decimal"/>
      <w:start w:val="10"/>
    </w:lvl>
    <w:lvl w:ilvl="1">
      <w:lvlJc w:val="left"/>
      <w:lvlText w:val="(%2)"/>
      <w:numFmt w:val="lowerLetter"/>
      <w:start w:val="2"/>
    </w:lvl>
  </w:abstractNum>
  <w:abstractNum w:abstractNumId="162">
    <w:nsid w:val="2E5B12B8"/>
    <w:multiLevelType w:val="hybridMultilevel"/>
    <w:lvl w:ilvl="0">
      <w:lvlJc w:val="left"/>
      <w:lvlText w:val="%1."/>
      <w:numFmt w:val="decimal"/>
      <w:start w:val="12"/>
    </w:lvl>
  </w:abstractNum>
  <w:abstractNum w:abstractNumId="163">
    <w:nsid w:val="5C03D76D"/>
    <w:multiLevelType w:val="hybridMultilevel"/>
    <w:lvl w:ilvl="0">
      <w:lvlJc w:val="left"/>
      <w:lvlText w:val="%1."/>
      <w:numFmt w:val="decimal"/>
      <w:start w:val="12"/>
    </w:lvl>
  </w:abstractNum>
  <w:abstractNum w:abstractNumId="164">
    <w:nsid w:val="66A48D11"/>
    <w:multiLevelType w:val="hybridMultilevel"/>
    <w:lvl w:ilvl="0">
      <w:lvlJc w:val="left"/>
      <w:lvlText w:val="(%1)"/>
      <w:numFmt w:val="lowerLetter"/>
      <w:start w:val="1"/>
    </w:lvl>
  </w:abstractNum>
  <w:abstractNum w:abstractNumId="165">
    <w:nsid w:val="56C28E34"/>
    <w:multiLevelType w:val="hybridMultilevel"/>
    <w:lvl w:ilvl="0">
      <w:lvlJc w:val="left"/>
      <w:lvlText w:val="%1."/>
      <w:numFmt w:val="decimal"/>
      <w:start w:val="12"/>
    </w:lvl>
    <w:lvl w:ilvl="1">
      <w:lvlJc w:val="left"/>
      <w:lvlText w:val="(%2)"/>
      <w:numFmt w:val="lowerLetter"/>
      <w:start w:val="2"/>
    </w:lvl>
  </w:abstractNum>
  <w:abstractNum w:abstractNumId="166">
    <w:nsid w:val="13916F2D"/>
    <w:multiLevelType w:val="hybridMultilevel"/>
    <w:lvl w:ilvl="0">
      <w:lvlJc w:val="left"/>
      <w:lvlText w:val="%1"/>
      <w:numFmt w:val="decimal"/>
      <w:start w:val="1"/>
    </w:lvl>
    <w:lvl w:ilvl="1">
      <w:lvlJc w:val="left"/>
      <w:lvlText w:val="(%2)"/>
      <w:numFmt w:val="lowerLetter"/>
      <w:start w:val="3"/>
    </w:lvl>
  </w:abstractNum>
  <w:abstractNum w:abstractNumId="167">
    <w:nsid w:val="435D38D"/>
    <w:multiLevelType w:val="hybridMultilevel"/>
    <w:lvl w:ilvl="0">
      <w:lvlJc w:val="left"/>
      <w:lvlText w:val="%1."/>
      <w:numFmt w:val="decimal"/>
      <w:start w:val="13"/>
    </w:lvl>
    <w:lvl w:ilvl="1">
      <w:lvlJc w:val="left"/>
      <w:lvlText w:val="%2"/>
      <w:numFmt w:val="lowerLetter"/>
      <w:start w:val="1"/>
    </w:lvl>
  </w:abstractNum>
  <w:abstractNum w:abstractNumId="168">
    <w:nsid w:val="822C0EF"/>
    <w:multiLevelType w:val="hybridMultilevel"/>
    <w:lvl w:ilvl="0">
      <w:lvlJc w:val="left"/>
      <w:lvlText w:val="%1."/>
      <w:numFmt w:val="decimal"/>
      <w:start w:val="14"/>
    </w:lvl>
  </w:abstractNum>
  <w:abstractNum w:abstractNumId="169">
    <w:nsid w:val="57C5BB4F"/>
    <w:multiLevelType w:val="hybridMultilevel"/>
    <w:lvl w:ilvl="0">
      <w:lvlJc w:val="left"/>
      <w:lvlText w:val="%1."/>
      <w:numFmt w:val="decimal"/>
      <w:start w:val="14"/>
    </w:lvl>
  </w:abstractNum>
  <w:abstractNum w:abstractNumId="170">
    <w:nsid w:val="1803D089"/>
    <w:multiLevelType w:val="hybridMultilevel"/>
    <w:lvl w:ilvl="0">
      <w:lvlJc w:val="left"/>
      <w:lvlText w:val="(%1)"/>
      <w:numFmt w:val="lowerLetter"/>
      <w:start w:val="1"/>
    </w:lvl>
  </w:abstractNum>
  <w:abstractNum w:abstractNumId="171">
    <w:nsid w:val="4F3A06D4"/>
    <w:multiLevelType w:val="hybridMultilevel"/>
    <w:lvl w:ilvl="0">
      <w:lvlJc w:val="left"/>
      <w:lvlText w:val="%1."/>
      <w:numFmt w:val="decimal"/>
      <w:start w:val="14"/>
    </w:lvl>
  </w:abstractNum>
  <w:abstractNum w:abstractNumId="172">
    <w:nsid w:val="59A377B6"/>
    <w:multiLevelType w:val="hybridMultilevel"/>
    <w:lvl w:ilvl="0">
      <w:lvlJc w:val="left"/>
      <w:lvlText w:val="(%1)"/>
      <w:numFmt w:val="lowerLetter"/>
      <w:start w:val="1"/>
    </w:lvl>
  </w:abstractNum>
  <w:abstractNum w:abstractNumId="173">
    <w:nsid w:val="48AEB063"/>
    <w:multiLevelType w:val="hybridMultilevel"/>
    <w:lvl w:ilvl="0">
      <w:lvlJc w:val="left"/>
      <w:lvlText w:val="(%1)"/>
      <w:numFmt w:val="lowerLetter"/>
      <w:start w:val="2"/>
    </w:lvl>
  </w:abstractNum>
  <w:abstractNum w:abstractNumId="174">
    <w:nsid w:val="24E135"/>
    <w:multiLevelType w:val="hybridMultilevel"/>
    <w:lvl w:ilvl="0">
      <w:lvlJc w:val="left"/>
      <w:lvlText w:val="(%1)"/>
      <w:numFmt w:val="lowerLetter"/>
      <w:start w:val="3"/>
    </w:lvl>
  </w:abstractNum>
  <w:abstractNum w:abstractNumId="175">
    <w:nsid w:val="BB13C1"/>
    <w:multiLevelType w:val="hybridMultilevel"/>
    <w:lvl w:ilvl="0">
      <w:lvlJc w:val="left"/>
      <w:lvlText w:val="(%1)"/>
      <w:numFmt w:val="lowerLetter"/>
      <w:start w:val="4"/>
    </w:lvl>
  </w:abstractNum>
  <w:abstractNum w:abstractNumId="176">
    <w:nsid w:val="271210C7"/>
    <w:multiLevelType w:val="hybridMultilevel"/>
    <w:lvl w:ilvl="0">
      <w:lvlJc w:val="left"/>
      <w:lvlText w:val="(%1)"/>
      <w:numFmt w:val="lowerLetter"/>
      <w:start w:val="5"/>
    </w:lvl>
  </w:abstractNum>
  <w:abstractNum w:abstractNumId="177">
    <w:nsid w:val="217B22E4"/>
    <w:multiLevelType w:val="hybridMultilevel"/>
    <w:lvl w:ilvl="0">
      <w:lvlJc w:val="left"/>
      <w:lvlText w:val="%1."/>
      <w:numFmt w:val="decimal"/>
      <w:start w:val="14"/>
    </w:lvl>
  </w:abstractNum>
  <w:abstractNum w:abstractNumId="178">
    <w:nsid w:val="53E31A24"/>
    <w:multiLevelType w:val="hybridMultilevel"/>
    <w:lvl w:ilvl="0">
      <w:lvlJc w:val="left"/>
      <w:lvlText w:val="(%1)"/>
      <w:numFmt w:val="lowerLetter"/>
      <w:start w:val="6"/>
    </w:lvl>
  </w:abstractNum>
  <w:abstractNum w:abstractNumId="179">
    <w:nsid w:val="6DC45E83"/>
    <w:multiLevelType w:val="hybridMultilevel"/>
    <w:lvl w:ilvl="0">
      <w:lvlJc w:val="left"/>
      <w:lvlText w:val="(%1)"/>
      <w:numFmt w:val="lowerLetter"/>
      <w:start w:val="7"/>
    </w:lvl>
  </w:abstractNum>
  <w:abstractNum w:abstractNumId="180">
    <w:nsid w:val="17304A67"/>
    <w:multiLevelType w:val="hybridMultilevel"/>
    <w:lvl w:ilvl="0">
      <w:lvlJc w:val="left"/>
      <w:lvlText w:val="(%1)"/>
      <w:numFmt w:val="lowerLetter"/>
      <w:start w:val="8"/>
    </w:lvl>
  </w:abstractNum>
  <w:abstractNum w:abstractNumId="181">
    <w:nsid w:val="2BB180D8"/>
    <w:multiLevelType w:val="hybridMultilevel"/>
    <w:lvl w:ilvl="0">
      <w:lvlJc w:val="left"/>
      <w:lvlText w:val="(%1)"/>
      <w:numFmt w:val="lowerRoman"/>
      <w:start w:val="1"/>
    </w:lvl>
  </w:abstractNum>
  <w:abstractNum w:abstractNumId="182">
    <w:nsid w:val="556B69ED"/>
    <w:multiLevelType w:val="hybridMultilevel"/>
    <w:lvl w:ilvl="0">
      <w:lvlJc w:val="left"/>
      <w:lvlText w:val="(%1)"/>
      <w:numFmt w:val="lowerLetter"/>
      <w:start w:val="10"/>
    </w:lvl>
  </w:abstractNum>
  <w:abstractNum w:abstractNumId="183">
    <w:nsid w:val="70836196"/>
    <w:multiLevelType w:val="hybridMultilevel"/>
    <w:lvl w:ilvl="0">
      <w:lvlJc w:val="left"/>
      <w:lvlText w:val="%1."/>
      <w:numFmt w:val="decimal"/>
      <w:start w:val="14"/>
    </w:lvl>
  </w:abstractNum>
  <w:abstractNum w:abstractNumId="184">
    <w:nsid w:val="539F7F12"/>
    <w:multiLevelType w:val="hybridMultilevel"/>
    <w:lvl w:ilvl="0">
      <w:lvlJc w:val="left"/>
      <w:lvlText w:val="(%1)"/>
      <w:numFmt w:val="lowerLetter"/>
      <w:start w:val="11"/>
    </w:lvl>
  </w:abstractNum>
  <w:abstractNum w:abstractNumId="185">
    <w:nsid w:val="2817E7EC"/>
    <w:multiLevelType w:val="hybridMultilevel"/>
    <w:lvl w:ilvl="0">
      <w:lvlJc w:val="left"/>
      <w:lvlText w:val="(%1)"/>
      <w:numFmt w:val="lowerLetter"/>
      <w:start w:val="12"/>
    </w:lvl>
  </w:abstractNum>
  <w:abstractNum w:abstractNumId="186">
    <w:nsid w:val="71482545"/>
    <w:multiLevelType w:val="hybridMultilevel"/>
    <w:lvl w:ilvl="0">
      <w:lvlJc w:val="left"/>
      <w:lvlText w:val="%1."/>
      <w:numFmt w:val="decimal"/>
      <w:start w:val="14"/>
    </w:lvl>
  </w:abstractNum>
  <w:abstractNum w:abstractNumId="187">
    <w:nsid w:val="17D78639"/>
    <w:multiLevelType w:val="hybridMultilevel"/>
    <w:lvl w:ilvl="0">
      <w:lvlJc w:val="left"/>
      <w:lvlText w:val="(%1)"/>
      <w:numFmt w:val="lowerLetter"/>
      <w:start w:val="12"/>
    </w:lvl>
  </w:abstractNum>
  <w:abstractNum w:abstractNumId="188">
    <w:nsid w:val="141D2302"/>
    <w:multiLevelType w:val="hybridMultilevel"/>
    <w:lvl w:ilvl="0">
      <w:lvlJc w:val="left"/>
      <w:lvlText w:val="(%1)"/>
      <w:numFmt w:val="lowerLetter"/>
      <w:start w:val="13"/>
    </w:lvl>
  </w:abstractNum>
  <w:abstractNum w:abstractNumId="189">
    <w:nsid w:val="407168D8"/>
    <w:multiLevelType w:val="hybridMultilevel"/>
    <w:lvl w:ilvl="0">
      <w:lvlJc w:val="left"/>
      <w:lvlText w:val="(%1)"/>
      <w:numFmt w:val="lowerLetter"/>
      <w:start w:val="14"/>
    </w:lvl>
  </w:abstractNum>
  <w:abstractNum w:abstractNumId="190">
    <w:nsid w:val="6A1B45E5"/>
    <w:multiLevelType w:val="hybridMultilevel"/>
    <w:lvl w:ilvl="0">
      <w:lvlJc w:val="left"/>
      <w:lvlText w:val="(%1)"/>
      <w:numFmt w:val="lowerLetter"/>
      <w:start w:val="15"/>
    </w:lvl>
  </w:abstractNum>
  <w:abstractNum w:abstractNumId="191">
    <w:nsid w:val="567BD50A"/>
    <w:multiLevelType w:val="hybridMultilevel"/>
    <w:lvl w:ilvl="0">
      <w:lvlJc w:val="left"/>
      <w:lvlText w:val="%1."/>
      <w:numFmt w:val="decimal"/>
      <w:start w:val="14"/>
    </w:lvl>
  </w:abstractNum>
  <w:abstractNum w:abstractNumId="192">
    <w:nsid w:val="73BBD7F8"/>
    <w:multiLevelType w:val="hybridMultilevel"/>
    <w:lvl w:ilvl="0">
      <w:lvlJc w:val="left"/>
      <w:lvlText w:val="(%1)"/>
      <w:numFmt w:val="lowerLetter"/>
      <w:start w:val="16"/>
    </w:lvl>
  </w:abstractNum>
  <w:abstractNum w:abstractNumId="193">
    <w:nsid w:val="1876589D"/>
    <w:multiLevelType w:val="hybridMultilevel"/>
    <w:lvl w:ilvl="0">
      <w:lvlJc w:val="left"/>
      <w:lvlText w:val="%1."/>
      <w:numFmt w:val="decimal"/>
      <w:start w:val="1"/>
    </w:lvl>
  </w:abstractNum>
  <w:abstractNum w:abstractNumId="194">
    <w:nsid w:val="327FAC77"/>
    <w:multiLevelType w:val="hybridMultilevel"/>
    <w:lvl w:ilvl="0">
      <w:lvlJc w:val="left"/>
      <w:lvlText w:val="%1."/>
      <w:numFmt w:val="decimal"/>
      <w:start w:val="2"/>
    </w:lvl>
    <w:lvl w:ilvl="1">
      <w:lvlJc w:val="left"/>
      <w:lvlText w:val="(%2)"/>
      <w:numFmt w:val="lowerLetter"/>
      <w:start w:val="1"/>
    </w:lvl>
  </w:abstractNum>
  <w:abstractNum w:abstractNumId="195">
    <w:nsid w:val="5A606509"/>
    <w:multiLevelType w:val="hybridMultilevel"/>
    <w:lvl w:ilvl="0">
      <w:lvlJc w:val="left"/>
      <w:lvlText w:val="%1."/>
      <w:numFmt w:val="decimal"/>
      <w:start w:val="2"/>
    </w:lvl>
    <w:lvl w:ilvl="1">
      <w:lvlJc w:val="left"/>
      <w:lvlText w:val="(%2)"/>
      <w:numFmt w:val="lowerLetter"/>
      <w:start w:val="1"/>
    </w:lvl>
  </w:abstractNum>
  <w:abstractNum w:abstractNumId="196">
    <w:nsid w:val="6F38E6D1"/>
    <w:multiLevelType w:val="hybridMultilevel"/>
    <w:lvl w:ilvl="0">
      <w:lvlJc w:val="left"/>
      <w:lvlText w:val="*"/>
      <w:numFmt w:val="bullet"/>
      <w:start w:val="1"/>
    </w:lvl>
  </w:abstractNum>
  <w:abstractNum w:abstractNumId="197">
    <w:nsid w:val="46111BA5"/>
    <w:multiLevelType w:val="hybridMultilevel"/>
    <w:lvl w:ilvl="0">
      <w:lvlJc w:val="left"/>
      <w:lvlText w:val="**"/>
      <w:numFmt w:val="bullet"/>
      <w:start w:val="1"/>
    </w:lvl>
    <w:lvl w:ilvl="1">
      <w:lvlJc w:val="left"/>
      <w:lvlText w:val="%2"/>
      <w:numFmt w:val="lowerLetter"/>
      <w:start w:val="1"/>
    </w:lvl>
  </w:abstractNum>
  <w:abstractNum w:abstractNumId="198">
    <w:nsid w:val="5E963896"/>
    <w:multiLevelType w:val="hybridMultilevel"/>
    <w:lvl w:ilvl="0">
      <w:lvlJc w:val="left"/>
      <w:lvlText w:val="***"/>
      <w:numFmt w:val="bullet"/>
      <w:start w:val="1"/>
    </w:lvl>
    <w:lvl w:ilvl="1">
      <w:lvlJc w:val="left"/>
      <w:lvlText w:val="(%2)"/>
      <w:numFmt w:val="lowerLetter"/>
      <w:start w:val="2"/>
    </w:lvl>
  </w:abstractNum>
  <w:abstractNum w:abstractNumId="199">
    <w:nsid w:val="775BA7C1"/>
    <w:multiLevelType w:val="hybridMultilevel"/>
    <w:lvl w:ilvl="0">
      <w:lvlJc w:val="left"/>
      <w:lvlText w:val="%1."/>
      <w:numFmt w:val="decimal"/>
      <w:start w:val="2"/>
    </w:lvl>
    <w:lvl w:ilvl="1">
      <w:lvlJc w:val="left"/>
      <w:lvlText w:val="(%2)"/>
      <w:numFmt w:val="lowerLetter"/>
      <w:start w:val="5"/>
    </w:lvl>
  </w:abstractNum>
  <w:abstractNum w:abstractNumId="200">
    <w:nsid w:val="1DD6D6F4"/>
    <w:multiLevelType w:val="hybridMultilevel"/>
    <w:lvl w:ilvl="0">
      <w:lvlJc w:val="left"/>
      <w:lvlText w:val="%1."/>
      <w:numFmt w:val="decimal"/>
      <w:start w:val="2"/>
    </w:lvl>
    <w:lvl w:ilvl="1">
      <w:lvlJc w:val="left"/>
      <w:lvlText w:val="(%2)"/>
      <w:numFmt w:val="lowerLetter"/>
      <w:start w:val="8"/>
    </w:lvl>
    <w:lvl w:ilvl="2">
      <w:lvlJc w:val="left"/>
      <w:lvlText w:val="•"/>
      <w:numFmt w:val="bullet"/>
      <w:start w:val="1"/>
    </w:lvl>
  </w:abstractNum>
  <w:abstractNum w:abstractNumId="201">
    <w:nsid w:val="769A091F"/>
    <w:multiLevelType w:val="hybridMultilevel"/>
    <w:lvl w:ilvl="0">
      <w:lvlJc w:val="left"/>
      <w:lvlText w:val="%1."/>
      <w:numFmt w:val="decimal"/>
      <w:start w:val="2"/>
    </w:lvl>
    <w:lvl w:ilvl="1">
      <w:lvlJc w:val="left"/>
      <w:lvlText w:val="(%2)"/>
      <w:numFmt w:val="lowerLetter"/>
      <w:start w:val="13"/>
    </w:lvl>
  </w:abstractNum>
  <w:abstractNum w:abstractNumId="202">
    <w:nsid w:val="4695AE95"/>
    <w:multiLevelType w:val="hybridMultilevel"/>
    <w:lvl w:ilvl="0">
      <w:lvlJc w:val="left"/>
      <w:lvlText w:val="(%1)"/>
      <w:numFmt w:val="lowerLetter"/>
      <w:start w:val="16"/>
    </w:lvl>
  </w:abstractNum>
  <w:abstractNum w:abstractNumId="203">
    <w:nsid w:val="777A4EAA"/>
    <w:multiLevelType w:val="hybridMultilevel"/>
    <w:lvl w:ilvl="0">
      <w:lvlJc w:val="left"/>
      <w:lvlText w:val="%1."/>
      <w:numFmt w:val="decimal"/>
      <w:start w:val="2"/>
    </w:lvl>
    <w:lvl w:ilvl="1">
      <w:lvlJc w:val="left"/>
      <w:lvlText w:val="(%2)"/>
      <w:numFmt w:val="lowerLetter"/>
      <w:start w:val="17"/>
    </w:lvl>
    <w:lvl w:ilvl="2">
      <w:lvlJc w:val="left"/>
      <w:lvlText w:val="(%3)"/>
      <w:numFmt w:val="lowerRoman"/>
      <w:start w:val="1"/>
    </w:lvl>
  </w:abstractNum>
  <w:abstractNum w:abstractNumId="204">
    <w:nsid w:val="3F48B982"/>
    <w:multiLevelType w:val="hybridMultilevel"/>
    <w:lvl w:ilvl="0">
      <w:lvlJc w:val="left"/>
      <w:lvlText w:val="%1."/>
      <w:numFmt w:val="decimal"/>
      <w:start w:val="3"/>
    </w:lvl>
  </w:abstractNum>
  <w:abstractNum w:abstractNumId="205">
    <w:nsid w:val="46BA8FCA"/>
    <w:multiLevelType w:val="hybridMultilevel"/>
    <w:lvl w:ilvl="0">
      <w:lvlJc w:val="left"/>
      <w:lvlText w:val="%1."/>
      <w:numFmt w:val="decimal"/>
      <w:start w:val="6"/>
    </w:lvl>
  </w:abstractNum>
  <w:abstractNum w:abstractNumId="206">
    <w:nsid w:val="7835626C"/>
    <w:multiLevelType w:val="hybridMultilevel"/>
    <w:lvl w:ilvl="0">
      <w:lvlJc w:val="left"/>
      <w:lvlText w:val="%1."/>
      <w:numFmt w:val="decimal"/>
      <w:start w:val="6"/>
    </w:lvl>
  </w:abstractNum>
  <w:abstractNum w:abstractNumId="207">
    <w:nsid w:val="665ACA49"/>
    <w:multiLevelType w:val="hybridMultilevel"/>
    <w:lvl w:ilvl="0">
      <w:lvlJc w:val="left"/>
      <w:lvlText w:val="%1."/>
      <w:numFmt w:val="decimal"/>
      <w:start w:val="8"/>
    </w:lvl>
  </w:abstractNum>
  <w:abstractNum w:abstractNumId="208">
    <w:nsid w:val="6835B2AE"/>
    <w:multiLevelType w:val="hybridMultilevel"/>
    <w:lvl w:ilvl="0">
      <w:lvlJc w:val="left"/>
      <w:lvlText w:val="%1."/>
      <w:numFmt w:val="decimal"/>
      <w:start w:val="9"/>
    </w:lvl>
  </w:abstractNum>
  <w:abstractNum w:abstractNumId="209">
    <w:nsid w:val="4C187C90"/>
    <w:multiLevelType w:val="hybridMultilevel"/>
    <w:lvl w:ilvl="0">
      <w:lvlJc w:val="left"/>
      <w:lvlText w:val="%1."/>
      <w:numFmt w:val="decimal"/>
      <w:start w:val="9"/>
    </w:lvl>
  </w:abstractNum>
  <w:abstractNum w:abstractNumId="210">
    <w:nsid w:val="541F28CD"/>
    <w:multiLevelType w:val="hybridMultilevel"/>
    <w:lvl w:ilvl="0">
      <w:lvlJc w:val="left"/>
      <w:lvlText w:val="%1."/>
      <w:numFmt w:val="decimal"/>
      <w:start w:val="10"/>
    </w:lvl>
    <w:lvl w:ilvl="1">
      <w:lvlJc w:val="left"/>
      <w:lvlText w:val="(%2)"/>
      <w:numFmt w:val="lowerLetter"/>
      <w:start w:val="1"/>
    </w:lvl>
  </w:abstractNum>
  <w:abstractNum w:abstractNumId="211">
    <w:nsid w:val="7F65FD16"/>
    <w:multiLevelType w:val="hybridMultilevel"/>
    <w:lvl w:ilvl="0">
      <w:lvlJc w:val="left"/>
      <w:lvlText w:val="(%1)"/>
      <w:numFmt w:val="lowerLetter"/>
      <w:start w:val="2"/>
    </w:lvl>
  </w:abstractNum>
  <w:abstractNum w:abstractNumId="212">
    <w:nsid w:val="77C9FD68"/>
    <w:multiLevelType w:val="hybridMultilevel"/>
    <w:lvl w:ilvl="0">
      <w:lvlJc w:val="left"/>
      <w:lvlText w:val="%1."/>
      <w:numFmt w:val="decimal"/>
      <w:start w:val="11"/>
    </w:lvl>
  </w:abstractNum>
  <w:abstractNum w:abstractNumId="213">
    <w:nsid w:val="298A92BA"/>
    <w:multiLevelType w:val="hybridMultilevel"/>
    <w:lvl w:ilvl="0">
      <w:lvlJc w:val="left"/>
      <w:lvlText w:val="%1."/>
      <w:numFmt w:val="decimal"/>
      <w:start w:val="12"/>
    </w:lvl>
  </w:abstractNum>
  <w:abstractNum w:abstractNumId="214">
    <w:nsid w:val="6FE95EAC"/>
    <w:multiLevelType w:val="hybridMultilevel"/>
    <w:lvl w:ilvl="0">
      <w:lvlJc w:val="left"/>
      <w:lvlText w:val="%1."/>
      <w:numFmt w:val="decimal"/>
      <w:start w:val="1"/>
    </w:lvl>
  </w:abstractNum>
  <w:abstractNum w:abstractNumId="215">
    <w:nsid w:val="4B697C7A"/>
    <w:multiLevelType w:val="hybridMultilevel"/>
    <w:lvl w:ilvl="0">
      <w:lvlJc w:val="left"/>
      <w:lvlText w:val="%1."/>
      <w:numFmt w:val="decimal"/>
      <w:start w:val="2"/>
    </w:lvl>
    <w:lvl w:ilvl="1">
      <w:lvlJc w:val="left"/>
      <w:lvlText w:val="(%2)"/>
      <w:numFmt w:val="lowerLetter"/>
      <w:start w:val="1"/>
    </w:lvl>
  </w:abstractNum>
  <w:abstractNum w:abstractNumId="216">
    <w:nsid w:val="51A27AA6"/>
    <w:multiLevelType w:val="hybridMultilevel"/>
    <w:lvl w:ilvl="0">
      <w:lvlJc w:val="left"/>
      <w:lvlText w:val="%1."/>
      <w:numFmt w:val="decimal"/>
      <w:start w:val="2"/>
    </w:lvl>
    <w:lvl w:ilvl="1">
      <w:lvlJc w:val="left"/>
      <w:lvlText w:val="(%2)"/>
      <w:numFmt w:val="lowerLetter"/>
      <w:start w:val="6"/>
    </w:lvl>
  </w:abstractNum>
  <w:abstractNum w:abstractNumId="217">
    <w:nsid w:val="613183F2"/>
    <w:multiLevelType w:val="hybridMultilevel"/>
    <w:lvl w:ilvl="0">
      <w:lvlJc w:val="left"/>
      <w:lvlText w:val="(%1)"/>
      <w:numFmt w:val="lowerRoman"/>
      <w:start w:val="1"/>
    </w:lvl>
  </w:abstractNum>
  <w:abstractNum w:abstractNumId="218">
    <w:nsid w:val="634102B4"/>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5"/>
    </w:lvl>
    <w:lvl w:ilvl="3">
      <w:lvlJc w:val="left"/>
      <w:lvlText w:val="•"/>
      <w:numFmt w:val="bullet"/>
      <w:start w:val="1"/>
    </w:lvl>
  </w:abstractNum>
  <w:abstractNum w:abstractNumId="219">
    <w:nsid w:val="65BF9DA8"/>
    <w:multiLevelType w:val="hybridMultilevel"/>
    <w:lvl w:ilvl="0">
      <w:lvlJc w:val="left"/>
      <w:lvlText w:val="%1."/>
      <w:numFmt w:val="decimal"/>
      <w:start w:val="2"/>
    </w:lvl>
    <w:lvl w:ilvl="1">
      <w:lvlJc w:val="left"/>
      <w:lvlText w:val="(%2)"/>
      <w:numFmt w:val="lowerLetter"/>
      <w:start w:val="13"/>
    </w:lvl>
  </w:abstractNum>
  <w:abstractNum w:abstractNumId="220">
    <w:nsid w:val="21A2ECCA"/>
    <w:multiLevelType w:val="hybridMultilevel"/>
    <w:lvl w:ilvl="0">
      <w:lvlJc w:val="left"/>
      <w:lvlText w:val="(%1)"/>
      <w:numFmt w:val="lowerLetter"/>
      <w:start w:val="14"/>
    </w:lvl>
  </w:abstractNum>
  <w:abstractNum w:abstractNumId="221">
    <w:nsid w:val="4D5C4899"/>
    <w:multiLevelType w:val="hybridMultilevel"/>
    <w:lvl w:ilvl="0">
      <w:lvlJc w:val="left"/>
      <w:lvlText w:val="%1."/>
      <w:numFmt w:val="decimal"/>
      <w:start w:val="2"/>
    </w:lvl>
    <w:lvl w:ilvl="1">
      <w:lvlJc w:val="left"/>
      <w:lvlText w:val="(%2)"/>
      <w:numFmt w:val="lowerLetter"/>
      <w:start w:val="17"/>
    </w:lvl>
    <w:lvl w:ilvl="2">
      <w:lvlJc w:val="left"/>
      <w:lvlText w:val="(%3)"/>
      <w:numFmt w:val="lowerRoman"/>
      <w:start w:val="1"/>
    </w:lvl>
  </w:abstractNum>
  <w:abstractNum w:abstractNumId="222">
    <w:nsid w:val="3C3B72B2"/>
    <w:multiLevelType w:val="hybridMultilevel"/>
    <w:lvl w:ilvl="0">
      <w:lvlJc w:val="left"/>
      <w:lvlText w:val="%1."/>
      <w:numFmt w:val="decimal"/>
      <w:start w:val="3"/>
    </w:lvl>
  </w:abstractNum>
  <w:abstractNum w:abstractNumId="223">
    <w:nsid w:val="155EC4C2"/>
    <w:multiLevelType w:val="hybridMultilevel"/>
    <w:lvl w:ilvl="0">
      <w:lvlJc w:val="left"/>
      <w:lvlText w:val="%1."/>
      <w:numFmt w:val="decimal"/>
      <w:start w:val="5"/>
    </w:lvl>
  </w:abstractNum>
  <w:abstractNum w:abstractNumId="224">
    <w:nsid w:val="65D2A137"/>
    <w:multiLevelType w:val="hybridMultilevel"/>
    <w:lvl w:ilvl="0">
      <w:lvlJc w:val="left"/>
      <w:lvlText w:val="%1."/>
      <w:numFmt w:val="decimal"/>
      <w:start w:val="5"/>
    </w:lvl>
  </w:abstractNum>
  <w:abstractNum w:abstractNumId="225">
    <w:nsid w:val="6EBB1F2A"/>
    <w:multiLevelType w:val="hybridMultilevel"/>
    <w:lvl w:ilvl="0">
      <w:lvlJc w:val="left"/>
      <w:lvlText w:val="%1."/>
      <w:numFmt w:val="decimal"/>
      <w:start w:val="6"/>
    </w:lvl>
  </w:abstractNum>
  <w:abstractNum w:abstractNumId="226">
    <w:nsid w:val="6FBF29CB"/>
    <w:multiLevelType w:val="hybridMultilevel"/>
    <w:lvl w:ilvl="0">
      <w:lvlJc w:val="left"/>
      <w:lvlText w:val="%1."/>
      <w:numFmt w:val="decimal"/>
      <w:start w:val="7"/>
    </w:lvl>
  </w:abstractNum>
  <w:abstractNum w:abstractNumId="227">
    <w:nsid w:val="550B8808"/>
    <w:multiLevelType w:val="hybridMultilevel"/>
    <w:lvl w:ilvl="0">
      <w:lvlJc w:val="left"/>
      <w:lvlText w:val="%1."/>
      <w:numFmt w:val="decimal"/>
      <w:start w:val="8"/>
    </w:lvl>
    <w:lvl w:ilvl="1">
      <w:lvlJc w:val="left"/>
      <w:lvlText w:val="(%2)"/>
      <w:numFmt w:val="lowerLetter"/>
      <w:start w:val="1"/>
    </w:lvl>
  </w:abstractNum>
  <w:abstractNum w:abstractNumId="228">
    <w:nsid w:val="34CC3ACF"/>
    <w:multiLevelType w:val="hybridMultilevel"/>
    <w:lvl w:ilvl="0">
      <w:lvlJc w:val="left"/>
      <w:lvlText w:val="%1."/>
      <w:numFmt w:val="decimal"/>
      <w:start w:val="8"/>
    </w:lvl>
    <w:lvl w:ilvl="1">
      <w:lvlJc w:val="left"/>
      <w:lvlText w:val="(%2)"/>
      <w:numFmt w:val="lowerLetter"/>
      <w:start w:val="1"/>
    </w:lvl>
  </w:abstractNum>
  <w:abstractNum w:abstractNumId="229">
    <w:nsid w:val="4E556261"/>
    <w:multiLevelType w:val="hybridMultilevel"/>
    <w:lvl w:ilvl="0">
      <w:lvlJc w:val="left"/>
      <w:lvlText w:val="(%1)"/>
      <w:numFmt w:val="lowerLetter"/>
      <w:start w:val="2"/>
    </w:lvl>
  </w:abstractNum>
  <w:abstractNum w:abstractNumId="230">
    <w:nsid w:val="4C672FC9"/>
    <w:multiLevelType w:val="hybridMultilevel"/>
    <w:lvl w:ilvl="0">
      <w:lvlJc w:val="left"/>
      <w:lvlText w:val="%1."/>
      <w:numFmt w:val="decimal"/>
      <w:start w:val="9"/>
    </w:lvl>
    <w:lvl w:ilvl="1">
      <w:lvlJc w:val="left"/>
      <w:lvlText w:val="(%2)"/>
      <w:numFmt w:val="lowerLetter"/>
      <w:start w:val="1"/>
    </w:lvl>
  </w:abstractNum>
  <w:abstractNum w:abstractNumId="231">
    <w:nsid w:val="52A311C3"/>
    <w:multiLevelType w:val="hybridMultilevel"/>
    <w:lvl w:ilvl="0">
      <w:lvlJc w:val="left"/>
      <w:lvlText w:val="%1."/>
      <w:numFmt w:val="decimal"/>
      <w:start w:val="10"/>
    </w:lvl>
    <w:lvl w:ilvl="1">
      <w:lvlJc w:val="left"/>
      <w:lvlText w:val="(%2)"/>
      <w:numFmt w:val="lowerLetter"/>
      <w:start w:val="2"/>
    </w:lvl>
  </w:abstractNum>
  <w:abstractNum w:abstractNumId="232">
    <w:nsid w:val="44EF6B80"/>
    <w:multiLevelType w:val="hybridMultilevel"/>
    <w:lvl w:ilvl="0">
      <w:lvlJc w:val="left"/>
      <w:lvlText w:val="%1."/>
      <w:numFmt w:val="decimal"/>
      <w:start w:val="1"/>
    </w:lvl>
  </w:abstractNum>
  <w:abstractNum w:abstractNumId="233">
    <w:nsid w:val="12FCDE5E"/>
    <w:multiLevelType w:val="hybridMultilevel"/>
    <w:lvl w:ilvl="0">
      <w:lvlJc w:val="left"/>
      <w:lvlText w:val="%1."/>
      <w:numFmt w:val="decimal"/>
      <w:start w:val="2"/>
    </w:lvl>
    <w:lvl w:ilvl="1">
      <w:lvlJc w:val="left"/>
      <w:lvlText w:val="(%2)"/>
      <w:numFmt w:val="lowerLetter"/>
      <w:start w:val="1"/>
    </w:lvl>
  </w:abstractNum>
  <w:abstractNum w:abstractNumId="234">
    <w:nsid w:val="4A1D606E"/>
    <w:multiLevelType w:val="hybridMultilevel"/>
    <w:lvl w:ilvl="0">
      <w:lvlJc w:val="left"/>
      <w:lvlText w:val="%1."/>
      <w:numFmt w:val="decimal"/>
      <w:start w:val="2"/>
    </w:lvl>
    <w:lvl w:ilvl="1">
      <w:lvlJc w:val="left"/>
      <w:lvlText w:val="(%2)"/>
      <w:numFmt w:val="lowerLetter"/>
      <w:start w:val="1"/>
    </w:lvl>
  </w:abstractNum>
  <w:abstractNum w:abstractNumId="235">
    <w:nsid w:val="4382503"/>
    <w:multiLevelType w:val="hybridMultilevel"/>
    <w:lvl w:ilvl="0">
      <w:lvlJc w:val="left"/>
      <w:lvlText w:val="%1."/>
      <w:numFmt w:val="decimal"/>
      <w:start w:val="2"/>
    </w:lvl>
    <w:lvl w:ilvl="1">
      <w:lvlJc w:val="left"/>
      <w:lvlText w:val="(%2)"/>
      <w:numFmt w:val="lowerLetter"/>
      <w:start w:val="3"/>
    </w:lvl>
  </w:abstractNum>
  <w:abstractNum w:abstractNumId="236">
    <w:nsid w:val="59B76E28"/>
    <w:multiLevelType w:val="hybridMultilevel"/>
    <w:lvl w:ilvl="0">
      <w:lvlJc w:val="left"/>
      <w:lvlText w:val="%1"/>
      <w:numFmt w:val="decimal"/>
      <w:start w:val="1"/>
    </w:lvl>
    <w:lvl w:ilvl="1">
      <w:lvlJc w:val="left"/>
      <w:lvlText w:val="(%2)"/>
      <w:numFmt w:val="lowerLetter"/>
      <w:start w:val="4"/>
    </w:lvl>
  </w:abstractNum>
  <w:abstractNum w:abstractNumId="237">
    <w:nsid w:val="4252C2DA"/>
    <w:multiLevelType w:val="hybridMultilevel"/>
    <w:lvl w:ilvl="0">
      <w:lvlJc w:val="left"/>
      <w:lvlText w:val="%1."/>
      <w:numFmt w:val="decimal"/>
      <w:start w:val="2"/>
    </w:lvl>
    <w:lvl w:ilvl="1">
      <w:lvlJc w:val="left"/>
      <w:lvlText w:val="(%2)"/>
      <w:numFmt w:val="lowerLetter"/>
      <w:start w:val="5"/>
    </w:lvl>
  </w:abstractNum>
  <w:abstractNum w:abstractNumId="238">
    <w:nsid w:val="6A92EF4C"/>
    <w:multiLevelType w:val="hybridMultilevel"/>
    <w:lvl w:ilvl="0">
      <w:lvlJc w:val="left"/>
      <w:lvlText w:val="%1."/>
      <w:numFmt w:val="decimal"/>
      <w:start w:val="2"/>
    </w:lvl>
    <w:lvl w:ilvl="1">
      <w:lvlJc w:val="left"/>
      <w:lvlText w:val="(%2)"/>
      <w:numFmt w:val="lowerLetter"/>
      <w:start w:val="10"/>
    </w:lvl>
  </w:abstractNum>
  <w:abstractNum w:abstractNumId="239">
    <w:nsid w:val="41ED20D7"/>
    <w:multiLevelType w:val="hybridMultilevel"/>
    <w:lvl w:ilvl="0">
      <w:lvlJc w:val="left"/>
      <w:lvlText w:val="(%1)"/>
      <w:numFmt w:val="lowerLetter"/>
      <w:start w:val="12"/>
    </w:lvl>
  </w:abstractNum>
  <w:abstractNum w:abstractNumId="240">
    <w:nsid w:val="E6B3F6A"/>
    <w:multiLevelType w:val="hybridMultilevel"/>
    <w:lvl w:ilvl="0">
      <w:lvlJc w:val="left"/>
      <w:lvlText w:val="%1."/>
      <w:numFmt w:val="decimal"/>
      <w:start w:val="2"/>
    </w:lvl>
    <w:lvl w:ilvl="1">
      <w:lvlJc w:val="left"/>
      <w:lvlText w:val="(%2)"/>
      <w:numFmt w:val="lowerLetter"/>
      <w:start w:val="13"/>
    </w:lvl>
    <w:lvl w:ilvl="2">
      <w:lvlJc w:val="left"/>
      <w:lvlText w:val="•"/>
      <w:numFmt w:val="bullet"/>
      <w:start w:val="1"/>
    </w:lvl>
  </w:abstractNum>
  <w:abstractNum w:abstractNumId="241">
    <w:nsid w:val="3EB21819"/>
    <w:multiLevelType w:val="hybridMultilevel"/>
    <w:lvl w:ilvl="0">
      <w:lvlJc w:val="left"/>
      <w:lvlText w:val="•"/>
      <w:numFmt w:val="bullet"/>
      <w:start w:val="1"/>
    </w:lvl>
  </w:abstractNum>
  <w:abstractNum w:abstractNumId="242">
    <w:nsid w:val="41531DED"/>
    <w:multiLevelType w:val="hybridMultilevel"/>
    <w:lvl w:ilvl="0">
      <w:lvlJc w:val="left"/>
      <w:lvlText w:val="%1."/>
      <w:numFmt w:val="decimal"/>
      <w:start w:val="2"/>
    </w:lvl>
    <w:lvl w:ilvl="1">
      <w:lvlJc w:val="left"/>
      <w:lvlText w:val="(%2)"/>
      <w:numFmt w:val="lowerLetter"/>
      <w:start w:val="13"/>
    </w:lvl>
    <w:lvl w:ilvl="2">
      <w:lvlJc w:val="left"/>
      <w:lvlText w:val="•"/>
      <w:numFmt w:val="bullet"/>
      <w:start w:val="1"/>
    </w:lvl>
  </w:abstractNum>
  <w:abstractNum w:abstractNumId="243">
    <w:nsid w:val="6353CD2"/>
    <w:multiLevelType w:val="hybridMultilevel"/>
    <w:lvl w:ilvl="0">
      <w:lvlJc w:val="left"/>
      <w:lvlText w:val="%1."/>
      <w:numFmt w:val="decimal"/>
      <w:start w:val="2"/>
    </w:lvl>
    <w:lvl w:ilvl="1">
      <w:lvlJc w:val="left"/>
      <w:lvlText w:val="(%2)"/>
      <w:numFmt w:val="lowerLetter"/>
      <w:start w:val="16"/>
    </w:lvl>
    <w:lvl w:ilvl="2">
      <w:lvlJc w:val="left"/>
      <w:lvlText w:val="•"/>
      <w:numFmt w:val="bullet"/>
      <w:start w:val="1"/>
    </w:lvl>
  </w:abstractNum>
  <w:abstractNum w:abstractNumId="244">
    <w:nsid w:val="683CAAD3"/>
    <w:multiLevelType w:val="hybridMultilevel"/>
    <w:lvl w:ilvl="0">
      <w:lvlJc w:val="left"/>
      <w:lvlText w:val="(%1)"/>
      <w:numFmt w:val="lowerLetter"/>
      <w:start w:val="17"/>
    </w:lvl>
  </w:abstractNum>
  <w:abstractNum w:abstractNumId="245">
    <w:nsid w:val="313C7C99"/>
    <w:multiLevelType w:val="hybridMultilevel"/>
    <w:lvl w:ilvl="0">
      <w:lvlJc w:val="left"/>
      <w:lvlText w:val="%1."/>
      <w:numFmt w:val="decimal"/>
      <w:start w:val="2"/>
    </w:lvl>
    <w:lvl w:ilvl="1">
      <w:lvlJc w:val="left"/>
      <w:lvlText w:val="(%2)"/>
      <w:numFmt w:val="lowerLetter"/>
      <w:start w:val="18"/>
    </w:lvl>
  </w:abstractNum>
  <w:abstractNum w:abstractNumId="246">
    <w:nsid w:val="519EB94C"/>
    <w:multiLevelType w:val="hybridMultilevel"/>
    <w:lvl w:ilvl="0">
      <w:lvlJc w:val="left"/>
      <w:lvlText w:val="%1."/>
      <w:numFmt w:val="decimal"/>
      <w:start w:val="2"/>
    </w:lvl>
    <w:lvl w:ilvl="1">
      <w:lvlJc w:val="left"/>
      <w:lvlText w:val="(%2)"/>
      <w:numFmt w:val="lowerLetter"/>
      <w:start w:val="22"/>
    </w:lvl>
  </w:abstractNum>
  <w:abstractNum w:abstractNumId="247">
    <w:nsid w:val="39DF2579"/>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1"/>
    </w:lvl>
  </w:abstractNum>
  <w:abstractNum w:abstractNumId="248">
    <w:nsid w:val="126E008B"/>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4"/>
    </w:lvl>
  </w:abstractNum>
  <w:abstractNum w:abstractNumId="249">
    <w:nsid w:val="34DFBC00"/>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9"/>
    </w:lvl>
  </w:abstractNum>
  <w:abstractNum w:abstractNumId="250">
    <w:nsid w:val="1F9EC3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1">
    <w:nsid w:val="3410ED56"/>
    <w:multiLevelType w:val="hybridMultilevel"/>
    <w:lvl w:ilvl="0">
      <w:lvlJc w:val="left"/>
      <w:lvlText w:val="%1."/>
      <w:numFmt w:val="decimal"/>
      <w:start w:val="3"/>
    </w:lvl>
  </w:abstractNum>
  <w:abstractNum w:abstractNumId="252">
    <w:nsid w:val="23C049A"/>
    <w:multiLevelType w:val="hybridMultilevel"/>
    <w:lvl w:ilvl="0">
      <w:lvlJc w:val="left"/>
      <w:lvlText w:val="%1."/>
      <w:numFmt w:val="decimal"/>
      <w:start w:val="4"/>
    </w:lvl>
  </w:abstractNum>
  <w:abstractNum w:abstractNumId="253">
    <w:nsid w:val="5BDA35D4"/>
    <w:multiLevelType w:val="hybridMultilevel"/>
    <w:lvl w:ilvl="0">
      <w:lvlJc w:val="left"/>
      <w:lvlText w:val="%1."/>
      <w:numFmt w:val="decimal"/>
      <w:start w:val="5"/>
    </w:lvl>
  </w:abstractNum>
  <w:abstractNum w:abstractNumId="254">
    <w:nsid w:val="496FB218"/>
    <w:multiLevelType w:val="hybridMultilevel"/>
    <w:lvl w:ilvl="0">
      <w:lvlJc w:val="left"/>
      <w:lvlText w:val="%1."/>
      <w:numFmt w:val="decimal"/>
      <w:start w:val="7"/>
    </w:lvl>
  </w:abstractNum>
  <w:abstractNum w:abstractNumId="255">
    <w:nsid w:val="680EA5D1"/>
    <w:multiLevelType w:val="hybridMultilevel"/>
    <w:lvl w:ilvl="0">
      <w:lvlJc w:val="left"/>
      <w:lvlText w:val="(%1)"/>
      <w:numFmt w:val="lowerLetter"/>
      <w:start w:val="1"/>
    </w:lvl>
  </w:abstractNum>
  <w:abstractNum w:abstractNumId="256">
    <w:nsid w:val="4A9554FE"/>
    <w:multiLevelType w:val="hybridMultilevel"/>
    <w:lvl w:ilvl="0">
      <w:lvlJc w:val="left"/>
      <w:lvlText w:val="%1."/>
      <w:numFmt w:val="decimal"/>
      <w:start w:val="7"/>
    </w:lvl>
  </w:abstractNum>
  <w:abstractNum w:abstractNumId="257">
    <w:nsid w:val="392EDBE4"/>
    <w:multiLevelType w:val="hybridMultilevel"/>
    <w:lvl w:ilvl="0">
      <w:lvlJc w:val="left"/>
      <w:lvlText w:val="(%1)"/>
      <w:numFmt w:val="lowerLetter"/>
      <w:start w:val="2"/>
    </w:lvl>
  </w:abstractNum>
  <w:abstractNum w:abstractNumId="258">
    <w:nsid w:val="3D1A2DD9"/>
    <w:multiLevelType w:val="hybridMultilevel"/>
    <w:lvl w:ilvl="0">
      <w:lvlJc w:val="left"/>
      <w:lvlText w:val="(%1)"/>
      <w:numFmt w:val="lowerLetter"/>
      <w:start w:val="3"/>
    </w:lvl>
  </w:abstractNum>
  <w:abstractNum w:abstractNumId="259">
    <w:nsid w:val="7F618FCD"/>
    <w:multiLevelType w:val="hybridMultilevel"/>
    <w:lvl w:ilvl="0">
      <w:lvlJc w:val="left"/>
      <w:lvlText w:val="(%1)"/>
      <w:numFmt w:val="lowerLetter"/>
      <w:start w:val="4"/>
    </w:lvl>
  </w:abstractNum>
  <w:abstractNum w:abstractNumId="260">
    <w:nsid w:val="7843E45"/>
    <w:multiLevelType w:val="hybridMultilevel"/>
    <w:lvl w:ilvl="0">
      <w:lvlJc w:val="left"/>
      <w:lvlText w:val="(%1)"/>
      <w:numFmt w:val="lowerLetter"/>
      <w:start w:val="5"/>
    </w:lvl>
  </w:abstractNum>
  <w:abstractNum w:abstractNumId="261">
    <w:nsid w:val="9815DA3"/>
    <w:multiLevelType w:val="hybridMultilevel"/>
    <w:lvl w:ilvl="0">
      <w:lvlJc w:val="left"/>
      <w:lvlText w:val="%1."/>
      <w:numFmt w:val="decimal"/>
      <w:start w:val="8"/>
    </w:lvl>
  </w:abstractNum>
  <w:abstractNum w:abstractNumId="262">
    <w:nsid w:val="5204A191"/>
    <w:multiLevelType w:val="hybridMultilevel"/>
    <w:lvl w:ilvl="0">
      <w:lvlJc w:val="left"/>
      <w:lvlText w:val="%1."/>
      <w:numFmt w:val="decimal"/>
      <w:start w:val="8"/>
    </w:lvl>
  </w:abstractNum>
  <w:abstractNum w:abstractNumId="263">
    <w:nsid w:val="4C73A9C6"/>
    <w:multiLevelType w:val="hybridMultilevel"/>
    <w:lvl w:ilvl="0">
      <w:lvlJc w:val="left"/>
      <w:lvlText w:val="%1."/>
      <w:numFmt w:val="decimal"/>
      <w:start w:val="9"/>
    </w:lvl>
  </w:abstractNum>
  <w:abstractNum w:abstractNumId="264">
    <w:nsid w:val="1C7E3C01"/>
    <w:multiLevelType w:val="hybridMultilevel"/>
    <w:lvl w:ilvl="0">
      <w:lvlJc w:val="left"/>
      <w:lvlText w:val="%1."/>
      <w:numFmt w:val="decimal"/>
      <w:start w:val="9"/>
    </w:lvl>
  </w:abstractNum>
  <w:abstractNum w:abstractNumId="265">
    <w:nsid w:val="1C2201FF"/>
    <w:multiLevelType w:val="hybridMultilevel"/>
    <w:lvl w:ilvl="0">
      <w:lvlJc w:val="left"/>
      <w:lvlText w:val="%1."/>
      <w:numFmt w:val="decimal"/>
      <w:start w:val="9"/>
    </w:lvl>
  </w:abstractNum>
  <w:abstractNum w:abstractNumId="266">
    <w:nsid w:val="50ABCEC9"/>
    <w:multiLevelType w:val="hybridMultilevel"/>
    <w:lvl w:ilvl="0">
      <w:lvlJc w:val="left"/>
      <w:lvlText w:val="%1."/>
      <w:numFmt w:val="decimal"/>
      <w:start w:val="10"/>
    </w:lvl>
  </w:abstractNum>
  <w:abstractNum w:abstractNumId="267">
    <w:nsid w:val="7635AA2A"/>
    <w:multiLevelType w:val="hybridMultilevel"/>
    <w:lvl w:ilvl="0">
      <w:lvlJc w:val="left"/>
      <w:lvlText w:val="%1."/>
      <w:numFmt w:val="decimal"/>
      <w:start w:val="11"/>
    </w:lvl>
  </w:abstractNum>
  <w:abstractNum w:abstractNumId="268">
    <w:nsid w:val="5E74C4D9"/>
    <w:multiLevelType w:val="hybridMultilevel"/>
    <w:lvl w:ilvl="0">
      <w:lvlJc w:val="left"/>
      <w:lvlText w:val="%1."/>
      <w:numFmt w:val="decimal"/>
      <w:start w:val="12"/>
    </w:lvl>
  </w:abstractNum>
  <w:abstractNum w:abstractNumId="269">
    <w:nsid w:val="3B3EBE15"/>
    <w:multiLevelType w:val="hybridMultilevel"/>
    <w:lvl w:ilvl="0">
      <w:lvlJc w:val="left"/>
      <w:lvlText w:val="%1."/>
      <w:numFmt w:val="decimal"/>
      <w:start w:val="12"/>
    </w:lvl>
  </w:abstractNum>
  <w:abstractNum w:abstractNumId="270">
    <w:nsid w:val="3822CB01"/>
    <w:multiLevelType w:val="hybridMultilevel"/>
    <w:lvl w:ilvl="0">
      <w:lvlJc w:val="left"/>
      <w:lvlText w:val="%1."/>
      <w:numFmt w:val="decimal"/>
      <w:start w:val="13"/>
    </w:lvl>
  </w:abstractNum>
  <w:abstractNum w:abstractNumId="271">
    <w:nsid w:val="6CE00443"/>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272">
    <w:nsid w:val="79F0D62F"/>
    <w:multiLevelType w:val="hybridMultilevel"/>
    <w:lvl w:ilvl="0">
      <w:lvlJc w:val="left"/>
      <w:lvlText w:val="(%1)"/>
      <w:numFmt w:val="lowerRoman"/>
      <w:start w:val="2"/>
    </w:lvl>
  </w:abstractNum>
  <w:abstractNum w:abstractNumId="273">
    <w:nsid w:val="7975E8EE"/>
    <w:multiLevelType w:val="hybridMultilevel"/>
    <w:lvl w:ilvl="0">
      <w:lvlJc w:val="left"/>
      <w:lvlText w:val="%1."/>
      <w:numFmt w:val="decimal"/>
      <w:start w:val="14"/>
    </w:lvl>
    <w:lvl w:ilvl="1">
      <w:lvlJc w:val="left"/>
      <w:lvlText w:val="(%2)"/>
      <w:numFmt w:val="lowerLetter"/>
      <w:start w:val="1"/>
    </w:lvl>
  </w:abstractNum>
  <w:abstractNum w:abstractNumId="274">
    <w:nsid w:val="73154115"/>
    <w:multiLevelType w:val="hybridMultilevel"/>
    <w:lvl w:ilvl="0">
      <w:lvlJc w:val="left"/>
      <w:lvlText w:val="(%1)"/>
      <w:numFmt w:val="lowerLetter"/>
      <w:start w:val="2"/>
    </w:lvl>
  </w:abstractNum>
  <w:abstractNum w:abstractNumId="275">
    <w:nsid w:val="622D8102"/>
    <w:multiLevelType w:val="hybridMultilevel"/>
    <w:lvl w:ilvl="0">
      <w:lvlJc w:val="left"/>
      <w:lvlText w:val="%1."/>
      <w:numFmt w:val="decimal"/>
      <w:start w:val="14"/>
    </w:lvl>
  </w:abstractNum>
  <w:abstractNum w:abstractNumId="276">
    <w:nsid w:val="2AB26587"/>
    <w:multiLevelType w:val="hybridMultilevel"/>
    <w:lvl w:ilvl="0">
      <w:lvlJc w:val="left"/>
      <w:lvlText w:val="(%1)"/>
      <w:numFmt w:val="lowerLetter"/>
      <w:start w:val="3"/>
    </w:lvl>
  </w:abstractNum>
  <w:abstractNum w:abstractNumId="277">
    <w:nsid w:val="44B3FA61"/>
    <w:multiLevelType w:val="hybridMultilevel"/>
    <w:lvl w:ilvl="0">
      <w:lvlJc w:val="left"/>
      <w:lvlText w:val="(%1)"/>
      <w:numFmt w:val="lowerLetter"/>
      <w:start w:val="4"/>
    </w:lvl>
  </w:abstractNum>
  <w:abstractNum w:abstractNumId="278">
    <w:nsid w:val="1C0CA67C"/>
    <w:multiLevelType w:val="hybridMultilevel"/>
    <w:lvl w:ilvl="0">
      <w:lvlJc w:val="left"/>
      <w:lvlText w:val="%1."/>
      <w:numFmt w:val="decimal"/>
      <w:start w:val="14"/>
    </w:lvl>
  </w:abstractNum>
  <w:abstractNum w:abstractNumId="279">
    <w:nsid w:val="3D206613"/>
    <w:multiLevelType w:val="hybridMultilevel"/>
    <w:lvl w:ilvl="0">
      <w:lvlJc w:val="left"/>
      <w:lvlText w:val="(%1)"/>
      <w:numFmt w:val="lowerLetter"/>
      <w:start w:val="5"/>
    </w:lvl>
  </w:abstractNum>
  <w:abstractNum w:abstractNumId="280">
    <w:nsid w:val="7993B662"/>
    <w:multiLevelType w:val="hybridMultilevel"/>
    <w:lvl w:ilvl="0">
      <w:lvlJc w:val="left"/>
      <w:lvlText w:val="(%1)"/>
      <w:numFmt w:val="lowerLetter"/>
      <w:start w:val="6"/>
    </w:lvl>
  </w:abstractNum>
  <w:abstractNum w:abstractNumId="281">
    <w:nsid w:val="3BAB699E"/>
    <w:multiLevelType w:val="hybridMultilevel"/>
    <w:lvl w:ilvl="0">
      <w:lvlJc w:val="left"/>
      <w:lvlText w:val="%1."/>
      <w:numFmt w:val="decimal"/>
      <w:start w:val="14"/>
    </w:lvl>
  </w:abstractNum>
  <w:abstractNum w:abstractNumId="282">
    <w:nsid w:val="71315369"/>
    <w:multiLevelType w:val="hybridMultilevel"/>
    <w:lvl w:ilvl="0">
      <w:lvlJc w:val="left"/>
      <w:lvlText w:val="(%1)"/>
      <w:numFmt w:val="lowerLetter"/>
      <w:start w:val="6"/>
    </w:lvl>
  </w:abstractNum>
  <w:abstractNum w:abstractNumId="283">
    <w:nsid w:val="7BCFBAFC"/>
    <w:multiLevelType w:val="hybridMultilevel"/>
    <w:lvl w:ilvl="0">
      <w:lvlJc w:val="left"/>
      <w:lvlText w:val="(%1)"/>
      <w:numFmt w:val="lowerLetter"/>
      <w:start w:val="7"/>
    </w:lvl>
  </w:abstractNum>
  <w:abstractNum w:abstractNumId="284">
    <w:nsid w:val="17859F72"/>
    <w:multiLevelType w:val="hybridMultilevel"/>
    <w:lvl w:ilvl="0">
      <w:lvlJc w:val="left"/>
      <w:lvlText w:val="%1."/>
      <w:numFmt w:val="decimal"/>
      <w:start w:val="14"/>
    </w:lvl>
  </w:abstractNum>
  <w:abstractNum w:abstractNumId="285">
    <w:nsid w:val="3AA10581"/>
    <w:multiLevelType w:val="hybridMultilevel"/>
    <w:lvl w:ilvl="0">
      <w:lvlJc w:val="left"/>
      <w:lvlText w:val="(%1)"/>
      <w:numFmt w:val="lowerLetter"/>
      <w:start w:val="7"/>
    </w:lvl>
  </w:abstractNum>
  <w:abstractNum w:abstractNumId="286">
    <w:nsid w:val="63DE60CD"/>
    <w:multiLevelType w:val="hybridMultilevel"/>
    <w:lvl w:ilvl="0">
      <w:lvlJc w:val="left"/>
      <w:lvlText w:val="%1."/>
      <w:numFmt w:val="decimal"/>
      <w:start w:val="15"/>
    </w:lvl>
  </w:abstractNum>
  <w:abstractNum w:abstractNumId="287">
    <w:nsid w:val="621AF471"/>
    <w:multiLevelType w:val="hybridMultilevel"/>
    <w:lvl w:ilvl="0">
      <w:lvlJc w:val="left"/>
      <w:lvlText w:val="%1."/>
      <w:numFmt w:val="decimal"/>
      <w:start w:val="16"/>
    </w:lvl>
  </w:abstractNum>
  <w:abstractNum w:abstractNumId="288">
    <w:nsid w:val="73CFE165"/>
    <w:multiLevelType w:val="hybridMultilevel"/>
    <w:lvl w:ilvl="0">
      <w:lvlJc w:val="left"/>
      <w:lvlText w:val="%1."/>
      <w:numFmt w:val="decimal"/>
      <w:start w:val="17"/>
    </w:lvl>
    <w:lvl w:ilvl="1">
      <w:lvlJc w:val="left"/>
      <w:lvlText w:val="(%2)"/>
      <w:numFmt w:val="lowerLetter"/>
      <w:start w:val="1"/>
    </w:lvl>
  </w:abstractNum>
  <w:abstractNum w:abstractNumId="289">
    <w:nsid w:val="20F88EA6"/>
    <w:multiLevelType w:val="hybridMultilevel"/>
    <w:lvl w:ilvl="0">
      <w:lvlJc w:val="left"/>
      <w:lvlText w:val="%1."/>
      <w:numFmt w:val="decimal"/>
      <w:start w:val="18"/>
    </w:lvl>
  </w:abstractNum>
  <w:abstractNum w:abstractNumId="290">
    <w:nsid w:val="617C843E"/>
    <w:multiLevelType w:val="hybridMultilevel"/>
    <w:lvl w:ilvl="0">
      <w:lvlJc w:val="left"/>
      <w:lvlText w:val="%1."/>
      <w:numFmt w:val="decimal"/>
      <w:start w:val="19"/>
    </w:lvl>
  </w:abstractNum>
  <w:abstractNum w:abstractNumId="291">
    <w:nsid w:val="7B541FAB"/>
    <w:multiLevelType w:val="hybridMultilevel"/>
    <w:lvl w:ilvl="0">
      <w:lvlJc w:val="left"/>
      <w:lvlText w:val="(%1)"/>
      <w:numFmt w:val="lowerLetter"/>
      <w:start w:val="1"/>
    </w:lvl>
  </w:abstractNum>
  <w:abstractNum w:abstractNumId="292">
    <w:nsid w:val="2A79EC49"/>
    <w:multiLevelType w:val="hybridMultilevel"/>
    <w:lvl w:ilvl="0">
      <w:lvlJc w:val="left"/>
      <w:lvlText w:val="$"/>
      <w:numFmt w:val="bullet"/>
      <w:start w:val="1"/>
    </w:lvl>
  </w:abstractNum>
  <w:abstractNum w:abstractNumId="293">
    <w:nsid w:val="338125CF"/>
    <w:multiLevelType w:val="hybridMultilevel"/>
    <w:lvl w:ilvl="0">
      <w:lvlJc w:val="left"/>
      <w:lvlText w:val="%1."/>
      <w:numFmt w:val="decimal"/>
      <w:start w:val="1"/>
    </w:lvl>
  </w:abstractNum>
  <w:abstractNum w:abstractNumId="294">
    <w:nsid w:val="47C7C971"/>
    <w:multiLevelType w:val="hybridMultilevel"/>
    <w:lvl w:ilvl="0">
      <w:lvlJc w:val="left"/>
      <w:lvlText w:val="%1."/>
      <w:numFmt w:val="decimal"/>
      <w:start w:val="2"/>
    </w:lvl>
    <w:lvl w:ilvl="1">
      <w:lvlJc w:val="left"/>
      <w:lvlText w:val="(%2)"/>
      <w:numFmt w:val="lowerLetter"/>
      <w:start w:val="1"/>
    </w:lvl>
  </w:abstractNum>
  <w:abstractNum w:abstractNumId="295">
    <w:nsid w:val="46F8284B"/>
    <w:multiLevelType w:val="hybridMultilevel"/>
    <w:lvl w:ilvl="0">
      <w:lvlJc w:val="left"/>
      <w:lvlText w:val="%1."/>
      <w:numFmt w:val="decimal"/>
      <w:start w:val="2"/>
    </w:lvl>
    <w:lvl w:ilvl="1">
      <w:lvlJc w:val="left"/>
      <w:lvlText w:val="(%2)"/>
      <w:numFmt w:val="lowerLetter"/>
      <w:start w:val="1"/>
    </w:lvl>
  </w:abstractNum>
  <w:abstractNum w:abstractNumId="296">
    <w:nsid w:val="4FA327CE"/>
    <w:multiLevelType w:val="hybridMultilevel"/>
    <w:lvl w:ilvl="0">
      <w:lvlJc w:val="left"/>
      <w:lvlText w:val="*"/>
      <w:numFmt w:val="bullet"/>
      <w:start w:val="1"/>
    </w:lvl>
  </w:abstractNum>
  <w:abstractNum w:abstractNumId="297">
    <w:nsid w:val="1873983A"/>
    <w:multiLevelType w:val="hybridMultilevel"/>
    <w:lvl w:ilvl="0">
      <w:lvlJc w:val="left"/>
      <w:lvlText w:val="%1"/>
      <w:numFmt w:val="lowerLetter"/>
      <w:start w:val="1"/>
    </w:lvl>
    <w:lvl w:ilvl="1">
      <w:lvlJc w:val="left"/>
      <w:lvlText w:val="**"/>
      <w:numFmt w:val="bullet"/>
      <w:start w:val="1"/>
    </w:lvl>
  </w:abstractNum>
  <w:abstractNum w:abstractNumId="298">
    <w:nsid w:val="3D2DD275"/>
    <w:multiLevelType w:val="hybridMultilevel"/>
    <w:lvl w:ilvl="0">
      <w:lvlJc w:val="left"/>
      <w:lvlText w:val="(%1)"/>
      <w:numFmt w:val="lowerLetter"/>
      <w:start w:val="1"/>
    </w:lvl>
    <w:lvl w:ilvl="1">
      <w:lvlJc w:val="left"/>
      <w:lvlText w:val="***"/>
      <w:numFmt w:val="bullet"/>
      <w:start w:val="1"/>
    </w:lvl>
  </w:abstractNum>
  <w:abstractNum w:abstractNumId="299">
    <w:nsid w:val="2E17ECA7"/>
    <w:multiLevelType w:val="hybridMultilevel"/>
    <w:lvl w:ilvl="0">
      <w:lvlJc w:val="left"/>
      <w:lvlText w:val="%1."/>
      <w:numFmt w:val="decimal"/>
      <w:start w:val="2"/>
    </w:lvl>
    <w:lvl w:ilvl="1">
      <w:lvlJc w:val="left"/>
      <w:lvlText w:val="(%2)"/>
      <w:numFmt w:val="lowerLetter"/>
      <w:start w:val="5"/>
    </w:lvl>
  </w:abstractNum>
  <w:abstractNum w:abstractNumId="300">
    <w:nsid w:val="53B2564F"/>
    <w:multiLevelType w:val="hybridMultilevel"/>
    <w:lvl w:ilvl="0">
      <w:lvlJc w:val="left"/>
      <w:lvlText w:val="(%1)"/>
      <w:numFmt w:val="lowerLetter"/>
      <w:start w:val="8"/>
    </w:lvl>
  </w:abstractNum>
  <w:abstractNum w:abstractNumId="301">
    <w:nsid w:val="75509D76"/>
    <w:multiLevelType w:val="hybridMultilevel"/>
    <w:lvl w:ilvl="0">
      <w:lvlJc w:val="left"/>
      <w:lvlText w:val="%1."/>
      <w:numFmt w:val="decimal"/>
      <w:start w:val="2"/>
    </w:lvl>
    <w:lvl w:ilvl="1">
      <w:lvlJc w:val="left"/>
      <w:lvlText w:val="(%2)"/>
      <w:numFmt w:val="lowerLetter"/>
      <w:start w:val="8"/>
    </w:lvl>
    <w:lvl w:ilvl="2">
      <w:lvlJc w:val="left"/>
      <w:lvlText w:val="•"/>
      <w:numFmt w:val="bullet"/>
      <w:start w:val="1"/>
    </w:lvl>
  </w:abstractNum>
  <w:abstractNum w:abstractNumId="302">
    <w:nsid w:val="1AF7F0EA"/>
    <w:multiLevelType w:val="hybridMultilevel"/>
    <w:lvl w:ilvl="0">
      <w:lvlJc w:val="left"/>
      <w:lvlText w:val="%1."/>
      <w:numFmt w:val="decimal"/>
      <w:start w:val="2"/>
    </w:lvl>
    <w:lvl w:ilvl="1">
      <w:lvlJc w:val="left"/>
      <w:lvlText w:val="(%2)"/>
      <w:numFmt w:val="lowerLetter"/>
      <w:start w:val="13"/>
    </w:lvl>
  </w:abstractNum>
  <w:abstractNum w:abstractNumId="303">
    <w:nsid w:val="4DA32C7E"/>
    <w:multiLevelType w:val="hybridMultilevel"/>
    <w:lvl w:ilvl="0">
      <w:lvlJc w:val="left"/>
      <w:lvlText w:val="%1."/>
      <w:numFmt w:val="decimal"/>
      <w:start w:val="2"/>
    </w:lvl>
    <w:lvl w:ilvl="1">
      <w:lvlJc w:val="left"/>
      <w:lvlText w:val="(%2)"/>
      <w:numFmt w:val="lowerLetter"/>
      <w:start w:val="17"/>
    </w:lvl>
    <w:lvl w:ilvl="2">
      <w:lvlJc w:val="left"/>
      <w:lvlText w:val="(%3)"/>
      <w:numFmt w:val="lowerRoman"/>
      <w:start w:val="1"/>
    </w:lvl>
  </w:abstractNum>
  <w:abstractNum w:abstractNumId="304">
    <w:nsid w:val="6EC68664"/>
    <w:multiLevelType w:val="hybridMultilevel"/>
    <w:lvl w:ilvl="0">
      <w:lvlJc w:val="left"/>
      <w:lvlText w:val="%1."/>
      <w:numFmt w:val="decimal"/>
      <w:start w:val="7"/>
    </w:lvl>
  </w:abstractNum>
  <w:abstractNum w:abstractNumId="305">
    <w:nsid w:val="E0D31FF"/>
    <w:multiLevelType w:val="hybridMultilevel"/>
    <w:lvl w:ilvl="0">
      <w:lvlJc w:val="left"/>
      <w:lvlText w:val="%1."/>
      <w:numFmt w:val="decimal"/>
      <w:start w:val="8"/>
    </w:lvl>
  </w:abstractNum>
  <w:abstractNum w:abstractNumId="306">
    <w:nsid w:val="2FD0AD81"/>
    <w:multiLevelType w:val="hybridMultilevel"/>
    <w:lvl w:ilvl="0">
      <w:lvlJc w:val="left"/>
      <w:lvlText w:val="%1."/>
      <w:numFmt w:val="decimal"/>
      <w:start w:val="9"/>
    </w:lvl>
    <w:lvl w:ilvl="1">
      <w:lvlJc w:val="left"/>
      <w:lvlText w:val="(%2)"/>
      <w:numFmt w:val="lowerLetter"/>
      <w:start w:val="1"/>
    </w:lvl>
  </w:abstractNum>
  <w:abstractNum w:abstractNumId="307">
    <w:nsid w:val="1978EBEB"/>
    <w:multiLevelType w:val="hybridMultilevel"/>
    <w:lvl w:ilvl="0">
      <w:lvlJc w:val="left"/>
      <w:lvlText w:val="%1."/>
      <w:numFmt w:val="decimal"/>
      <w:start w:val="9"/>
    </w:lvl>
    <w:lvl w:ilvl="1">
      <w:lvlJc w:val="left"/>
      <w:lvlText w:val="(%2)"/>
      <w:numFmt w:val="lowerLetter"/>
      <w:start w:val="2"/>
    </w:lvl>
  </w:abstractNum>
  <w:abstractNum w:abstractNumId="308">
    <w:nsid w:val="52C12C61"/>
    <w:multiLevelType w:val="hybridMultilevel"/>
    <w:lvl w:ilvl="0">
      <w:lvlJc w:val="left"/>
      <w:lvlText w:val="(%1)"/>
      <w:numFmt w:val="lowerLetter"/>
      <w:start w:val="1"/>
    </w:lvl>
  </w:abstractNum>
  <w:abstractNum w:abstractNumId="309">
    <w:nsid w:val="4BDD53F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jpeg"/><Relationship Id="rId179" Type="http://schemas.openxmlformats.org/officeDocument/2006/relationships/image" Target="media/image157.jpe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27" Type="http://schemas.openxmlformats.org/officeDocument/2006/relationships/image" Target="media/image505.png"/><Relationship Id="rId528" Type="http://schemas.openxmlformats.org/officeDocument/2006/relationships/image" Target="media/image506.png"/><Relationship Id="rId529" Type="http://schemas.openxmlformats.org/officeDocument/2006/relationships/image" Target="media/image507.png"/><Relationship Id="rId530"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3" Type="http://schemas.openxmlformats.org/officeDocument/2006/relationships/image" Target="media/image511.png"/><Relationship Id="rId534" Type="http://schemas.openxmlformats.org/officeDocument/2006/relationships/image" Target="media/image512.png"/><Relationship Id="rId535" Type="http://schemas.openxmlformats.org/officeDocument/2006/relationships/image" Target="media/image513.png"/><Relationship Id="rId536"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39" Type="http://schemas.openxmlformats.org/officeDocument/2006/relationships/image" Target="media/image517.png"/><Relationship Id="rId540" Type="http://schemas.openxmlformats.org/officeDocument/2006/relationships/image" Target="media/image518.png"/><Relationship Id="rId541" Type="http://schemas.openxmlformats.org/officeDocument/2006/relationships/image" Target="media/image519.png"/><Relationship Id="rId542" Type="http://schemas.openxmlformats.org/officeDocument/2006/relationships/image" Target="media/image520.png"/><Relationship Id="rId543" Type="http://schemas.openxmlformats.org/officeDocument/2006/relationships/image" Target="media/image521.png"/><Relationship Id="rId544" Type="http://schemas.openxmlformats.org/officeDocument/2006/relationships/image" Target="media/image522.png"/><Relationship Id="rId545" Type="http://schemas.openxmlformats.org/officeDocument/2006/relationships/image" Target="media/image523.png"/><Relationship Id="rId546"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549" Type="http://schemas.openxmlformats.org/officeDocument/2006/relationships/image" Target="media/image527.png"/><Relationship Id="rId550" Type="http://schemas.openxmlformats.org/officeDocument/2006/relationships/image" Target="media/image528.png"/><Relationship Id="rId551" Type="http://schemas.openxmlformats.org/officeDocument/2006/relationships/image" Target="media/image529.png"/><Relationship Id="rId552" Type="http://schemas.openxmlformats.org/officeDocument/2006/relationships/image" Target="media/image530.png"/><Relationship Id="rId553" Type="http://schemas.openxmlformats.org/officeDocument/2006/relationships/image" Target="media/image531.png"/><Relationship Id="rId554" Type="http://schemas.openxmlformats.org/officeDocument/2006/relationships/image" Target="media/image532.png"/><Relationship Id="rId555" Type="http://schemas.openxmlformats.org/officeDocument/2006/relationships/image" Target="media/image533.png"/><Relationship Id="rId556" Type="http://schemas.openxmlformats.org/officeDocument/2006/relationships/image" Target="media/image534.png"/><Relationship Id="rId557" Type="http://schemas.openxmlformats.org/officeDocument/2006/relationships/image" Target="media/image535.png"/><Relationship Id="rId558" Type="http://schemas.openxmlformats.org/officeDocument/2006/relationships/image" Target="media/image536.png"/><Relationship Id="rId559" Type="http://schemas.openxmlformats.org/officeDocument/2006/relationships/image" Target="media/image537.png"/><Relationship Id="rId560" Type="http://schemas.openxmlformats.org/officeDocument/2006/relationships/image" Target="media/image538.png"/><Relationship Id="rId561"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png"/><Relationship Id="rId566" Type="http://schemas.openxmlformats.org/officeDocument/2006/relationships/image" Target="media/image544.png"/><Relationship Id="rId567" Type="http://schemas.openxmlformats.org/officeDocument/2006/relationships/image" Target="media/image545.png"/><Relationship Id="rId568" Type="http://schemas.openxmlformats.org/officeDocument/2006/relationships/image" Target="media/image546.png"/><Relationship Id="rId569" Type="http://schemas.openxmlformats.org/officeDocument/2006/relationships/image" Target="media/image547.png"/><Relationship Id="rId570" Type="http://schemas.openxmlformats.org/officeDocument/2006/relationships/image" Target="media/image548.png"/><Relationship Id="rId571" Type="http://schemas.openxmlformats.org/officeDocument/2006/relationships/image" Target="media/image549.png"/><Relationship Id="rId572" Type="http://schemas.openxmlformats.org/officeDocument/2006/relationships/image" Target="media/image550.png"/><Relationship Id="rId573" Type="http://schemas.openxmlformats.org/officeDocument/2006/relationships/image" Target="media/image551.png"/><Relationship Id="rId574" Type="http://schemas.openxmlformats.org/officeDocument/2006/relationships/image" Target="media/image552.png"/><Relationship Id="rId575" Type="http://schemas.openxmlformats.org/officeDocument/2006/relationships/image" Target="media/image553.png"/><Relationship Id="rId576" Type="http://schemas.openxmlformats.org/officeDocument/2006/relationships/image" Target="media/image554.png"/><Relationship Id="rId577" Type="http://schemas.openxmlformats.org/officeDocument/2006/relationships/image" Target="media/image555.png"/><Relationship Id="rId578" Type="http://schemas.openxmlformats.org/officeDocument/2006/relationships/image" Target="media/image556.png"/><Relationship Id="rId579" Type="http://schemas.openxmlformats.org/officeDocument/2006/relationships/image" Target="media/image557.png"/><Relationship Id="rId580"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3" Type="http://schemas.openxmlformats.org/officeDocument/2006/relationships/image" Target="media/image571.png"/><Relationship Id="rId594" Type="http://schemas.openxmlformats.org/officeDocument/2006/relationships/image" Target="media/image572.png"/><Relationship Id="rId595" Type="http://schemas.openxmlformats.org/officeDocument/2006/relationships/image" Target="media/image573.png"/><Relationship Id="rId596" Type="http://schemas.openxmlformats.org/officeDocument/2006/relationships/image" Target="media/image574.png"/><Relationship Id="rId597" Type="http://schemas.openxmlformats.org/officeDocument/2006/relationships/image" Target="media/image575.png"/><Relationship Id="rId598" Type="http://schemas.openxmlformats.org/officeDocument/2006/relationships/image" Target="media/image576.png"/><Relationship Id="rId599" Type="http://schemas.openxmlformats.org/officeDocument/2006/relationships/image" Target="media/image577.png"/><Relationship Id="rId600" Type="http://schemas.openxmlformats.org/officeDocument/2006/relationships/image" Target="media/image578.png"/><Relationship Id="rId601" Type="http://schemas.openxmlformats.org/officeDocument/2006/relationships/image" Target="media/image579.png"/><Relationship Id="rId602" Type="http://schemas.openxmlformats.org/officeDocument/2006/relationships/image" Target="media/image580.png"/><Relationship Id="rId603" Type="http://schemas.openxmlformats.org/officeDocument/2006/relationships/image" Target="media/image581.png"/><Relationship Id="rId604" Type="http://schemas.openxmlformats.org/officeDocument/2006/relationships/image" Target="media/image582.png"/><Relationship Id="rId605" Type="http://schemas.openxmlformats.org/officeDocument/2006/relationships/image" Target="media/image583.png"/><Relationship Id="rId606" Type="http://schemas.openxmlformats.org/officeDocument/2006/relationships/image" Target="media/image584.png"/><Relationship Id="rId607" Type="http://schemas.openxmlformats.org/officeDocument/2006/relationships/image" Target="media/image585.png"/><Relationship Id="rId608" Type="http://schemas.openxmlformats.org/officeDocument/2006/relationships/image" Target="media/image586.png"/><Relationship Id="rId609" Type="http://schemas.openxmlformats.org/officeDocument/2006/relationships/image" Target="media/image587.png"/><Relationship Id="rId610" Type="http://schemas.openxmlformats.org/officeDocument/2006/relationships/image" Target="media/image588.png"/><Relationship Id="rId611" Type="http://schemas.openxmlformats.org/officeDocument/2006/relationships/image" Target="media/image589.png"/><Relationship Id="rId612" Type="http://schemas.openxmlformats.org/officeDocument/2006/relationships/image" Target="media/image590.png"/><Relationship Id="rId613" Type="http://schemas.openxmlformats.org/officeDocument/2006/relationships/image" Target="media/image591.png"/><Relationship Id="rId614" Type="http://schemas.openxmlformats.org/officeDocument/2006/relationships/image" Target="media/image592.png"/><Relationship Id="rId615" Type="http://schemas.openxmlformats.org/officeDocument/2006/relationships/image" Target="media/image593.png"/><Relationship Id="rId616" Type="http://schemas.openxmlformats.org/officeDocument/2006/relationships/image" Target="media/image594.png"/><Relationship Id="rId617" Type="http://schemas.openxmlformats.org/officeDocument/2006/relationships/image" Target="media/image595.png"/><Relationship Id="rId618" Type="http://schemas.openxmlformats.org/officeDocument/2006/relationships/image" Target="media/image596.png"/><Relationship Id="rId619" Type="http://schemas.openxmlformats.org/officeDocument/2006/relationships/image" Target="media/image597.png"/><Relationship Id="rId620" Type="http://schemas.openxmlformats.org/officeDocument/2006/relationships/image" Target="media/image598.png"/><Relationship Id="rId621" Type="http://schemas.openxmlformats.org/officeDocument/2006/relationships/image" Target="media/image599.png"/><Relationship Id="rId622" Type="http://schemas.openxmlformats.org/officeDocument/2006/relationships/image" Target="media/image600.png"/><Relationship Id="rId623" Type="http://schemas.openxmlformats.org/officeDocument/2006/relationships/image" Target="media/image601.png"/><Relationship Id="rId624" Type="http://schemas.openxmlformats.org/officeDocument/2006/relationships/image" Target="media/image602.png"/><Relationship Id="rId625" Type="http://schemas.openxmlformats.org/officeDocument/2006/relationships/image" Target="media/image603.png"/><Relationship Id="rId626" Type="http://schemas.openxmlformats.org/officeDocument/2006/relationships/image" Target="media/image604.png"/><Relationship Id="rId627" Type="http://schemas.openxmlformats.org/officeDocument/2006/relationships/image" Target="media/image605.png"/><Relationship Id="rId628" Type="http://schemas.openxmlformats.org/officeDocument/2006/relationships/image" Target="media/image606.png"/><Relationship Id="rId629" Type="http://schemas.openxmlformats.org/officeDocument/2006/relationships/image" Target="media/image607.png"/><Relationship Id="rId630" Type="http://schemas.openxmlformats.org/officeDocument/2006/relationships/image" Target="media/image608.png"/><Relationship Id="rId631" Type="http://schemas.openxmlformats.org/officeDocument/2006/relationships/image" Target="media/image609.png"/><Relationship Id="rId632" Type="http://schemas.openxmlformats.org/officeDocument/2006/relationships/image" Target="media/image610.png"/><Relationship Id="rId633" Type="http://schemas.openxmlformats.org/officeDocument/2006/relationships/image" Target="media/image611.png"/><Relationship Id="rId634" Type="http://schemas.openxmlformats.org/officeDocument/2006/relationships/image" Target="media/image612.png"/><Relationship Id="rId635" Type="http://schemas.openxmlformats.org/officeDocument/2006/relationships/image" Target="media/image613.png"/><Relationship Id="rId636" Type="http://schemas.openxmlformats.org/officeDocument/2006/relationships/image" Target="media/image614.png"/><Relationship Id="rId637" Type="http://schemas.openxmlformats.org/officeDocument/2006/relationships/image" Target="media/image615.png"/><Relationship Id="rId638" Type="http://schemas.openxmlformats.org/officeDocument/2006/relationships/image" Target="media/image616.png"/><Relationship Id="rId639" Type="http://schemas.openxmlformats.org/officeDocument/2006/relationships/image" Target="media/image617.png"/><Relationship Id="rId640" Type="http://schemas.openxmlformats.org/officeDocument/2006/relationships/image" Target="media/image618.png"/><Relationship Id="rId641" Type="http://schemas.openxmlformats.org/officeDocument/2006/relationships/image" Target="media/image619.png"/><Relationship Id="rId642" Type="http://schemas.openxmlformats.org/officeDocument/2006/relationships/image" Target="media/image620.png"/><Relationship Id="rId643" Type="http://schemas.openxmlformats.org/officeDocument/2006/relationships/image" Target="media/image621.png"/><Relationship Id="rId644" Type="http://schemas.openxmlformats.org/officeDocument/2006/relationships/image" Target="media/image622.png"/><Relationship Id="rId645" Type="http://schemas.openxmlformats.org/officeDocument/2006/relationships/image" Target="media/image623.png"/><Relationship Id="rId646" Type="http://schemas.openxmlformats.org/officeDocument/2006/relationships/image" Target="media/image624.png"/><Relationship Id="rId647" Type="http://schemas.openxmlformats.org/officeDocument/2006/relationships/image" Target="media/image625.png"/><Relationship Id="rId648" Type="http://schemas.openxmlformats.org/officeDocument/2006/relationships/image" Target="media/image626.png"/><Relationship Id="rId649" Type="http://schemas.openxmlformats.org/officeDocument/2006/relationships/image" Target="media/image627.png"/><Relationship Id="rId650" Type="http://schemas.openxmlformats.org/officeDocument/2006/relationships/image" Target="media/image628.png"/><Relationship Id="rId651" Type="http://schemas.openxmlformats.org/officeDocument/2006/relationships/image" Target="media/image629.png"/><Relationship Id="rId652" Type="http://schemas.openxmlformats.org/officeDocument/2006/relationships/image" Target="media/image630.png"/><Relationship Id="rId653" Type="http://schemas.openxmlformats.org/officeDocument/2006/relationships/image" Target="media/image631.png"/><Relationship Id="rId654" Type="http://schemas.openxmlformats.org/officeDocument/2006/relationships/image" Target="media/image632.png"/><Relationship Id="rId655" Type="http://schemas.openxmlformats.org/officeDocument/2006/relationships/image" Target="media/image633.png"/><Relationship Id="rId656" Type="http://schemas.openxmlformats.org/officeDocument/2006/relationships/image" Target="media/image634.png"/><Relationship Id="rId657" Type="http://schemas.openxmlformats.org/officeDocument/2006/relationships/image" Target="media/image635.png"/><Relationship Id="rId658" Type="http://schemas.openxmlformats.org/officeDocument/2006/relationships/image" Target="media/image636.png"/><Relationship Id="rId659" Type="http://schemas.openxmlformats.org/officeDocument/2006/relationships/image" Target="media/image637.png"/><Relationship Id="rId660" Type="http://schemas.openxmlformats.org/officeDocument/2006/relationships/image" Target="media/image638.png"/><Relationship Id="rId661" Type="http://schemas.openxmlformats.org/officeDocument/2006/relationships/image" Target="media/image639.png"/><Relationship Id="rId662" Type="http://schemas.openxmlformats.org/officeDocument/2006/relationships/image" Target="media/image640.png"/><Relationship Id="rId663" Type="http://schemas.openxmlformats.org/officeDocument/2006/relationships/image" Target="media/image641.png"/><Relationship Id="rId664" Type="http://schemas.openxmlformats.org/officeDocument/2006/relationships/image" Target="media/image642.png"/><Relationship Id="rId665" Type="http://schemas.openxmlformats.org/officeDocument/2006/relationships/image" Target="media/image643.png"/><Relationship Id="rId666" Type="http://schemas.openxmlformats.org/officeDocument/2006/relationships/image" Target="media/image644.png"/><Relationship Id="rId667" Type="http://schemas.openxmlformats.org/officeDocument/2006/relationships/image" Target="media/image645.png"/><Relationship Id="rId668" Type="http://schemas.openxmlformats.org/officeDocument/2006/relationships/image" Target="media/image646.png"/><Relationship Id="rId669" Type="http://schemas.openxmlformats.org/officeDocument/2006/relationships/image" Target="media/image647.png"/><Relationship Id="rId670" Type="http://schemas.openxmlformats.org/officeDocument/2006/relationships/image" Target="media/image648.png"/><Relationship Id="rId671" Type="http://schemas.openxmlformats.org/officeDocument/2006/relationships/image" Target="media/image649.png"/><Relationship Id="rId672" Type="http://schemas.openxmlformats.org/officeDocument/2006/relationships/image" Target="media/image650.png"/><Relationship Id="rId673" Type="http://schemas.openxmlformats.org/officeDocument/2006/relationships/image" Target="media/image651.png"/><Relationship Id="rId674" Type="http://schemas.openxmlformats.org/officeDocument/2006/relationships/image" Target="media/image652.png"/><Relationship Id="rId675" Type="http://schemas.openxmlformats.org/officeDocument/2006/relationships/image" Target="media/image653.jpeg"/><Relationship Id="rId676" Type="http://schemas.openxmlformats.org/officeDocument/2006/relationships/image" Target="media/image654.jpeg"/><Relationship Id="rId677" Type="http://schemas.openxmlformats.org/officeDocument/2006/relationships/image" Target="media/image655.jpeg"/><Relationship Id="rId160" Type="http://schemas.openxmlformats.org/officeDocument/2006/relationships/hyperlink" Target="http://www.sec.gov/Archives/edgar/data/0001795139/000119312519320787/d845813dex31.htm" TargetMode="External"/><Relationship Id="rId161" Type="http://schemas.openxmlformats.org/officeDocument/2006/relationships/hyperlink" Target="http://www.sec.gov/Archives/edgar/data/0001795139/000119312519320787/d845813dex41.htm" TargetMode="External"/><Relationship Id="rId162" Type="http://schemas.openxmlformats.org/officeDocument/2006/relationships/hyperlink" Target="http://www.sec.gov/Archives/edgar/data/0001795139/000119312519320787/d845813dex101.htm" TargetMode="External"/><Relationship Id="rId163" Type="http://schemas.openxmlformats.org/officeDocument/2006/relationships/hyperlink" Target="http://www.sec.gov/Archives/edgar/data/0001795139/000119312519320787/d845813dex102.htm" TargetMode="External"/><Relationship Id="rId164" Type="http://schemas.openxmlformats.org/officeDocument/2006/relationships/hyperlink" Target="http://www.sec.gov/Archives/edgar/data/0001795139/000119312519320787/d845813dex103.htm" TargetMode="External"/><Relationship Id="rId165" Type="http://schemas.openxmlformats.org/officeDocument/2006/relationships/hyperlink" Target="http://www.sec.gov/Archives/edgar/data/0001795139/000119312519320787/d845813dex104.htm" TargetMode="External"/><Relationship Id="rId166" Type="http://schemas.openxmlformats.org/officeDocument/2006/relationships/hyperlink" Target="http://www.sec.gov/Archives/edgar/data/0001795139/000119312519320787/d845813dex105.htm" TargetMode="External"/><Relationship Id="rId167" Type="http://schemas.openxmlformats.org/officeDocument/2006/relationships/hyperlink" Target="http://www.sec.gov/Archives/edgar/data/0001795139/000119312519320787/d845813dex106.htm" TargetMode="External"/><Relationship Id="rId168" Type="http://schemas.openxmlformats.org/officeDocument/2006/relationships/hyperlink" Target="http://www.sec.gov/Archives/edgar/data/0001795139/000119312519320787/d845813dex107.htm" TargetMode="External"/><Relationship Id="rId169" Type="http://schemas.openxmlformats.org/officeDocument/2006/relationships/hyperlink" Target="http://www.sec.gov/Archives/edgar/data/0001795139/000119312519320787/d845813dex108.htm" TargetMode="External"/><Relationship Id="rId170" Type="http://schemas.openxmlformats.org/officeDocument/2006/relationships/hyperlink" Target="http://www.sec.gov/Archives/edgar/data/0001795139/000119312519320787/d845813dex109.htm" TargetMode="External"/><Relationship Id="rId171" Type="http://schemas.openxmlformats.org/officeDocument/2006/relationships/hyperlink" Target="http://www.sec.gov/Archives/edgar/data/0001795139/000119312519320787/d845813dex1010.htm" TargetMode="External"/><Relationship Id="rId172" Type="http://schemas.openxmlformats.org/officeDocument/2006/relationships/hyperlink" Target="http://www.sec.gov/Archives/edgar/data/0001795139/000119312519320787/d845813dex1011.htm" TargetMode="External"/><Relationship Id="rId173" Type="http://schemas.openxmlformats.org/officeDocument/2006/relationships/hyperlink" Target="http://www.sec.gov/Archives/edgar/data/0001795139/000119312519320787/d845813dex1012.htm" TargetMode="External"/><Relationship Id="rId174" Type="http://schemas.openxmlformats.org/officeDocument/2006/relationships/hyperlink" Target="http://www.sec.gov/Archives/edgar/data/0001795139/000119312519320787/d84581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2020-03-05T16:29:34Z</dcterms:created>
  <dcterms:modified xsi:type="dcterms:W3CDTF">2020-03-05T16:29:34Z</dcterms:modified>
</cp:coreProperties>
</file>