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64"/>
        <w:spacing w:after="0"/>
        <w:rPr>
          <w:sz w:val="20"/>
          <w:szCs w:val="20"/>
          <w:color w:val="auto"/>
        </w:rPr>
      </w:pPr>
      <w:r>
        <w:rPr>
          <w:rFonts w:ascii="Arial" w:cs="Arial" w:eastAsia="Arial" w:hAnsi="Arial"/>
          <w:sz w:val="21"/>
          <w:szCs w:val="21"/>
          <w:b w:val="1"/>
          <w:bCs w:val="1"/>
          <w:color w:val="auto"/>
        </w:rPr>
        <w:t>Date of Report (Date of earliest event reported) August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384"/>
        <w:spacing w:after="0"/>
        <w:tabs>
          <w:tab w:leader="none" w:pos="5224" w:val="left"/>
          <w:tab w:leader="none" w:pos="8124"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Trading Symbol</w:t>
      </w:r>
      <w:r>
        <w:rPr>
          <w:sz w:val="20"/>
          <w:szCs w:val="20"/>
          <w:color w:val="auto"/>
        </w:rPr>
        <w:tab/>
      </w:r>
      <w:r>
        <w:rPr>
          <w:rFonts w:ascii="Arial" w:cs="Arial" w:eastAsia="Arial" w:hAnsi="Arial"/>
          <w:sz w:val="12"/>
          <w:szCs w:val="12"/>
          <w:b w:val="1"/>
          <w:bCs w:val="1"/>
          <w:u w:val="single" w:color="auto"/>
          <w:color w:val="auto"/>
        </w:rPr>
        <w:t>Name of exchange on which registered</w:t>
      </w:r>
    </w:p>
    <w:p>
      <w:pPr>
        <w:spacing w:after="0" w:line="25" w:lineRule="exact"/>
        <w:rPr>
          <w:sz w:val="24"/>
          <w:szCs w:val="24"/>
          <w:color w:val="auto"/>
        </w:rPr>
      </w:pPr>
    </w:p>
    <w:p>
      <w:pPr>
        <w:ind w:left="1784"/>
        <w:spacing w:after="0"/>
        <w:rPr>
          <w:sz w:val="20"/>
          <w:szCs w:val="20"/>
          <w:color w:val="auto"/>
        </w:rPr>
      </w:pPr>
      <w:r>
        <w:rPr>
          <w:rFonts w:ascii="Arial" w:cs="Arial" w:eastAsia="Arial" w:hAnsi="Arial"/>
          <w:sz w:val="18"/>
          <w:szCs w:val="18"/>
          <w:b w:val="1"/>
          <w:bCs w:val="1"/>
          <w:color w:val="auto"/>
        </w:rPr>
        <w:t>N/A</w:t>
      </w:r>
    </w:p>
    <w:p>
      <w:pPr>
        <w:spacing w:after="0" w:line="209" w:lineRule="exact"/>
        <w:rPr>
          <w:sz w:val="24"/>
          <w:szCs w:val="24"/>
          <w:color w:val="auto"/>
        </w:rPr>
      </w:pPr>
    </w:p>
    <w:p>
      <w:pPr>
        <w:ind w:left="4"/>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12, 2020, Green Thumb Industries Inc. (the “Company”) issued a press release announcing its financial results for the quarter ended June 30, 2020, a copy of which is attached as Exhibit 99.1.</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12, 2020</w:t>
        </w:r>
      </w:hyperlink>
    </w:p>
    <w:p>
      <w:pPr>
        <w:sectPr>
          <w:pgSz w:w="11900" w:h="16838" w:orient="portrait"/>
          <w:cols w:equalWidth="0" w:num="1">
            <w:col w:w="10980"/>
          </w:cols>
          <w:pgMar w:left="440" w:top="270"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6"/>
          <w:szCs w:val="16"/>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Anthony Georgiadis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171450</wp:posOffset>
            </wp:positionV>
            <wp:extent cx="272605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Thumb Industries Reports Second Quarter 2020 Results</w:t>
      </w:r>
    </w:p>
    <w:p>
      <w:pPr>
        <w:spacing w:after="0" w:line="25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Total revenue of $119.6 million increased 16.6% quarter-over-quarter and 167.5%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First half 2020 revenue of $222.2 million exceeds full year 2019 revenue</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Growth in revenue and free cash flow from operations driven by increased scale and operating leverage in the Consumer Packaged Goods and Retail businesses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Continued strong demand and market dynamics despite COVID-19 environment</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CHICAGO and VANCOUVER, British Columbia, August 12, 2020 </w:t>
      </w:r>
      <w:r>
        <w:rPr>
          <w:rFonts w:ascii="Arial" w:cs="Arial" w:eastAsia="Arial" w:hAnsi="Arial"/>
          <w:sz w:val="18"/>
          <w:szCs w:val="18"/>
          <w:color w:val="auto"/>
        </w:rPr>
        <w:t>— Green Thumb Industries Inc. (“Green Thumb,” or the “Company”) (CSE:</w:t>
      </w:r>
      <w:r>
        <w:rPr>
          <w:rFonts w:ascii="Arial" w:cs="Arial" w:eastAsia="Arial" w:hAnsi="Arial"/>
          <w:sz w:val="18"/>
          <w:szCs w:val="18"/>
          <w:b w:val="1"/>
          <w:bCs w:val="1"/>
          <w:color w:val="auto"/>
        </w:rPr>
        <w:t xml:space="preserve"> </w:t>
      </w:r>
      <w:r>
        <w:rPr>
          <w:rFonts w:ascii="Arial" w:cs="Arial" w:eastAsia="Arial" w:hAnsi="Arial"/>
          <w:sz w:val="18"/>
          <w:szCs w:val="18"/>
          <w:color w:val="auto"/>
        </w:rPr>
        <w:t>GTII) (OTCQX: GTBIF), a leading national cannabis consumer packaged goods company and owner of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today reported its financial results for the second quarter ended June 30, 2020. Financial results are reported in accordance with U.S. generally accepted accounting principles (“U.S. GAAP”) and all currency is in U.S. dollars.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is Green Thumb’s second consecutive quarter exceeding $100 million in sales, and our first half 2020 revenue already exceeds full fiscal year 2019 revenue. We are moving faster as our investments in infrastructure deliver operating leverage and the team continues to meet the evolving needs of our customers and communities,” said Green Thumb Chairman, Founder and Chief Executive Officer Ben Kovler.</w:t>
      </w:r>
    </w:p>
    <w:p>
      <w:pPr>
        <w:spacing w:after="0" w:line="16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Kovler continued, “Demand is strong as cannabis continues to behave like a consumer staple. In the face of the ongoing pandemic and social unrest, we remain laser-focused on executing our growth strategy while prioritizing the health and safety of our team and customers.”</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opened six new stores during the quarter, bringing total stores to 48 nationwide, and successfully introduced an e-commerce platform enabling delivery and curb-side pickup. We also improved standardization and automation in production, resulting in improved speed-to-market of our consumer products. In early July, we opened our Toledo, Ohio manufacturing facility and began production and distribution of our brand portfolio in Ohio. We expect this, along with other capacity expansion projects in Illinois, Pennsylvania and New Jersey, to further propel our business in the second half of 2020.”</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1" w:lineRule="exact"/>
        <w:rPr>
          <w:sz w:val="20"/>
          <w:szCs w:val="20"/>
          <w:color w:val="auto"/>
        </w:rPr>
      </w:pPr>
    </w:p>
    <w:p>
      <w:pPr>
        <w:ind w:left="960" w:right="200" w:hanging="424"/>
        <w:spacing w:after="0" w:line="347"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for the second quarter 2020 increased 16.6% quarter-over-quarter and 167.5% year-over-year to $119.6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growth was driven primarily by the increased scale in the Company’s Consumer Packaged Goods and Retail businesses.</w:t>
      </w:r>
    </w:p>
    <w:p>
      <w:pPr>
        <w:spacing w:after="0" w:line="21"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Gross margin for the second quarter 2020 was 53.2% as compared to 51.6% for the prior quarter.</w:t>
      </w:r>
    </w:p>
    <w:p>
      <w:pPr>
        <w:spacing w:after="0" w:line="130" w:lineRule="exact"/>
        <w:rPr>
          <w:rFonts w:ascii="Arial" w:cs="Arial" w:eastAsia="Arial" w:hAnsi="Arial"/>
          <w:sz w:val="18"/>
          <w:szCs w:val="18"/>
          <w:color w:val="auto"/>
        </w:rPr>
      </w:pPr>
    </w:p>
    <w:p>
      <w:pPr>
        <w:ind w:left="96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Attributable to Green Thumb: </w:t>
      </w:r>
      <w:r>
        <w:rPr>
          <w:rFonts w:ascii="Arial" w:cs="Arial" w:eastAsia="Arial" w:hAnsi="Arial"/>
          <w:sz w:val="18"/>
          <w:szCs w:val="18"/>
          <w:color w:val="auto"/>
        </w:rPr>
        <w:t>Net loss attributable to the Company for the second quarter 2020 was $12.9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($0.06) per basic and diluted share.</w:t>
      </w:r>
    </w:p>
    <w:p>
      <w:pPr>
        <w:spacing w:after="0" w:line="67" w:lineRule="exact"/>
        <w:rPr>
          <w:rFonts w:ascii="Arial" w:cs="Arial" w:eastAsia="Arial" w:hAnsi="Arial"/>
          <w:sz w:val="18"/>
          <w:szCs w:val="18"/>
          <w:color w:val="auto"/>
        </w:rPr>
      </w:pPr>
    </w:p>
    <w:p>
      <w:pPr>
        <w:ind w:left="960" w:right="24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Adjusted Operating EBITDA</w:t>
      </w:r>
      <w:r>
        <w:rPr>
          <w:rFonts w:ascii="Arial" w:cs="Arial" w:eastAsia="Arial" w:hAnsi="Arial"/>
          <w:sz w:val="15"/>
          <w:szCs w:val="15"/>
          <w:color w:val="auto"/>
        </w:rPr>
        <w:t>(1)</w:t>
      </w:r>
      <w:r>
        <w:rPr>
          <w:rFonts w:ascii="Arial" w:cs="Arial" w:eastAsia="Arial" w:hAnsi="Arial"/>
          <w:sz w:val="18"/>
          <w:szCs w:val="18"/>
          <w:color w:val="auto"/>
        </w:rPr>
        <w:t>, which is a non-GAAP financial measure as described below and in an</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financial table in this release, was $35.4 million or 29.6% of revenue for the second quarter 2020, representing a 38.6% increase from the prior quarter.</w:t>
      </w:r>
    </w:p>
    <w:p>
      <w:pPr>
        <w:spacing w:after="0" w:line="81" w:lineRule="exact"/>
        <w:rPr>
          <w:rFonts w:ascii="Arial" w:cs="Arial" w:eastAsia="Arial" w:hAnsi="Arial"/>
          <w:sz w:val="18"/>
          <w:szCs w:val="18"/>
          <w:color w:val="auto"/>
        </w:rPr>
      </w:pPr>
    </w:p>
    <w:p>
      <w:pPr>
        <w:ind w:left="960" w:right="18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Balance Sheet: </w:t>
      </w:r>
      <w:r>
        <w:rPr>
          <w:rFonts w:ascii="Arial" w:cs="Arial" w:eastAsia="Arial" w:hAnsi="Arial"/>
          <w:sz w:val="18"/>
          <w:szCs w:val="18"/>
          <w:color w:val="auto"/>
        </w:rPr>
        <w:t>As of June 30, 2020, current assets totaled $152.6 million and included cash and cash equivalents of $82.9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debt outstanding was $95.2 million, $0.3 million of which is due within 12 months.</w:t>
      </w:r>
    </w:p>
    <w:p>
      <w:pPr>
        <w:spacing w:after="0" w:line="58" w:lineRule="exact"/>
        <w:rPr>
          <w:sz w:val="20"/>
          <w:szCs w:val="20"/>
          <w:color w:val="auto"/>
        </w:rPr>
      </w:pPr>
    </w:p>
    <w:p>
      <w:pPr>
        <w:ind w:left="440" w:right="240" w:hanging="4"/>
        <w:spacing w:after="0" w:line="263" w:lineRule="auto"/>
        <w:tabs>
          <w:tab w:leader="none" w:pos="69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EBITDA refers to earnings before income, taxes, depreciation and amortization. EBITDA and Adjusted Operating EBITDA are non-GAAP financial measures. Please see the “Supplemental Information (Unaudited) Regarding Non-GAAP Financial Measures” at the end of this press release for a reconciliation of non-GAAP to GAAP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Management Commentary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Kovler added, “The cannabis industry continues to play an essential role in the well-being of people and communities, especially in today’s environment. Cannabis generates critical tax revenues for states with legalized use and provides economic development opportunities. In our home state of Illinois, for example, the industry generated $66 million in tax revenue since the legalization of adult-use this past January. The month-over-month momentum continued with July total sales up 22% from June to $94 million, a record high.”</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Kovler continued, “More than ever, we remain bullish on the long-term prospects of our business. We operate in high-growth, high-potential markets as we execute our enter, open and scale strategy to distribute brands at scale. Our team remains resilient and adaptable and we are well-positioned to capitalize on the estimated $75 billion U.S. cannabis industry that is unfolding before our eyes.”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Packaged Goods Business Development</w:t>
      </w:r>
    </w:p>
    <w:p>
      <w:pPr>
        <w:spacing w:after="0" w:line="135" w:lineRule="exact"/>
        <w:rPr>
          <w:sz w:val="20"/>
          <w:szCs w:val="20"/>
          <w:color w:val="auto"/>
        </w:rPr>
      </w:pPr>
    </w:p>
    <w:p>
      <w:pPr>
        <w:ind w:left="960" w:right="18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2020, Green Thumb’s family of consumer brands are produced, distributed, and available in retail locations in nine states: California, Colorado, Connecticut, Florida, Illinois, Maryland, Massachusetts, Nevada and Pennsylvania.</w:t>
      </w:r>
    </w:p>
    <w:p>
      <w:pPr>
        <w:spacing w:after="0" w:line="75"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branded product sales grew sequentially by approximately 21.6% quarter-over-quarter, driven primarily by expanded product distribution.</w:t>
      </w:r>
    </w:p>
    <w:p>
      <w:pPr>
        <w:spacing w:after="0" w:line="75"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Green Thumb’s manufacturing facilities in Oglesby, Illinois (the Company’s second manufacturing facility in the state) and New Jersey are expected to be completed and begin production in the third quarter of 2020. The Company is continuing to expand its existing Rock Island, Illinois and Danville, Pennsylvania production facilities, which are expected to increase capacity and production output in the second half of 2020.</w:t>
      </w:r>
    </w:p>
    <w:p>
      <w:pPr>
        <w:spacing w:after="0" w:line="92"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Subsequent to the quarter end, in July Green Thumb completed its Ohio manufacturing facility and began producing and distributing its brand portfolio in the Ohio market.</w:t>
      </w:r>
    </w:p>
    <w:p>
      <w:pPr>
        <w:spacing w:after="0" w:line="75" w:lineRule="exact"/>
        <w:rPr>
          <w:rFonts w:ascii="Arial" w:cs="Arial" w:eastAsia="Arial" w:hAnsi="Arial"/>
          <w:sz w:val="18"/>
          <w:szCs w:val="18"/>
          <w:color w:val="auto"/>
        </w:rPr>
      </w:pPr>
    </w:p>
    <w:p>
      <w:pPr>
        <w:ind w:left="960" w:right="1000" w:hanging="424"/>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Green Thumb launched Big Dogs under its Dogwalkers brand in Florida and Green Apple Tarts under its incredibles brand in Massachusetts. Subsequent to the quarter end, the Company launched an incredibles brand redesign.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Development</w:t>
      </w:r>
    </w:p>
    <w:p>
      <w:pPr>
        <w:spacing w:after="0" w:line="135" w:lineRule="exact"/>
        <w:rPr>
          <w:sz w:val="20"/>
          <w:szCs w:val="20"/>
          <w:color w:val="auto"/>
        </w:rPr>
      </w:pPr>
    </w:p>
    <w:p>
      <w:pPr>
        <w:ind w:left="960" w:right="4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Green Thumb’s second quarter revenue included sales from 48 retail stores across ten states: Connecticut, Florida, Illinois, Maryland, Massachusetts, Nevada, New Jersey, New York, Ohio and Pennsylvania.</w:t>
      </w:r>
    </w:p>
    <w:p>
      <w:pPr>
        <w:spacing w:after="0" w:line="75" w:lineRule="exact"/>
        <w:rPr>
          <w:rFonts w:ascii="Arial" w:cs="Arial" w:eastAsia="Arial" w:hAnsi="Arial"/>
          <w:sz w:val="18"/>
          <w:szCs w:val="18"/>
          <w:color w:val="auto"/>
        </w:rPr>
      </w:pPr>
    </w:p>
    <w:p>
      <w:pPr>
        <w:ind w:left="960" w:right="660" w:hanging="424"/>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Comparable sales growth (stores opened at least 12 months) exceeded 75.0% on a base of 16 stores, driven primarily by increased transactions. Sequential quarter-over-quarter comparable sales were up 8.3% on a base of 40 stores.</w:t>
      </w:r>
    </w:p>
    <w:p>
      <w:pPr>
        <w:spacing w:after="0" w:line="51" w:lineRule="exact"/>
        <w:rPr>
          <w:rFonts w:ascii="Arial" w:cs="Arial" w:eastAsia="Arial" w:hAnsi="Arial"/>
          <w:sz w:val="17"/>
          <w:szCs w:val="17"/>
          <w:color w:val="auto"/>
        </w:rPr>
      </w:pPr>
    </w:p>
    <w:p>
      <w:pPr>
        <w:ind w:left="960" w:right="460" w:hanging="424"/>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Green Thumb resumed adult-use sales in Massachusetts in May following the lifting of the adult-use sales ban that was implemented statewide due to COVID-19. In June, the Company resumed in-store retail sales in Nevada following the state’s reopening of retail establishments. Prior to that state’s retail reopening, Green Thumb provided delivery and curb-side pickup to customers.</w:t>
      </w:r>
    </w:p>
    <w:p>
      <w:pPr>
        <w:spacing w:after="0" w:line="54" w:lineRule="exact"/>
        <w:rPr>
          <w:rFonts w:ascii="Arial" w:cs="Arial" w:eastAsia="Arial" w:hAnsi="Arial"/>
          <w:sz w:val="16"/>
          <w:szCs w:val="16"/>
          <w:color w:val="auto"/>
        </w:rPr>
      </w:pPr>
    </w:p>
    <w:p>
      <w:pPr>
        <w:ind w:left="960" w:right="4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revenue increased sequentially by 15.2% quarter-over-quarter, primarily driven by new store openings, increased foot traffic in established stores and higher average ticket size in the Company’s Illinois and Pennsylvania retail stores.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quarter, Green Thumb opened six new stores, for a total of nine stores opened year-to-date: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Pennsylvania: Opened Rise</w:t>
      </w:r>
      <w:r>
        <w:rPr>
          <w:rFonts w:ascii="Arial" w:cs="Arial" w:eastAsia="Arial" w:hAnsi="Arial"/>
          <w:sz w:val="15"/>
          <w:szCs w:val="15"/>
          <w:color w:val="auto"/>
        </w:rPr>
        <w:t>™</w:t>
      </w:r>
      <w:r>
        <w:rPr>
          <w:rFonts w:ascii="Arial" w:cs="Arial" w:eastAsia="Arial" w:hAnsi="Arial"/>
          <w:sz w:val="18"/>
          <w:szCs w:val="18"/>
          <w:color w:val="auto"/>
        </w:rPr>
        <w:t xml:space="preserve"> Duncansville and Rise</w:t>
      </w:r>
      <w:r>
        <w:rPr>
          <w:rFonts w:ascii="Arial" w:cs="Arial" w:eastAsia="Arial" w:hAnsi="Arial"/>
          <w:sz w:val="15"/>
          <w:szCs w:val="15"/>
          <w:color w:val="auto"/>
        </w:rPr>
        <w:t>™</w:t>
      </w:r>
      <w:r>
        <w:rPr>
          <w:rFonts w:ascii="Arial" w:cs="Arial" w:eastAsia="Arial" w:hAnsi="Arial"/>
          <w:sz w:val="18"/>
          <w:szCs w:val="18"/>
          <w:color w:val="auto"/>
        </w:rPr>
        <w:t xml:space="preserve"> Chambersburg.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Illinois: Opened Rise</w:t>
      </w:r>
      <w:r>
        <w:rPr>
          <w:rFonts w:ascii="Arial" w:cs="Arial" w:eastAsia="Arial" w:hAnsi="Arial"/>
          <w:sz w:val="15"/>
          <w:szCs w:val="15"/>
          <w:color w:val="auto"/>
        </w:rPr>
        <w:t>™</w:t>
      </w:r>
      <w:r>
        <w:rPr>
          <w:rFonts w:ascii="Arial" w:cs="Arial" w:eastAsia="Arial" w:hAnsi="Arial"/>
          <w:sz w:val="18"/>
          <w:szCs w:val="18"/>
          <w:color w:val="auto"/>
        </w:rPr>
        <w:t xml:space="preserve"> Niles, bringing total open stores in the state to eight.</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jc w:val="both"/>
        <w:ind w:left="1420" w:right="40" w:hanging="331"/>
        <w:spacing w:after="0" w:line="263"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Nevada: Opened Essence South Durango and Essence South Rainbow, bringing total open stores in Nevada to seven. Subsequent to the quarter end, in August the Company announced a partnership with Cookies to rebrand its Essence store on the Las Vegas Strip to the first Cookies store in Nevada.</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Ohio: Opened Rise</w:t>
      </w:r>
      <w:r>
        <w:rPr>
          <w:rFonts w:ascii="Arial" w:cs="Arial" w:eastAsia="Arial" w:hAnsi="Arial"/>
          <w:sz w:val="15"/>
          <w:szCs w:val="15"/>
          <w:color w:val="auto"/>
        </w:rPr>
        <w:t>™</w:t>
      </w:r>
      <w:r>
        <w:rPr>
          <w:rFonts w:ascii="Arial" w:cs="Arial" w:eastAsia="Arial" w:hAnsi="Arial"/>
          <w:sz w:val="18"/>
          <w:szCs w:val="18"/>
          <w:color w:val="auto"/>
        </w:rPr>
        <w:t xml:space="preserve"> Lakewood Detroit, bringing total open stores in the state to five, our current maximum allowed.</w:t>
      </w:r>
    </w:p>
    <w:p>
      <w:pPr>
        <w:spacing w:after="0" w:line="130"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Green Thumb continued the buildout of its omnichannel retail infrastructure to better serve patients and customers now and post COVID-19. This included improving its digital retail experience, developing online payment systems in certain states, establishing a customer support center and developing its delivery and curb-side pickup capabilities.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Overview</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Total revenue for the second quarter 2020 was $119.6 million, up 167.5% from $44.7 million for the second quarter 2019, driven by growth from both the Consumer Packaged Goods and Retail businesses, particularly in Illinois and Pennsylvania. Key performance drivers are the expanded distribution of Green Thumb’s branded products, 19 new store openings, strategic acquisitions and increased traffic to the Company’s 48 open and operating retail stores.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second quarter 2020, Green Thumb generated revenue from all 12 of its markets: California, Colorado, Connecticut, Florida, Illinois, Maryland, Massachusetts, Nevada, New Jersey, New York, Ohio and Pennsylvania. The Company continued to invest in the buildout of its cultivation and manufacturing capabilities in Illinois, New Jersey and Pennsylvania.</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for the second quarter 2020 was $63.7 million or 53.2% of revenue as compared to $21.5 million or 48.1% of revenue for the second quarter 2019.</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Total selling, general and administrative expenses for the second quarter were $49.6 million or 41.5% of revenue, an improvement from $30.8 million or 68.9% of revenue for the second quarter 2019. Improved operating costs as a percentage of revenue was driven primarily by increased operating leverage in the Company’s Consumer Packaged Goods and Retail businesses.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other expense was $10.4 million for the second quarter 2020 and primarily included interest expense and warrant expense associated with the Company’s senior secured notes.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EBITDA for the second quarter 2020 was $28.3 million or 23.6% of revenue as compared to a loss of $3.1 million or negative 6.9% of revenue for the second quarter 2019. Adjusted Operating EBITDA for the second quarter 2020 was $35.4 million or 29.6% of revenue as compared to $2.3 million or 5.1% of revenue for the second quarter 2019. The significant improvement in EBITDA and Adjusted Operating EBITDA was driven primarily by revenue growth from both the Consumer Packaged Goods and Retail businesses.</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loss attributable to Green Thumb for the second quarter 2020 was $12.9 million or ($0.06) per basic and diluted share as compared to a net loss of $20.9 million or ($0.11) per basic and diluted share for the second quarter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current assets were $152.6 million, including cash and cash equivalents of $82.9 million. The Company had $95.2 million of total debt.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21, 2020, the Company exercised its option to extend the maturity date of the $105 million senior secured notes due May 22, 2022 for an additional year to May 22,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basic and diluted weighted average shares outstanding for the three months ended June 30, 2020 were 209,902,732.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press release includes certain non-GAAP financial measures as defined by the SEC.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Earnings before interest, taxes, other income or expense and depreciation and amortization.</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Earnings before interest, taxes, depreciation, and amortization, adjusted for other income, non-cash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one-time transaction related expenses, or other non-operating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Green Thumb will host a conference call on Wednesday, August 12, 2020 at 5:00 pm ET to discuss its financial results for the second quarter ended June 30, 2020. The conference call may be accessed by dialing 833-502-0470 (Toll-Free) or 236-714-2182 (International) with</w:t>
      </w:r>
    </w:p>
    <w:p>
      <w:pPr>
        <w:sectPr>
          <w:pgSz w:w="11900" w:h="16838" w:orient="portrait"/>
          <w:cols w:equalWidth="0" w:num="1">
            <w:col w:w="10880"/>
          </w:cols>
          <w:pgMar w:left="440" w:top="274"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conference ID: 3898143. A live audio webcast of the call will also be available on the Investor Relations section of Green Thumb’s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and will be archived for replay.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Beboe, Dogwalkers, Dr. Solomon’s, incredibles, Rythm and The Feel Collection. The company also owns and operates rapidly growing national retail cannabis stores called Rise</w:t>
      </w:r>
      <w:r>
        <w:rPr>
          <w:rFonts w:ascii="Arial" w:cs="Arial" w:eastAsia="Arial" w:hAnsi="Arial"/>
          <w:sz w:val="14"/>
          <w:szCs w:val="14"/>
          <w:color w:val="auto"/>
        </w:rPr>
        <w:t>™</w:t>
      </w:r>
      <w:r>
        <w:rPr>
          <w:rFonts w:ascii="Arial" w:cs="Arial" w:eastAsia="Arial" w:hAnsi="Arial"/>
          <w:sz w:val="17"/>
          <w:szCs w:val="17"/>
          <w:color w:val="auto"/>
        </w:rPr>
        <w:t xml:space="preserve"> and Essence. Headquartered in Chicago, Illinois, Green Thumb has 13 manufacturing facilities, licenses for 96 retail locations and operations across 12 U.S. markets. Established in 2014, Green Thumb employs over 1,800 people and serves thousands of patients and customers each year. The company was named a Best Workplace 2018 by Crain’s Chicago Business and MG Retailer magazine in 2018 and 2019. More information is available at GTIgrows.com.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marijuana remains illegal under federal law, and enforcement of cannabis laws could change; the Company may face limitations on ownership of cannabis licenses; the Company may become subject to U.S. Food and Drug Administration or the U.S. Bureau of Alcohol, Tobacco and Firearms; the Company may face difficulties acquiring additional financing; the Company operates in a highly regulated sector and may not always succeed in complying fully with applicable regulatory requirements in all jurisdictions where we carry on business; the Company is subject to general economic risks; the Company may be negatively impacted by challenging global economic condition; the Company is subject to risks arising from epidemic diseases, such as the recent</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outbreak of the COVID-19 illness;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Company’s voting control is concentrated; the Company’s capital structure and voting control may cause unpredictability; and additional issuances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2019,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 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our lease and non-lease contract expenses; and measurement of compensation cost for bonus and other compensation plans. While the Company’s revenue, gross profit and operating income were not impacted during the first six months of 2020, the uncertain nature of the spread of COVID-19 may impact the Company’s business operations for reasons including the potential quarantine of the Company’s employees or those of the Company’s supply chain partners. The estimates and assumptions used in the unaudited interim condensed consolidated financial statements, which include but are not limited to certain judgmental reserves requiring management to makes estimates based on current information, the carrying value of the Company’s goodwill and other long-lived assets, for the three and six months ended June 30, 2020 may change in future periods as the expected impacts from COVID-19 are revised, resulting in further potential impacts to the Company’s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Canadian Securities Exchange does not accept responsibility for the adequacy or accuracy of this release.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940" w:type="dxa"/>
            <w:vAlign w:val="bottom"/>
            <w:gridSpan w:val="3"/>
          </w:tcPr>
          <w:p>
            <w:pPr>
              <w:ind w:left="1660"/>
              <w:spacing w:after="0"/>
              <w:rPr>
                <w:sz w:val="20"/>
                <w:szCs w:val="20"/>
                <w:color w:val="auto"/>
              </w:rPr>
            </w:pPr>
            <w:r>
              <w:rPr>
                <w:rFonts w:ascii="Arial" w:cs="Arial" w:eastAsia="Arial" w:hAnsi="Arial"/>
                <w:sz w:val="18"/>
                <w:szCs w:val="18"/>
                <w:b w:val="1"/>
                <w:bCs w:val="1"/>
                <w:color w:val="auto"/>
              </w:rPr>
              <w:t>Media Contact:</w:t>
            </w:r>
          </w:p>
        </w:tc>
      </w:tr>
      <w:tr>
        <w:trPr>
          <w:trHeight w:val="310"/>
        </w:trPr>
        <w:tc>
          <w:tcPr>
            <w:tcW w:w="408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rPr>
              <w:t>Linda Marsicano</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w w:val="89"/>
              </w:rPr>
              <w:t>VP, Corporate Communications</w:t>
            </w:r>
          </w:p>
        </w:tc>
      </w:tr>
      <w:tr>
        <w:trPr>
          <w:trHeight w:val="190"/>
        </w:trPr>
        <w:tc>
          <w:tcPr>
            <w:tcW w:w="2420" w:type="dxa"/>
            <w:vAlign w:val="bottom"/>
          </w:tcPr>
          <w:p>
            <w:pPr>
              <w:spacing w:after="0" w:line="190" w:lineRule="exact"/>
              <w:rPr>
                <w:sz w:val="20"/>
                <w:szCs w:val="20"/>
                <w:color w:val="auto"/>
              </w:rPr>
            </w:pPr>
            <w:r>
              <w:rPr>
                <w:rFonts w:ascii="Arial" w:cs="Arial" w:eastAsia="Arial" w:hAnsi="Arial"/>
                <w:sz w:val="18"/>
                <w:szCs w:val="18"/>
                <w:color w:val="auto"/>
                <w:w w:val="91"/>
              </w:rPr>
              <w:t>InvestorRelations@gtigrows.com</w:t>
            </w:r>
          </w:p>
        </w:tc>
        <w:tc>
          <w:tcPr>
            <w:tcW w:w="1660" w:type="dxa"/>
            <w:vAlign w:val="bottom"/>
          </w:tcPr>
          <w:p>
            <w:pPr>
              <w:spacing w:after="0"/>
              <w:rPr>
                <w:sz w:val="16"/>
                <w:szCs w:val="16"/>
                <w:color w:val="auto"/>
              </w:rPr>
            </w:pPr>
          </w:p>
        </w:tc>
        <w:tc>
          <w:tcPr>
            <w:tcW w:w="3940" w:type="dxa"/>
            <w:vAlign w:val="bottom"/>
            <w:gridSpan w:val="3"/>
          </w:tcPr>
          <w:p>
            <w:pPr>
              <w:ind w:left="1660"/>
              <w:spacing w:after="0" w:line="190" w:lineRule="exact"/>
              <w:rPr>
                <w:sz w:val="20"/>
                <w:szCs w:val="20"/>
                <w:color w:val="auto"/>
              </w:rPr>
            </w:pPr>
            <w:r>
              <w:rPr>
                <w:rFonts w:ascii="Arial" w:cs="Arial" w:eastAsia="Arial" w:hAnsi="Arial"/>
                <w:sz w:val="18"/>
                <w:szCs w:val="18"/>
                <w:color w:val="auto"/>
              </w:rPr>
              <w:t>lmarsicano@gtigrows.com</w:t>
            </w:r>
          </w:p>
        </w:tc>
      </w:tr>
      <w:tr>
        <w:trPr>
          <w:trHeight w:val="20"/>
        </w:trPr>
        <w:tc>
          <w:tcPr>
            <w:tcW w:w="2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310-622-8257</w:t>
            </w:r>
          </w:p>
        </w:tc>
        <w:tc>
          <w:tcPr>
            <w:tcW w:w="1660" w:type="dxa"/>
            <w:vAlign w:val="bottom"/>
          </w:tcPr>
          <w:p>
            <w:pPr>
              <w:spacing w:after="0"/>
              <w:rPr>
                <w:sz w:val="20"/>
                <w:szCs w:val="20"/>
                <w:color w:val="auto"/>
              </w:rPr>
            </w:pPr>
          </w:p>
        </w:tc>
        <w:tc>
          <w:tcPr>
            <w:tcW w:w="3600" w:type="dxa"/>
            <w:vAlign w:val="bottom"/>
            <w:gridSpan w:val="2"/>
          </w:tcPr>
          <w:p>
            <w:pPr>
              <w:ind w:left="1660"/>
              <w:spacing w:after="0"/>
              <w:rPr>
                <w:sz w:val="20"/>
                <w:szCs w:val="20"/>
                <w:color w:val="auto"/>
              </w:rPr>
            </w:pPr>
            <w:r>
              <w:rPr>
                <w:rFonts w:ascii="Arial" w:cs="Arial" w:eastAsia="Arial" w:hAnsi="Arial"/>
                <w:sz w:val="18"/>
                <w:szCs w:val="18"/>
                <w:color w:val="auto"/>
              </w:rPr>
              <w:t>773-354-2004</w:t>
            </w:r>
          </w:p>
        </w:tc>
        <w:tc>
          <w:tcPr>
            <w:tcW w:w="340" w:type="dxa"/>
            <w:vAlign w:val="bottom"/>
          </w:tcPr>
          <w:p>
            <w:pPr>
              <w:spacing w:after="0"/>
              <w:rPr>
                <w:sz w:val="20"/>
                <w:szCs w:val="20"/>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Source: Green Thumb Industries</w:t>
            </w: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March 31, 2020 and June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06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June 30, 2020</w:t>
            </w:r>
          </w:p>
        </w:tc>
        <w:tc>
          <w:tcPr>
            <w:tcW w:w="140" w:type="dxa"/>
            <w:vAlign w:val="bottom"/>
          </w:tcPr>
          <w:p>
            <w:pPr>
              <w:spacing w:after="0"/>
              <w:rPr>
                <w:sz w:val="12"/>
                <w:szCs w:val="12"/>
                <w:color w:val="auto"/>
              </w:rPr>
            </w:pPr>
          </w:p>
        </w:tc>
        <w:tc>
          <w:tcPr>
            <w:tcW w:w="12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March 31, 2020</w:t>
            </w: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i w:val="1"/>
                <w:iCs w:val="1"/>
                <w:color w:val="auto"/>
              </w:rPr>
              <w:t>(Unaudited)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119,639,924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102,602,602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44,726,777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(55,946,010)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(49,615,188)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(23,223,025)</w:t>
            </w:r>
          </w:p>
        </w:tc>
        <w:tc>
          <w:tcPr>
            <w:tcW w:w="0" w:type="dxa"/>
            <w:vAlign w:val="bottom"/>
          </w:tcPr>
          <w:p>
            <w:pPr>
              <w:spacing w:after="0"/>
              <w:rPr>
                <w:sz w:val="1"/>
                <w:szCs w:val="1"/>
                <w:color w:val="auto"/>
              </w:rPr>
            </w:pPr>
          </w:p>
        </w:tc>
      </w:tr>
      <w:tr>
        <w:trPr>
          <w:trHeight w:val="115"/>
        </w:trPr>
        <w:tc>
          <w:tcPr>
            <w:tcW w:w="7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63,693,914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52,987,414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21,503,752</w:t>
            </w:r>
          </w:p>
        </w:tc>
        <w:tc>
          <w:tcPr>
            <w:tcW w:w="0" w:type="dxa"/>
            <w:vAlign w:val="bottom"/>
          </w:tcPr>
          <w:p>
            <w:pPr>
              <w:spacing w:after="0"/>
              <w:rPr>
                <w:sz w:val="1"/>
                <w:szCs w:val="1"/>
                <w:color w:val="auto"/>
              </w:rPr>
            </w:pPr>
          </w:p>
        </w:tc>
      </w:tr>
      <w:tr>
        <w:trPr>
          <w:trHeight w:val="331"/>
        </w:trPr>
        <w:tc>
          <w:tcPr>
            <w:tcW w:w="7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49,643,211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45,434,757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30,830,482</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49,643,211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45,434,757</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30,830,482</w:t>
            </w:r>
          </w:p>
        </w:tc>
        <w:tc>
          <w:tcPr>
            <w:tcW w:w="0" w:type="dxa"/>
            <w:vAlign w:val="bottom"/>
          </w:tcPr>
          <w:p>
            <w:pPr>
              <w:spacing w:after="0"/>
              <w:rPr>
                <w:sz w:val="1"/>
                <w:szCs w:val="1"/>
                <w:color w:val="auto"/>
              </w:rPr>
            </w:pPr>
          </w:p>
        </w:tc>
      </w:tr>
      <w:tr>
        <w:trPr>
          <w:trHeight w:val="115"/>
        </w:trPr>
        <w:tc>
          <w:tcPr>
            <w:tcW w:w="7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14,050,703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7,552,657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(9,326,730)</w:t>
            </w:r>
          </w:p>
        </w:tc>
        <w:tc>
          <w:tcPr>
            <w:tcW w:w="0" w:type="dxa"/>
            <w:vAlign w:val="bottom"/>
          </w:tcPr>
          <w:p>
            <w:pPr>
              <w:spacing w:after="0"/>
              <w:rPr>
                <w:sz w:val="1"/>
                <w:szCs w:val="1"/>
                <w:color w:val="auto"/>
              </w:rPr>
            </w:pPr>
          </w:p>
        </w:tc>
      </w:tr>
      <w:tr>
        <w:trPr>
          <w:trHeight w:val="331"/>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(5,717,427)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6,786,110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(6,640,546)</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88,115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535,894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(4,734,908)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(5,041,442)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(5,398,054)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(10,435,925)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1,832,783</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(11,502,706)</w:t>
            </w:r>
          </w:p>
        </w:tc>
        <w:tc>
          <w:tcPr>
            <w:tcW w:w="0" w:type="dxa"/>
            <w:vAlign w:val="bottom"/>
          </w:tcPr>
          <w:p>
            <w:pPr>
              <w:spacing w:after="0"/>
              <w:rPr>
                <w:sz w:val="1"/>
                <w:szCs w:val="1"/>
                <w:color w:val="auto"/>
              </w:rPr>
            </w:pPr>
          </w:p>
        </w:tc>
      </w:tr>
      <w:tr>
        <w:trPr>
          <w:trHeight w:val="115"/>
        </w:trPr>
        <w:tc>
          <w:tcPr>
            <w:tcW w:w="7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3,614,778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9,385,440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(20,829,436)</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Income Taxes</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15,378,715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13,149,000</w:t>
            </w: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(154,333)</w:t>
            </w:r>
          </w:p>
        </w:tc>
        <w:tc>
          <w:tcPr>
            <w:tcW w:w="0" w:type="dxa"/>
            <w:vAlign w:val="bottom"/>
          </w:tcPr>
          <w:p>
            <w:pPr>
              <w:spacing w:after="0"/>
              <w:rPr>
                <w:sz w:val="1"/>
                <w:szCs w:val="1"/>
                <w:color w:val="auto"/>
              </w:rPr>
            </w:pPr>
          </w:p>
        </w:tc>
      </w:tr>
      <w:tr>
        <w:trPr>
          <w:trHeight w:val="115"/>
        </w:trPr>
        <w:tc>
          <w:tcPr>
            <w:tcW w:w="7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(11,763,937)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(3,763,560)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(20,675,103)</w:t>
            </w:r>
          </w:p>
        </w:tc>
        <w:tc>
          <w:tcPr>
            <w:tcW w:w="0" w:type="dxa"/>
            <w:vAlign w:val="bottom"/>
          </w:tcPr>
          <w:p>
            <w:pPr>
              <w:spacing w:after="0"/>
              <w:rPr>
                <w:sz w:val="1"/>
                <w:szCs w:val="1"/>
                <w:color w:val="auto"/>
              </w:rPr>
            </w:pPr>
          </w:p>
        </w:tc>
      </w:tr>
      <w:tr>
        <w:trPr>
          <w:trHeight w:val="324"/>
        </w:trPr>
        <w:tc>
          <w:tcPr>
            <w:tcW w:w="74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1,145,568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442,704</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216,946</w:t>
            </w:r>
          </w:p>
        </w:tc>
        <w:tc>
          <w:tcPr>
            <w:tcW w:w="0" w:type="dxa"/>
            <w:vAlign w:val="bottom"/>
          </w:tcPr>
          <w:p>
            <w:pPr>
              <w:spacing w:after="0"/>
              <w:rPr>
                <w:sz w:val="1"/>
                <w:szCs w:val="1"/>
                <w:color w:val="auto"/>
              </w:rPr>
            </w:pPr>
          </w:p>
        </w:tc>
      </w:tr>
      <w:tr>
        <w:trPr>
          <w:trHeight w:val="115"/>
        </w:trPr>
        <w:tc>
          <w:tcPr>
            <w:tcW w:w="7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(12,909,505)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(4,206,264)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(20,892,049)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209,902,732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208,468,356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182,261,947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right="5180"/>
        <w:spacing w:after="0" w:line="260" w:lineRule="auto"/>
        <w:rPr>
          <w:sz w:val="20"/>
          <w:szCs w:val="20"/>
          <w:color w:val="auto"/>
        </w:rPr>
      </w:pPr>
      <w:r>
        <w:rPr>
          <w:rFonts w:ascii="Arial" w:cs="Arial" w:eastAsia="Arial" w:hAnsi="Arial"/>
          <w:sz w:val="18"/>
          <w:szCs w:val="18"/>
          <w:b w:val="1"/>
          <w:bCs w:val="1"/>
          <w:color w:val="auto"/>
        </w:rPr>
        <w:t xml:space="preserve">Highlights from Unaudited Interim Condensed Consolidated Balance Sheets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76"/>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Arial" w:cs="Arial" w:eastAsia="Arial" w:hAnsi="Arial"/>
                <w:sz w:val="14"/>
                <w:szCs w:val="14"/>
                <w:i w:val="1"/>
                <w:iCs w:val="1"/>
                <w:color w:val="auto"/>
                <w:w w:val="95"/>
              </w:rPr>
              <w:t>(Unaudited)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Arial" w:cs="Arial" w:eastAsia="Arial" w:hAnsi="Arial"/>
                <w:sz w:val="14"/>
                <w:szCs w:val="14"/>
                <w:i w:val="1"/>
                <w:iCs w:val="1"/>
                <w:color w:val="auto"/>
                <w:w w:val="95"/>
              </w:rPr>
              <w:t>(Unaudited)</w:t>
            </w:r>
          </w:p>
        </w:tc>
        <w:tc>
          <w:tcPr>
            <w:tcW w:w="80" w:type="dxa"/>
            <w:vAlign w:val="bottom"/>
          </w:tcPr>
          <w:p>
            <w:pPr>
              <w:spacing w:after="0"/>
              <w:rPr>
                <w:sz w:val="15"/>
                <w:szCs w:val="15"/>
                <w:color w:val="auto"/>
              </w:rPr>
            </w:pPr>
          </w:p>
        </w:tc>
      </w:tr>
      <w:tr>
        <w:trPr>
          <w:trHeight w:val="74"/>
        </w:trPr>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82,942,672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46,667,334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69,703,908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62,395,277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166,967,394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155,596,675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101,612,443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63,647,812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419,186,807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435,246,898</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373,081,716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375,084,991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27,226,189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28,897,637</w:t>
            </w:r>
          </w:p>
        </w:tc>
      </w:tr>
      <w:tr>
        <w:trPr>
          <w:trHeight w:val="20"/>
        </w:trPr>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8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1,240,721,129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1,167,536,624</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8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133,444,994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111,367,255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Notes Payable, Net of Current Portion and Debt Discount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94,938,332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91,140,194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Net of Current Portion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103,427,201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61,115,737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57,512,283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60,704,762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851,398,319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843,208,676</w:t>
            </w:r>
          </w:p>
        </w:tc>
      </w:tr>
      <w:tr>
        <w:trPr>
          <w:trHeight w:val="20"/>
        </w:trPr>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84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1,240,721,129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1,167,536,624</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 Thumb Industries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Supplemental Information (Unaudited) Regarding Non-GAAP Financial Measures</w:t>
      </w:r>
    </w:p>
    <w:p>
      <w:pPr>
        <w:spacing w:after="0" w:line="12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EBITDA, and Adjusted Operating EBITDA are non-GAAP measures and do not have standardized definitions under GAAP. We define each term as follows:</w:t>
      </w:r>
    </w:p>
    <w:p>
      <w:pPr>
        <w:spacing w:after="0" w:line="170" w:lineRule="exact"/>
        <w:rPr>
          <w:sz w:val="20"/>
          <w:szCs w:val="20"/>
          <w:color w:val="auto"/>
        </w:rPr>
      </w:pPr>
    </w:p>
    <w:p>
      <w:pPr>
        <w:ind w:left="264" w:hanging="264"/>
        <w:spacing w:after="0"/>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other income or expense and depreciation and amortization.</w:t>
      </w:r>
    </w:p>
    <w:p>
      <w:pPr>
        <w:spacing w:after="0" w:line="225" w:lineRule="exact"/>
        <w:rPr>
          <w:rFonts w:ascii="Arial" w:cs="Arial" w:eastAsia="Arial" w:hAnsi="Arial"/>
          <w:sz w:val="18"/>
          <w:szCs w:val="18"/>
          <w:color w:val="auto"/>
        </w:rPr>
      </w:pPr>
    </w:p>
    <w:p>
      <w:pPr>
        <w:ind w:left="4" w:right="60" w:hanging="4"/>
        <w:spacing w:after="0" w:line="277"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EBITDA is defined as earnings before interest, taxes, depreciation, and amortization, adjusted for other income, non-cash share-based compensation, one-time transaction related expenses, or other non-operating costs.</w:t>
      </w:r>
    </w:p>
    <w:p>
      <w:pPr>
        <w:spacing w:after="0" w:line="170"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Operating EBITDA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29"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June 30, 2020</w:t>
            </w:r>
          </w:p>
        </w:tc>
        <w:tc>
          <w:tcPr>
            <w:tcW w:w="148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i w:val="1"/>
                <w:iCs w:val="1"/>
                <w:color w:val="auto"/>
                <w:w w:val="95"/>
              </w:rPr>
              <w:t>(Unaudited)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i w:val="1"/>
                <w:iCs w:val="1"/>
                <w:color w:val="auto"/>
                <w:w w:val="98"/>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$(11,763,937)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(3,763,560)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(20,675,103)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5,041,442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Taxes</w:t>
            </w:r>
          </w:p>
        </w:tc>
        <w:tc>
          <w:tcPr>
            <w:tcW w:w="960" w:type="dxa"/>
            <w:vAlign w:val="bottom"/>
          </w:tcPr>
          <w:p>
            <w:pPr>
              <w:jc w:val="right"/>
              <w:spacing w:after="0"/>
              <w:rPr>
                <w:sz w:val="20"/>
                <w:szCs w:val="20"/>
                <w:color w:val="auto"/>
              </w:rPr>
            </w:pPr>
            <w:r>
              <w:rPr>
                <w:rFonts w:ascii="Arial" w:cs="Arial" w:eastAsia="Arial" w:hAnsi="Arial"/>
                <w:sz w:val="18"/>
                <w:szCs w:val="18"/>
                <w:color w:val="auto"/>
              </w:rPr>
              <w:t>15,378,715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13,149,000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5,717,427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(6,786,110)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14,239,915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12,705,172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 (non-GAAP measure)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$ 28,290,618</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20,257,829</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(3,074,760)</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00" w:type="dxa"/>
            <w:vAlign w:val="bottom"/>
            <w:gridSpan w:val="2"/>
          </w:tcPr>
          <w:p>
            <w:pPr>
              <w:spacing w:after="0"/>
              <w:rPr>
                <w:sz w:val="20"/>
                <w:szCs w:val="20"/>
                <w:color w:val="auto"/>
              </w:rPr>
            </w:pPr>
            <w:r>
              <w:rPr>
                <w:rFonts w:ascii="Arial" w:cs="Arial" w:eastAsia="Arial" w:hAnsi="Arial"/>
                <w:sz w:val="18"/>
                <w:szCs w:val="18"/>
                <w:color w:val="auto"/>
              </w:rPr>
              <w:t>Share-based Compensation, Non-Cash</w:t>
            </w:r>
          </w:p>
        </w:tc>
        <w:tc>
          <w:tcPr>
            <w:tcW w:w="960" w:type="dxa"/>
            <w:vAlign w:val="bottom"/>
          </w:tcPr>
          <w:p>
            <w:pPr>
              <w:jc w:val="right"/>
              <w:spacing w:after="0"/>
              <w:rPr>
                <w:sz w:val="20"/>
                <w:szCs w:val="20"/>
                <w:color w:val="auto"/>
              </w:rPr>
            </w:pPr>
            <w:r>
              <w:rPr>
                <w:rFonts w:ascii="Arial" w:cs="Arial" w:eastAsia="Arial" w:hAnsi="Arial"/>
                <w:sz w:val="18"/>
                <w:szCs w:val="18"/>
                <w:color w:val="auto"/>
              </w:rPr>
              <w:t>5,700,144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5,073,742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3,915,188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1,421,949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9"/>
              </w:rPr>
              <w:t>$ 35,412,711</w:t>
            </w:r>
          </w:p>
        </w:tc>
        <w:tc>
          <w:tcPr>
            <w:tcW w:w="12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0"/>
              </w:rPr>
              <w:t>25,544,924</w:t>
            </w:r>
          </w:p>
        </w:tc>
        <w:tc>
          <w:tcPr>
            <w:tcW w:w="2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2,284,983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2020-08-12T15:07:30Z</dcterms:created>
  <dcterms:modified xsi:type="dcterms:W3CDTF">2020-08-12T15:07:30Z</dcterms:modified>
</cp:coreProperties>
</file>