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520" w:right="140" w:hanging="512"/>
        <w:spacing w:after="0" w:line="286"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1513840</wp:posOffset>
            </wp:positionH>
            <wp:positionV relativeFrom="paragraph">
              <wp:posOffset>35560</wp:posOffset>
            </wp:positionV>
            <wp:extent cx="408876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9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gridSpan w:val="2"/>
          </w:tcPr>
          <w:p>
            <w:pPr>
              <w:jc w:val="center"/>
              <w:ind w:right="2066"/>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r>
      <w:tr>
        <w:trPr>
          <w:trHeight w:val="186"/>
        </w:trPr>
        <w:tc>
          <w:tcPr>
            <w:tcW w:w="2580" w:type="dxa"/>
            <w:vAlign w:val="bottom"/>
            <w:gridSpan w:val="2"/>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495"/>
        </w:trPr>
        <w:tc>
          <w:tcPr>
            <w:tcW w:w="6920" w:type="dxa"/>
            <w:vAlign w:val="bottom"/>
            <w:gridSpan w:val="4"/>
          </w:tcPr>
          <w:p>
            <w:pPr>
              <w:ind w:left="440"/>
              <w:spacing w:after="0"/>
              <w:rPr>
                <w:sz w:val="20"/>
                <w:szCs w:val="20"/>
                <w:color w:val="auto"/>
              </w:rPr>
            </w:pPr>
            <w:r>
              <w:rPr>
                <w:rFonts w:ascii="Times New Roman" w:cs="Times New Roman" w:eastAsia="Times New Roman" w:hAnsi="Times New Roman"/>
                <w:sz w:val="40"/>
                <w:szCs w:val="40"/>
                <w:b w:val="1"/>
                <w:bCs w:val="1"/>
                <w:color w:val="auto"/>
                <w:w w:val="99"/>
              </w:rPr>
              <w:t>GREEN THUMB INDUSTRIES INC.</w:t>
            </w:r>
          </w:p>
        </w:tc>
      </w:tr>
      <w:tr>
        <w:trPr>
          <w:trHeight w:val="190"/>
        </w:trPr>
        <w:tc>
          <w:tcPr>
            <w:tcW w:w="1940" w:type="dxa"/>
            <w:vAlign w:val="bottom"/>
          </w:tcPr>
          <w:p>
            <w:pPr>
              <w:spacing w:after="0"/>
              <w:rPr>
                <w:sz w:val="16"/>
                <w:szCs w:val="16"/>
                <w:color w:val="auto"/>
              </w:rPr>
            </w:pPr>
          </w:p>
        </w:tc>
        <w:tc>
          <w:tcPr>
            <w:tcW w:w="4980" w:type="dxa"/>
            <w:vAlign w:val="bottom"/>
            <w:gridSpan w:val="3"/>
          </w:tcPr>
          <w:p>
            <w:pPr>
              <w:jc w:val="center"/>
              <w:ind w:right="142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86"/>
        </w:trPr>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261"/>
        </w:trPr>
        <w:tc>
          <w:tcPr>
            <w:tcW w:w="1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498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1940" w:type="dxa"/>
            <w:vAlign w:val="bottom"/>
          </w:tcPr>
          <w:p>
            <w:pPr>
              <w:jc w:val="center"/>
              <w:ind w:right="58"/>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00" w:type="dxa"/>
            <w:vAlign w:val="bottom"/>
          </w:tcPr>
          <w:p>
            <w:pPr>
              <w:jc w:val="center"/>
              <w:ind w:left="1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94"/>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98"/>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4980" w:type="dxa"/>
            <w:vAlign w:val="bottom"/>
            <w:gridSpan w:val="3"/>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194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Subordinate Voting Shares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Multiple Voting Shares</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Super Voting Shares</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69"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60"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7"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As of May 1, 2024 there were 212,596,691 shares of the registrant’s Subordinate Voting Shares, 37,683 shares of the registrant’s Multiple Voting Shares and 206,690 shares of the registrant’s Super Voting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2"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3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18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25"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6"/>
        </w:trPr>
        <w:tc>
          <w:tcPr>
            <w:tcW w:w="88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Balance Sheets as of March 31, 2024 and December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Statements of Operations for the three months ended March 31, 2024 and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Statements of Changes in Shareholders’ Equity for the three months ended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 and 2023</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Statements of Cash Flows for the three months ended March 31, 2024 and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Interim Condensed Consolidated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97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758825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500"/>
            <w:col w:w="9380"/>
          </w:cols>
          <w:pgMar w:left="34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application regulatory requirements in all jurisdictions where the Company carries business; the Company faces intense competition; the Company faces competition from the illicit market as well as actual or purported Farm Bill compliant hemp products; ; the Company is dependent upon the popularity and consumer acceptance of its brand portfolio; the Company has limited trademark protection; cannabis businesses are subject to unfavorable tax treatment and may incur significant tax liability;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relies on the expertise of the Company management team and other employees experienced in the cannabis industry, and the loss of key personnel could negatively affect the Company’s business, financial condition and results of operations;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sales of substantial amounts of Subordinate Voting Shares by our shareholders in the public market may have an adverse effect on the market price of our Subordinate Voting Shares and could affect the Company’s business and financial condition and the results of operations are included in the “Risk Factors” section of the Company’s Annual Report on Form 10-K for the year ended December 31, 2023, and elsewhere in the Company’s filings with the SEC, which are available on the SEC’s website or at </w:t>
      </w:r>
      <w:r>
        <w:rPr>
          <w:rFonts w:ascii="Times New Roman" w:cs="Times New Roman" w:eastAsia="Times New Roman" w:hAnsi="Times New Roman"/>
          <w:sz w:val="17"/>
          <w:szCs w:val="17"/>
          <w:i w:val="1"/>
          <w:iCs w:val="1"/>
          <w:u w:val="single" w:color="auto"/>
          <w:color w:val="auto"/>
        </w:rPr>
        <w:t>https://investors.gtigrows.com</w:t>
      </w:r>
      <w:r>
        <w:rPr>
          <w:rFonts w:ascii="Times New Roman" w:cs="Times New Roman" w:eastAsia="Times New Roman" w:hAnsi="Times New Roman"/>
          <w:sz w:val="17"/>
          <w:szCs w:val="17"/>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2024 and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58"/>
        </w:trPr>
        <w:tc>
          <w:tcPr>
            <w:tcW w:w="8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4"/>
              <w:spacing w:after="0" w:line="158" w:lineRule="exact"/>
              <w:rPr>
                <w:sz w:val="20"/>
                <w:szCs w:val="20"/>
                <w:color w:val="auto"/>
              </w:rPr>
            </w:pPr>
            <w:r>
              <w:rPr>
                <w:rFonts w:ascii="Times New Roman" w:cs="Times New Roman" w:eastAsia="Times New Roman" w:hAnsi="Times New Roman"/>
                <w:sz w:val="14"/>
                <w:szCs w:val="14"/>
                <w:i w:val="1"/>
                <w:iCs w:val="1"/>
                <w:color w:val="auto"/>
              </w:rPr>
              <w:t>(Audited)</w:t>
            </w:r>
          </w:p>
        </w:tc>
        <w:tc>
          <w:tcPr>
            <w:tcW w:w="100" w:type="dxa"/>
            <w:vAlign w:val="bottom"/>
          </w:tcPr>
          <w:p>
            <w:pPr>
              <w:spacing w:after="0"/>
              <w:rPr>
                <w:sz w:val="13"/>
                <w:szCs w:val="13"/>
                <w:color w:val="auto"/>
              </w:rPr>
            </w:pPr>
          </w:p>
        </w:tc>
      </w:tr>
      <w:tr>
        <w:trPr>
          <w:trHeight w:val="187"/>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8200" w:type="dxa"/>
            <w:vAlign w:val="bottom"/>
            <w:shd w:val="clear" w:color="auto" w:fill="CFF0FC"/>
          </w:tcPr>
          <w:p>
            <w:pPr>
              <w:ind w:left="37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223,937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161,634</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52,182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Inventories, Net</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119,289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112,970</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19,740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19,801</w:t>
            </w:r>
          </w:p>
        </w:tc>
        <w:tc>
          <w:tcPr>
            <w:tcW w:w="10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4,546</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419,694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342,762</w:t>
            </w:r>
          </w:p>
        </w:tc>
        <w:tc>
          <w:tcPr>
            <w:tcW w:w="100" w:type="dxa"/>
            <w:vAlign w:val="bottom"/>
          </w:tcPr>
          <w:p>
            <w:pPr>
              <w:spacing w:after="0"/>
              <w:rPr>
                <w:sz w:val="15"/>
                <w:szCs w:val="15"/>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689,006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687,106</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241,006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238,369</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60,847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64,361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24,942</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Note Receivable</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526,007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538,678</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2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2,571</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2,554,819</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2,490,057</w:t>
            </w:r>
          </w:p>
        </w:tc>
        <w:tc>
          <w:tcPr>
            <w:tcW w:w="100" w:type="dxa"/>
            <w:vAlign w:val="bottom"/>
          </w:tcPr>
          <w:p>
            <w:pPr>
              <w:spacing w:after="0"/>
              <w:rPr>
                <w:sz w:val="15"/>
                <w:szCs w:val="15"/>
                <w:color w:val="auto"/>
              </w:rPr>
            </w:pP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200" w:type="dxa"/>
            <w:vAlign w:val="bottom"/>
            <w:shd w:val="clear" w:color="auto" w:fill="CFF0FC"/>
          </w:tcPr>
          <w:p>
            <w:pPr>
              <w:ind w:left="236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27,842</w:t>
            </w:r>
          </w:p>
        </w:tc>
        <w:tc>
          <w:tcPr>
            <w:tcW w:w="24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24,495</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68,235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59,552</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16,005</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2,996</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12,297</w:t>
            </w:r>
          </w:p>
        </w:tc>
        <w:tc>
          <w:tcPr>
            <w:tcW w:w="10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2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42,779</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10,705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175,054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126,050</w:t>
            </w:r>
          </w:p>
        </w:tc>
        <w:tc>
          <w:tcPr>
            <w:tcW w:w="100" w:type="dxa"/>
            <w:vAlign w:val="bottom"/>
          </w:tcPr>
          <w:p>
            <w:pPr>
              <w:spacing w:after="0"/>
              <w:rPr>
                <w:sz w:val="15"/>
                <w:szCs w:val="15"/>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253,224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249,464</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306,901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305,527</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22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33,250</w:t>
            </w:r>
          </w:p>
        </w:tc>
        <w:tc>
          <w:tcPr>
            <w:tcW w:w="10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72,510</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72,510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807,689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786,801</w:t>
            </w:r>
          </w:p>
        </w:tc>
        <w:tc>
          <w:tcPr>
            <w:tcW w:w="100" w:type="dxa"/>
            <w:vAlign w:val="bottom"/>
          </w:tcPr>
          <w:p>
            <w:pPr>
              <w:spacing w:after="0"/>
              <w:rPr>
                <w:sz w:val="15"/>
                <w:szCs w:val="15"/>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82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March 31, 2024:</w:t>
            </w: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211,671,221, and 211,671,221, respectively, at December 31, 2023:</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209,871,792, and 209,871,792, respectively)</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March 31, 2024:</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37,683 and 37,683, respectively, at December 31, 2023:</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22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2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March 31, 2024:</w:t>
            </w: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206,690 and 206,690, respectively, at December 31, 2023:</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216,690 and 216,690, respectively)</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1,727,584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1,703,852</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Contributed (Deficit) Surplus</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(2,816 )</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7,871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12,973</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Earnings (Deficit)</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9,258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(21,818 )</w:t>
            </w:r>
          </w:p>
        </w:tc>
      </w:tr>
      <w:tr>
        <w:trPr>
          <w:trHeight w:val="183"/>
        </w:trPr>
        <w:tc>
          <w:tcPr>
            <w:tcW w:w="82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1,746,999</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1,702,878</w:t>
            </w:r>
          </w:p>
        </w:tc>
        <w:tc>
          <w:tcPr>
            <w:tcW w:w="100" w:type="dxa"/>
            <w:vAlign w:val="bottom"/>
            <w:tcBorders>
              <w:top w:val="single" w:sz="8" w:color="CFF0FC"/>
            </w:tcBorders>
          </w:tcPr>
          <w:p>
            <w:pPr>
              <w:spacing w:after="0"/>
              <w:rPr>
                <w:sz w:val="15"/>
                <w:szCs w:val="15"/>
                <w:color w:val="auto"/>
              </w:rPr>
            </w:pPr>
          </w:p>
        </w:tc>
      </w:tr>
      <w:tr>
        <w:trPr>
          <w:trHeight w:val="189"/>
        </w:trPr>
        <w:tc>
          <w:tcPr>
            <w:tcW w:w="8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1,747,130</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1,703,256</w:t>
            </w:r>
          </w:p>
        </w:tc>
        <w:tc>
          <w:tcPr>
            <w:tcW w:w="100" w:type="dxa"/>
            <w:vAlign w:val="bottom"/>
          </w:tcPr>
          <w:p>
            <w:pPr>
              <w:spacing w:after="0"/>
              <w:rPr>
                <w:sz w:val="15"/>
                <w:szCs w:val="15"/>
                <w:color w:val="auto"/>
              </w:rPr>
            </w:pPr>
          </w:p>
        </w:tc>
      </w:tr>
      <w:tr>
        <w:trPr>
          <w:trHeight w:val="223"/>
        </w:trPr>
        <w:tc>
          <w:tcPr>
            <w:tcW w:w="820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2,554,819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2,490,057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-5528310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-5528310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-4319905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-3085465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-2356485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-530860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-281940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41"/>
        </w:trPr>
        <w:tc>
          <w:tcPr>
            <w:tcW w:w="5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5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5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275,806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248,536</w:t>
            </w:r>
          </w:p>
        </w:tc>
        <w:tc>
          <w:tcPr>
            <w:tcW w:w="320" w:type="dxa"/>
            <w:vAlign w:val="bottom"/>
            <w:shd w:val="clear" w:color="auto" w:fill="CFF0FC"/>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(130,877 )</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(123,815 )</w:t>
            </w:r>
          </w:p>
        </w:tc>
      </w:tr>
      <w:tr>
        <w:trPr>
          <w:trHeight w:val="23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124,721</w:t>
            </w:r>
          </w:p>
        </w:tc>
        <w:tc>
          <w:tcPr>
            <w:tcW w:w="320" w:type="dxa"/>
            <w:vAlign w:val="bottom"/>
            <w:tcBorders>
              <w:bottom w:val="single" w:sz="8" w:color="CFF0FC"/>
            </w:tcBorders>
            <w:shd w:val="clear" w:color="auto" w:fill="CFF0FC"/>
          </w:tcPr>
          <w:p>
            <w:pPr>
              <w:spacing w:after="0"/>
              <w:rPr>
                <w:sz w:val="20"/>
                <w:szCs w:val="20"/>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5"/>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320" w:type="dxa"/>
            <w:vAlign w:val="bottom"/>
            <w:shd w:val="clear" w:color="auto" w:fill="CFF0FC"/>
          </w:tcPr>
          <w:p>
            <w:pPr>
              <w:spacing w:after="0"/>
              <w:rPr>
                <w:sz w:val="21"/>
                <w:szCs w:val="21"/>
                <w:color w:val="auto"/>
              </w:rPr>
            </w:pPr>
          </w:p>
        </w:tc>
      </w:tr>
      <w:tr>
        <w:trPr>
          <w:trHeight w:val="236"/>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320" w:type="dxa"/>
            <w:vAlign w:val="bottom"/>
          </w:tcPr>
          <w:p>
            <w:pPr>
              <w:spacing w:after="0"/>
              <w:rPr>
                <w:sz w:val="20"/>
                <w:szCs w:val="20"/>
                <w:color w:val="auto"/>
              </w:rPr>
            </w:pPr>
          </w:p>
        </w:tc>
      </w:tr>
      <w:tr>
        <w:trPr>
          <w:trHeight w:val="237"/>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44,202</w:t>
            </w:r>
          </w:p>
        </w:tc>
        <w:tc>
          <w:tcPr>
            <w:tcW w:w="320" w:type="dxa"/>
            <w:vAlign w:val="bottom"/>
            <w:tcBorders>
              <w:bottom w:val="single" w:sz="8" w:color="CFF0FC"/>
            </w:tcBorders>
            <w:shd w:val="clear" w:color="auto" w:fill="CFF0FC"/>
          </w:tcPr>
          <w:p>
            <w:pPr>
              <w:spacing w:after="0"/>
              <w:rPr>
                <w:sz w:val="20"/>
                <w:szCs w:val="20"/>
                <w:color w:val="auto"/>
              </w:rPr>
            </w:pPr>
          </w:p>
        </w:tc>
      </w:tr>
      <w:tr>
        <w:trPr>
          <w:trHeight w:val="232"/>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(1,763 )</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shd w:val="clear" w:color="auto" w:fill="CFF0FC"/>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(7,514 )</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(3,816 )</w:t>
            </w:r>
          </w:p>
        </w:tc>
      </w:tr>
      <w:tr>
        <w:trPr>
          <w:trHeight w:val="20"/>
        </w:trPr>
        <w:tc>
          <w:tcPr>
            <w:tcW w:w="58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36"/>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(7,174 )</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(1,161 )</w:t>
            </w:r>
          </w:p>
        </w:tc>
      </w:tr>
      <w:tr>
        <w:trPr>
          <w:trHeight w:val="23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 Interest</w:t>
            </w:r>
          </w:p>
        </w:tc>
        <w:tc>
          <w:tcPr>
            <w:tcW w:w="38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43,041</w:t>
            </w:r>
          </w:p>
        </w:tc>
        <w:tc>
          <w:tcPr>
            <w:tcW w:w="320" w:type="dxa"/>
            <w:vAlign w:val="bottom"/>
            <w:shd w:val="clear" w:color="auto" w:fill="CFF0FC"/>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33,636</w:t>
            </w:r>
          </w:p>
        </w:tc>
        <w:tc>
          <w:tcPr>
            <w:tcW w:w="320" w:type="dxa"/>
            <w:vAlign w:val="bottom"/>
          </w:tcPr>
          <w:p>
            <w:pPr>
              <w:spacing w:after="0"/>
              <w:rPr>
                <w:sz w:val="21"/>
                <w:szCs w:val="2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320" w:type="dxa"/>
            <w:vAlign w:val="bottom"/>
            <w:shd w:val="clear" w:color="auto" w:fill="CFF0FC"/>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3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21"/>
                <w:szCs w:val="21"/>
                <w:color w:val="auto"/>
              </w:rPr>
            </w:pP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31,076</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320" w:type="dxa"/>
            <w:vAlign w:val="bottom"/>
            <w:tcBorders>
              <w:bottom w:val="single" w:sz="8" w:color="CFF0FC"/>
            </w:tcBorders>
            <w:shd w:val="clear" w:color="auto" w:fill="CFF0FC"/>
          </w:tcPr>
          <w:p>
            <w:pPr>
              <w:spacing w:after="0"/>
              <w:rPr>
                <w:sz w:val="24"/>
                <w:szCs w:val="24"/>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Borders>
              <w:bottom w:val="single" w:sz="8" w:color="CFF0FC"/>
            </w:tcBorders>
            <w:shd w:val="clear" w:color="auto" w:fill="CFF0FC"/>
          </w:tcPr>
          <w:p>
            <w:pPr>
              <w:spacing w:after="0"/>
              <w:rPr>
                <w:sz w:val="22"/>
                <w:szCs w:val="22"/>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236,759,731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237,398,253</w:t>
            </w:r>
          </w:p>
        </w:tc>
        <w:tc>
          <w:tcPr>
            <w:tcW w:w="3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3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240,561,864</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237,686,092</w:t>
            </w:r>
          </w:p>
        </w:tc>
        <w:tc>
          <w:tcPr>
            <w:tcW w:w="3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-2974340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-2974340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-2669540</wp:posOffset>
            </wp:positionV>
            <wp:extent cx="10287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6927215</wp:posOffset>
            </wp:positionH>
            <wp:positionV relativeFrom="paragraph">
              <wp:posOffset>-2669540</wp:posOffset>
            </wp:positionV>
            <wp:extent cx="9398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-2331085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-2331085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-1704975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-1704975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-745490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-728345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-745490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-728345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-385445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-368300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-385445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-368300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5580" w:right="2860" w:hanging="5570"/>
        <w:spacing w:after="0" w:line="673"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6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8"/>
                <w:szCs w:val="8"/>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8"/>
                <w:szCs w:val="8"/>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8"/>
                <w:szCs w:val="8"/>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4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(58,085 )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19,106</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(19,106 )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(513 )</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limited liability company unit</w:t>
            </w:r>
          </w:p>
        </w:tc>
        <w:tc>
          <w:tcPr>
            <w:tcW w:w="12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(425 )</w:t>
            </w:r>
          </w:p>
        </w:tc>
        <w:tc>
          <w:tcPr>
            <w:tcW w:w="16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(425 )</w:t>
            </w:r>
          </w:p>
        </w:tc>
        <w:tc>
          <w:tcPr>
            <w:tcW w:w="0" w:type="dxa"/>
            <w:vAlign w:val="bottom"/>
          </w:tcPr>
          <w:p>
            <w:pPr>
              <w:spacing w:after="0"/>
              <w:rPr>
                <w:sz w:val="1"/>
                <w:szCs w:val="1"/>
                <w:color w:val="auto"/>
              </w:rPr>
            </w:pPr>
          </w:p>
        </w:tc>
      </w:tr>
      <w:tr>
        <w:trPr>
          <w:trHeight w:val="102"/>
        </w:trPr>
        <w:tc>
          <w:tcPr>
            <w:tcW w:w="3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4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2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1,683,671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(48,946 )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1,681,146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(21,818 )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(2,324 )</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exercised through net share settlement</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(1,295 )</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(454 )</w:t>
            </w: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limited liability company unit</w:t>
            </w:r>
          </w:p>
        </w:tc>
        <w:tc>
          <w:tcPr>
            <w:tcW w:w="12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(519 )</w:t>
            </w:r>
          </w:p>
        </w:tc>
        <w:tc>
          <w:tcPr>
            <w:tcW w:w="16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(519 )</w:t>
            </w:r>
          </w:p>
        </w:tc>
        <w:tc>
          <w:tcPr>
            <w:tcW w:w="0" w:type="dxa"/>
            <w:vAlign w:val="bottom"/>
          </w:tcPr>
          <w:p>
            <w:pPr>
              <w:spacing w:after="0"/>
              <w:rPr>
                <w:sz w:val="1"/>
                <w:szCs w:val="1"/>
                <w:color w:val="auto"/>
              </w:rPr>
            </w:pPr>
          </w:p>
        </w:tc>
      </w:tr>
      <w:tr>
        <w:trPr>
          <w:trHeight w:val="102"/>
        </w:trPr>
        <w:tc>
          <w:tcPr>
            <w:tcW w:w="3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4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2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(13,558 )</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(13,558 )</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31,076</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1,727,584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(2,816 )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1,747,130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-1499235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-1482090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-1499235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-1482090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-1499235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-1482090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-1499235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-1482090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-1499235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-1482090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-179705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-179705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-179705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-179705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-179705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-8255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42"/>
        </w:trPr>
        <w:tc>
          <w:tcPr>
            <w:tcW w:w="7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r>
      <w:tr>
        <w:trPr>
          <w:trHeight w:val="223"/>
        </w:trPr>
        <w:tc>
          <w:tcPr>
            <w:tcW w:w="7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thousands)</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31,076</w:t>
            </w:r>
          </w:p>
        </w:tc>
        <w:tc>
          <w:tcPr>
            <w:tcW w:w="260" w:type="dxa"/>
            <w:vAlign w:val="bottom"/>
          </w:tcPr>
          <w:p>
            <w:pPr>
              <w:spacing w:after="0"/>
              <w:rPr>
                <w:sz w:val="19"/>
                <w:szCs w:val="19"/>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27,775</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23,501</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equity method investments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fair value of investments</w:t>
            </w:r>
          </w:p>
        </w:tc>
        <w:tc>
          <w:tcPr>
            <w:tcW w:w="260" w:type="dxa"/>
            <w:vAlign w:val="bottom"/>
          </w:tcPr>
          <w:p>
            <w:pPr>
              <w:spacing w:after="0"/>
              <w:rPr>
                <w:sz w:val="19"/>
                <w:szCs w:val="19"/>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(722 )</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settlement of contingent consideration</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(15,991 )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fair value of contingent consideration</w:t>
            </w:r>
          </w:p>
        </w:tc>
        <w:tc>
          <w:tcPr>
            <w:tcW w:w="260" w:type="dxa"/>
            <w:vAlign w:val="bottom"/>
          </w:tcPr>
          <w:p>
            <w:pPr>
              <w:spacing w:after="0"/>
              <w:rPr>
                <w:sz w:val="19"/>
                <w:szCs w:val="19"/>
                <w:color w:val="auto"/>
              </w:rPr>
            </w:pPr>
          </w:p>
        </w:tc>
        <w:tc>
          <w:tcPr>
            <w:tcW w:w="13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Increase (decrease) in fair value of warrants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(1,642 )</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9"/>
                <w:szCs w:val="19"/>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(9,206 )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(6,320 )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(5,394 )</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(592 )</w:t>
            </w: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(1,517 )</w:t>
            </w: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9"/>
                <w:szCs w:val="19"/>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(10,623 )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(10,618 )</w:t>
            </w:r>
          </w:p>
        </w:tc>
      </w:tr>
      <w:tr>
        <w:trPr>
          <w:trHeight w:val="233"/>
        </w:trPr>
        <w:tc>
          <w:tcPr>
            <w:tcW w:w="7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Income tax receivable and payable, net</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32,074</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84,023</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74,711</w:t>
            </w:r>
          </w:p>
        </w:tc>
        <w:tc>
          <w:tcPr>
            <w:tcW w:w="10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9"/>
                <w:szCs w:val="19"/>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(14,711 )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(65,009 )</w:t>
            </w: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securities and associates</w:t>
            </w:r>
          </w:p>
        </w:tc>
        <w:tc>
          <w:tcPr>
            <w:tcW w:w="260" w:type="dxa"/>
            <w:vAlign w:val="bottom"/>
          </w:tcPr>
          <w:p>
            <w:pPr>
              <w:spacing w:after="0"/>
              <w:rPr>
                <w:sz w:val="19"/>
                <w:szCs w:val="19"/>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(293 )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(2,500 )</w:t>
            </w: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equity investments and notes receivable</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26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FF0FC"/>
          </w:tcPr>
          <w:p>
            <w:pPr>
              <w:spacing w:after="0"/>
              <w:rPr>
                <w:sz w:val="20"/>
                <w:szCs w:val="20"/>
                <w:color w:val="auto"/>
              </w:rPr>
            </w:pPr>
          </w:p>
        </w:tc>
      </w:tr>
      <w:tr>
        <w:trPr>
          <w:trHeight w:val="217"/>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(10,268</w:t>
            </w:r>
          </w:p>
        </w:tc>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(66,890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limited liability company unit holders</w:t>
            </w:r>
          </w:p>
        </w:tc>
        <w:tc>
          <w:tcPr>
            <w:tcW w:w="260" w:type="dxa"/>
            <w:vAlign w:val="bottom"/>
          </w:tcPr>
          <w:p>
            <w:pPr>
              <w:spacing w:after="0"/>
              <w:rPr>
                <w:sz w:val="19"/>
                <w:szCs w:val="19"/>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(519 )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(425 )</w:t>
            </w: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(13,558 )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options and warrants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Principal repayment of notes payable</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(683 )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(206 )</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(11,452</w:t>
            </w:r>
          </w:p>
        </w:tc>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tcPr>
          <w:p>
            <w:pPr>
              <w:spacing w:after="0"/>
              <w:rPr>
                <w:sz w:val="19"/>
                <w:szCs w:val="19"/>
                <w:color w:val="auto"/>
              </w:rPr>
            </w:pPr>
          </w:p>
        </w:tc>
      </w:tr>
      <w:tr>
        <w:trPr>
          <w:trHeight w:val="232"/>
        </w:trPr>
        <w:tc>
          <w:tcPr>
            <w:tcW w:w="7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223,937</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185,367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-2562225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-2562225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-1684020</wp:posOffset>
            </wp:positionV>
            <wp:extent cx="939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-1684020</wp:posOffset>
            </wp:positionV>
            <wp:extent cx="939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-791845</wp:posOffset>
            </wp:positionV>
            <wp:extent cx="93980" cy="1879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-791845</wp:posOffset>
            </wp:positionV>
            <wp:extent cx="93980"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-179705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-179705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top w:val="single" w:sz="8" w:color="auto"/>
            </w:tcBorders>
          </w:tcPr>
          <w:p>
            <w:pPr>
              <w:spacing w:after="0"/>
              <w:rPr>
                <w:sz w:val="20"/>
                <w:szCs w:val="20"/>
                <w:color w:val="auto"/>
              </w:rPr>
            </w:pPr>
          </w:p>
        </w:tc>
        <w:tc>
          <w:tcPr>
            <w:tcW w:w="7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1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increase in right of use asset</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(4,397 )</w:t>
            </w:r>
          </w:p>
        </w:tc>
        <w:tc>
          <w:tcPr>
            <w:tcW w:w="4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(5,558 )</w:t>
            </w:r>
          </w:p>
        </w:tc>
        <w:tc>
          <w:tcPr>
            <w:tcW w:w="100" w:type="dxa"/>
            <w:vAlign w:val="bottom"/>
          </w:tcPr>
          <w:p>
            <w:pPr>
              <w:spacing w:after="0"/>
              <w:rPr>
                <w:sz w:val="21"/>
                <w:szCs w:val="21"/>
                <w:color w:val="auto"/>
              </w:rPr>
            </w:pPr>
          </w:p>
        </w:tc>
      </w:tr>
      <w:tr>
        <w:trPr>
          <w:trHeight w:val="210"/>
        </w:trPr>
        <w:tc>
          <w:tcPr>
            <w:tcW w:w="120" w:type="dxa"/>
            <w:vAlign w:val="bottom"/>
          </w:tcPr>
          <w:p>
            <w:pPr>
              <w:spacing w:after="0"/>
              <w:rPr>
                <w:sz w:val="18"/>
                <w:szCs w:val="18"/>
                <w:color w:val="auto"/>
              </w:rPr>
            </w:pPr>
          </w:p>
        </w:tc>
        <w:tc>
          <w:tcPr>
            <w:tcW w:w="7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Noncash increase in lease liability</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2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associated with contingent consideration</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20" w:type="dxa"/>
            <w:vAlign w:val="bottom"/>
          </w:tcPr>
          <w:p>
            <w:pPr>
              <w:spacing w:after="0"/>
              <w:rPr>
                <w:sz w:val="18"/>
                <w:szCs w:val="18"/>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share distributions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(19,106 )</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-539750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-521970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-539750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-521970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-196850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-196850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333"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20" w:right="60"/>
        <w:spacing w:after="0" w:line="254" w:lineRule="auto"/>
        <w:rPr>
          <w:sz w:val="20"/>
          <w:szCs w:val="20"/>
          <w:color w:val="auto"/>
        </w:rPr>
      </w:pPr>
      <w:r>
        <w:rPr>
          <w:rFonts w:ascii="Times New Roman" w:cs="Times New Roman" w:eastAsia="Times New Roman" w:hAnsi="Times New Roman"/>
          <w:sz w:val="18"/>
          <w:szCs w:val="18"/>
          <w:color w:val="auto"/>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locations. The Company also owns and operates retail cannabis stores that include a national chain named RISE, which sell our products and third-party products. As of March 31, 2024, Green Thumb has revenue in fourteen markets (California, Connecticut, Florida, Illinois, Maryland, Massachusetts, Minnesota, Nevada, New Jersey, New York, Ohio, Pennsylvania, Rhode Island and Virginia), employs approximately 4,500 people and serves millions of patients and customers annually.</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w:t>
      </w:r>
    </w:p>
    <w:p>
      <w:pPr>
        <w:ind w:left="520"/>
        <w:spacing w:after="0"/>
        <w:rPr>
          <w:sz w:val="20"/>
          <w:szCs w:val="20"/>
          <w:color w:val="auto"/>
        </w:rPr>
      </w:pPr>
      <w:r>
        <w:rPr>
          <w:rFonts w:ascii="Times New Roman" w:cs="Times New Roman" w:eastAsia="Times New Roman" w:hAnsi="Times New Roman"/>
          <w:sz w:val="18"/>
          <w:szCs w:val="18"/>
          <w:color w:val="auto"/>
        </w:rPr>
        <w:t>headquarters are at 325 W. Huron St., Suite 700, Chicago, IL 60654.</w:t>
      </w:r>
    </w:p>
    <w:p>
      <w:pPr>
        <w:spacing w:after="0" w:line="20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2023 (the “2023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213"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Note 2 to the Company's Consolidated Financial Statements included in the 2023 Form 10-K.</w:t>
      </w:r>
    </w:p>
    <w:p>
      <w:pPr>
        <w:spacing w:after="0" w:line="15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520" w:right="4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March 31, 2024, the Company had 9,416,251 options, 3,564,633 restricted stock units and 3,734,555 warrants outstanding. As of March 31, 2023, the Company had 9,600,384 options, 1,094,979 restricted stock units and 3,734,555 warrants outstanding.</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70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52" w:hanging="452"/>
        <w:spacing w:after="0"/>
        <w:tabs>
          <w:tab w:leader="none" w:pos="4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12" w:right="120"/>
        <w:spacing w:after="0" w:line="254"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March 31, 2024, the computation of diluted earnings per share included 1,940,169 options, 1,740,592 restricted stock units, and 121,372 warrants. For the three months ended March 31, 2023, the computation of diluted earnings per share included 207,430 options, 80,409 restricted stock units. There were no dilutive warrants during the three months ended March 31, 2023. For the three months ended March 31, 2024 and 2023, the weighted average number of anti-dilutive stock options excluded from the computation of diluted earnings per share were 577,304 and 2,909,924, respectively.</w:t>
      </w:r>
    </w:p>
    <w:p>
      <w:pPr>
        <w:spacing w:after="0" w:line="188" w:lineRule="exact"/>
        <w:rPr>
          <w:sz w:val="20"/>
          <w:szCs w:val="20"/>
          <w:color w:val="auto"/>
        </w:rPr>
      </w:pPr>
    </w:p>
    <w:p>
      <w:pPr>
        <w:ind w:left="432" w:hanging="432"/>
        <w:spacing w:after="0"/>
        <w:tabs>
          <w:tab w:leader="none" w:pos="4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rFonts w:ascii="Times New Roman" w:cs="Times New Roman" w:eastAsia="Times New Roman" w:hAnsi="Times New Roman"/>
          <w:sz w:val="18"/>
          <w:szCs w:val="18"/>
          <w:b w:val="1"/>
          <w:bCs w:val="1"/>
          <w:color w:val="auto"/>
        </w:rPr>
      </w:pPr>
    </w:p>
    <w:p>
      <w:pPr>
        <w:ind w:left="1012" w:hanging="503"/>
        <w:spacing w:after="0" w:line="256"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FASB issued Accounting Standards Update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ASU”) No. 2023-07, </w:t>
      </w:r>
      <w:r>
        <w:rPr>
          <w:rFonts w:ascii="Times New Roman" w:cs="Times New Roman" w:eastAsia="Times New Roman" w:hAnsi="Times New Roman"/>
          <w:sz w:val="18"/>
          <w:szCs w:val="18"/>
          <w:i w:val="1"/>
          <w:iCs w:val="1"/>
          <w:color w:val="auto"/>
        </w:rPr>
        <w:t>Segment Reporting (Topic 280)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to provide enhanced segment disclosures. The standard will require disclosures about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categories and amounts for each reportable segment, for all periods presented. Additionally, the standard requires public entities to disclose the title and position of the Chief Operating Decision Maker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is not expected to have a material impact on the Company’s consolidated financial statements</w:t>
      </w:r>
    </w:p>
    <w:p>
      <w:pPr>
        <w:spacing w:after="0" w:line="74" w:lineRule="exact"/>
        <w:rPr>
          <w:rFonts w:ascii="Times New Roman" w:cs="Times New Roman" w:eastAsia="Times New Roman" w:hAnsi="Times New Roman"/>
          <w:sz w:val="18"/>
          <w:szCs w:val="18"/>
          <w:color w:val="auto"/>
        </w:rPr>
      </w:pPr>
    </w:p>
    <w:p>
      <w:pPr>
        <w:ind w:left="1012" w:right="20" w:hanging="503"/>
        <w:spacing w:after="0" w:line="258"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spacing w:after="0" w:line="77" w:lineRule="exact"/>
        <w:rPr>
          <w:sz w:val="20"/>
          <w:szCs w:val="20"/>
          <w:color w:val="auto"/>
        </w:rPr>
      </w:pPr>
    </w:p>
    <w:p>
      <w:pPr>
        <w:ind w:left="512" w:right="80"/>
        <w:spacing w:after="0" w:line="282" w:lineRule="auto"/>
        <w:rPr>
          <w:sz w:val="20"/>
          <w:szCs w:val="20"/>
          <w:color w:val="auto"/>
        </w:rPr>
      </w:pPr>
      <w:r>
        <w:rPr>
          <w:rFonts w:ascii="Times New Roman" w:cs="Times New Roman" w:eastAsia="Times New Roman" w:hAnsi="Times New Roman"/>
          <w:sz w:val="18"/>
          <w:szCs w:val="18"/>
          <w:color w:val="auto"/>
        </w:rPr>
        <w:t>The Company reviews recently issued accounting standards on a quarterly basis and has determined there are no standards yet to be adopted which are relevant to the business for disclosure.</w:t>
      </w:r>
    </w:p>
    <w:p>
      <w:pPr>
        <w:spacing w:after="0" w:line="200" w:lineRule="exact"/>
        <w:rPr>
          <w:sz w:val="20"/>
          <w:szCs w:val="20"/>
          <w:color w:val="auto"/>
        </w:rPr>
      </w:pPr>
    </w:p>
    <w:p>
      <w:pPr>
        <w:spacing w:after="0" w:line="20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10" w:name="page11"/>
    <w:bookmarkEnd w:id="1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52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include the following at March 31, 2024 and December 31, 2023:</w:t>
      </w:r>
    </w:p>
    <w:p>
      <w:pPr>
        <w:spacing w:after="0" w:line="268" w:lineRule="exact"/>
        <w:rPr>
          <w:sz w:val="20"/>
          <w:szCs w:val="20"/>
          <w:color w:val="auto"/>
        </w:rPr>
      </w:pPr>
    </w:p>
    <w:tbl>
      <w:tblPr>
        <w:tblLayout w:type="fixed"/>
        <w:tblInd w:w="80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8"/>
              </w:rPr>
              <w:t>thousands)</w:t>
            </w:r>
          </w:p>
        </w:tc>
        <w:tc>
          <w:tcPr>
            <w:tcW w:w="1900" w:type="dxa"/>
            <w:vAlign w:val="bottom"/>
            <w:tcBorders>
              <w:bottom w:val="single" w:sz="8" w:color="auto"/>
            </w:tcBorders>
          </w:tcPr>
          <w:p>
            <w:pPr>
              <w:spacing w:after="0"/>
              <w:rPr>
                <w:sz w:val="19"/>
                <w:szCs w:val="19"/>
                <w:color w:val="auto"/>
              </w:rPr>
            </w:pPr>
          </w:p>
        </w:tc>
      </w:tr>
      <w:tr>
        <w:trPr>
          <w:trHeight w:val="2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2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r>
      <w:tr>
        <w:trPr>
          <w:trHeight w:val="23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42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49,864</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47,029</w:t>
            </w:r>
          </w:p>
        </w:tc>
      </w:tr>
      <w:tr>
        <w:trPr>
          <w:trHeight w:val="22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57,631</w:t>
            </w:r>
          </w:p>
        </w:tc>
      </w:tr>
      <w:tr>
        <w:trPr>
          <w:trHeight w:val="236"/>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2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(3,898)</w:t>
            </w: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119,289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112,970</w:t>
            </w:r>
          </w:p>
        </w:tc>
      </w:tr>
      <w:tr>
        <w:trPr>
          <w:trHeight w:val="20"/>
        </w:trPr>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-179070</wp:posOffset>
            </wp:positionV>
            <wp:extent cx="1460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36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property and equipment consisted of the following:</w:t>
      </w:r>
    </w:p>
    <w:p>
      <w:pPr>
        <w:spacing w:after="0" w:line="268" w:lineRule="exact"/>
        <w:rPr>
          <w:sz w:val="20"/>
          <w:szCs w:val="20"/>
          <w:color w:val="auto"/>
        </w:rPr>
      </w:pPr>
    </w:p>
    <w:tbl>
      <w:tblPr>
        <w:tblLayout w:type="fixed"/>
        <w:tblInd w:w="80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4"/>
        </w:trPr>
        <w:tc>
          <w:tcPr>
            <w:tcW w:w="3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20" w:type="dxa"/>
            <w:vAlign w:val="bottom"/>
            <w:gridSpan w:val="3"/>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90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354,097</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353,912</w:t>
            </w: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2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174,081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171,522</w:t>
            </w: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40" w:type="dxa"/>
            <w:vAlign w:val="bottom"/>
            <w:shd w:val="clear" w:color="auto" w:fill="CFF0FC"/>
          </w:tcPr>
          <w:p>
            <w:pPr>
              <w:spacing w:after="0"/>
              <w:rPr>
                <w:sz w:val="20"/>
                <w:szCs w:val="20"/>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205,076</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200,232</w:t>
            </w: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2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3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24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31,262</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30,817</w:t>
            </w:r>
          </w:p>
        </w:tc>
      </w:tr>
      <w:tr>
        <w:trPr>
          <w:trHeight w:val="221"/>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2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765,562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757,529</w:t>
            </w:r>
          </w:p>
        </w:tc>
      </w:tr>
      <w:tr>
        <w:trPr>
          <w:trHeight w:val="232"/>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4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(142,187)</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(127,290)</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40" w:type="dxa"/>
            <w:vAlign w:val="bottom"/>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623,375</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630,239</w:t>
            </w:r>
          </w:p>
        </w:tc>
      </w:tr>
      <w:tr>
        <w:trPr>
          <w:trHeight w:val="22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24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33,725</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33,725</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240" w:type="dxa"/>
            <w:vAlign w:val="bottom"/>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31,906</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23,142</w:t>
            </w:r>
          </w:p>
        </w:tc>
      </w:tr>
      <w:tr>
        <w:trPr>
          <w:trHeight w:val="266"/>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689,006</w:t>
            </w:r>
          </w:p>
        </w:tc>
        <w:tc>
          <w:tcPr>
            <w:tcW w:w="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FF0FC"/>
          </w:tcPr>
          <w:p>
            <w:pPr>
              <w:spacing w:after="0"/>
              <w:rPr>
                <w:sz w:val="23"/>
                <w:szCs w:val="23"/>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687,106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-933450</wp:posOffset>
            </wp:positionV>
            <wp:extent cx="1289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-633730</wp:posOffset>
            </wp:positionV>
            <wp:extent cx="128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289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under construction represent construction in progress related to both cultivation and retail stores not yet completed or otherwise not ready for use.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totaled $15,104 thousand, of which $9,793 thousand, is included in cost of goods 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2023 totaled $10,891 thousand, of which $7,356 thousand, is included in cost of goods sold.</w:t>
      </w: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5" w:right="5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3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38"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2024 and December 31, 2023, intangible assets consisted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40" w:type="dxa"/>
            <w:vAlign w:val="bottom"/>
          </w:tcPr>
          <w:p>
            <w:pPr>
              <w:spacing w:after="0"/>
              <w:rPr>
                <w:sz w:val="11"/>
                <w:szCs w:val="11"/>
                <w:color w:val="auto"/>
              </w:rPr>
            </w:pPr>
          </w:p>
        </w:tc>
        <w:tc>
          <w:tcPr>
            <w:tcW w:w="106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Licenses and Permits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3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168,789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491,927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157,764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502,952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14,070</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27,441</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2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7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17,799</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Non-Competition Agreements</w:t>
            </w:r>
          </w:p>
        </w:tc>
        <w:tc>
          <w:tcPr>
            <w:tcW w:w="7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3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3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7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34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203,223</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526,007</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2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190,552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538,678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for the three months ended March 31, 2024 and 2023 of $12,671 thousand and $12,610 thousand, respectively. As of March 31, 2024 and December 31, 2023, intangible assets are carried net of accumulated impairment losses of $31,131 thousand as of each period then ended.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March 31, 2024:</w:t>
      </w:r>
    </w:p>
    <w:p>
      <w:pPr>
        <w:spacing w:after="0" w:line="22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4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90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37,721</w:t>
            </w: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9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50,294</w:t>
            </w:r>
          </w:p>
        </w:tc>
      </w:tr>
      <w:tr>
        <w:trPr>
          <w:trHeight w:val="33"/>
        </w:trPr>
        <w:tc>
          <w:tcPr>
            <w:tcW w:w="4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90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47,332</w:t>
            </w: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9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33"/>
        </w:trPr>
        <w:tc>
          <w:tcPr>
            <w:tcW w:w="4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90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and Thereafter</w:t>
            </w:r>
          </w:p>
        </w:tc>
        <w:tc>
          <w:tcPr>
            <w:tcW w:w="2900" w:type="dxa"/>
            <w:vAlign w:val="bottom"/>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297,054</w:t>
            </w:r>
          </w:p>
        </w:tc>
      </w:tr>
      <w:tr>
        <w:trPr>
          <w:trHeight w:val="226"/>
        </w:trPr>
        <w:tc>
          <w:tcPr>
            <w:tcW w:w="44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526,007</w:t>
            </w:r>
          </w:p>
        </w:tc>
      </w:tr>
      <w:tr>
        <w:trPr>
          <w:trHeight w:val="20"/>
        </w:trPr>
        <w:tc>
          <w:tcPr>
            <w:tcW w:w="4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the weighted average amortization period remaining for intangible assets was 11.14 years.</w:t>
      </w:r>
    </w:p>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2024 and December 31, 2023 the balances of goodwill, by segment, consisted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3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Borders>
              <w:bottom w:val="single" w:sz="8" w:color="auto"/>
            </w:tcBorders>
          </w:tcPr>
          <w:p>
            <w:pPr>
              <w:spacing w:after="0"/>
              <w:rPr>
                <w:sz w:val="20"/>
                <w:szCs w:val="20"/>
                <w:color w:val="auto"/>
              </w:rPr>
            </w:pPr>
          </w:p>
        </w:tc>
      </w:tr>
      <w:tr>
        <w:trPr>
          <w:trHeight w:val="22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6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273,802</w:t>
            </w:r>
          </w:p>
        </w:tc>
        <w:tc>
          <w:tcPr>
            <w:tcW w:w="4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273,802</w:t>
            </w:r>
          </w:p>
        </w:tc>
      </w:tr>
      <w:tr>
        <w:trPr>
          <w:trHeight w:val="223"/>
        </w:trPr>
        <w:tc>
          <w:tcPr>
            <w:tcW w:w="3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Consumer Packaged Goods</w:t>
            </w:r>
          </w:p>
        </w:tc>
        <w:tc>
          <w:tcPr>
            <w:tcW w:w="16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315,889</w:t>
            </w:r>
          </w:p>
        </w:tc>
        <w:tc>
          <w:tcPr>
            <w:tcW w:w="4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r>
      <w:tr>
        <w:trPr>
          <w:trHeight w:val="266"/>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589,691</w:t>
            </w:r>
          </w:p>
        </w:tc>
        <w:tc>
          <w:tcPr>
            <w:tcW w:w="4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shd w:val="clear" w:color="auto" w:fill="CFF0FC"/>
          </w:tcPr>
          <w:p>
            <w:pPr>
              <w:spacing w:after="0"/>
              <w:rPr>
                <w:sz w:val="23"/>
                <w:szCs w:val="23"/>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-24765</wp:posOffset>
            </wp:positionV>
            <wp:extent cx="3086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3086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-179070</wp:posOffset>
            </wp:positionV>
            <wp:extent cx="3086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8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Goodwill is recognized net of accumulated impairment losses of $57,372 thousand as of March 31, 2024 and December 31, 2023, respectively. During the three months ended March 31, 2024 and 2023, there were no goodwill impairment charges recognized by the Company in the unaudited interim condensed consolidated statements of operations.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held various equity interests in cannabis-related companies as well as investments in note(s) receivable instruments that had a combined fair value of $60,847 thousand and $64,361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investments during the three months ended March 31, 2024 and year ending December 31, 2023:</w:t>
      </w:r>
    </w:p>
    <w:p>
      <w:pPr>
        <w:spacing w:after="0" w:line="198"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1"/>
        </w:trPr>
        <w:tc>
          <w:tcPr>
            <w:tcW w:w="2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0" w:type="dxa"/>
            <w:vAlign w:val="bottom"/>
            <w:tcBorders>
              <w:bottom w:val="single" w:sz="8" w:color="auto"/>
            </w:tcBorders>
          </w:tcPr>
          <w:p>
            <w:pPr>
              <w:spacing w:after="0"/>
              <w:rPr>
                <w:sz w:val="20"/>
                <w:szCs w:val="20"/>
                <w:color w:val="auto"/>
              </w:rPr>
            </w:pPr>
          </w:p>
        </w:tc>
      </w:tr>
      <w:tr>
        <w:trPr>
          <w:trHeight w:val="23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74,169</w:t>
            </w:r>
          </w:p>
        </w:tc>
      </w:tr>
      <w:tr>
        <w:trPr>
          <w:trHeight w:val="23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47"/>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58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r>
      <w:tr>
        <w:trPr>
          <w:trHeight w:val="247"/>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and other</w:t>
            </w:r>
          </w:p>
        </w:tc>
        <w:tc>
          <w:tcPr>
            <w:tcW w:w="158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64,361</w:t>
            </w:r>
          </w:p>
        </w:tc>
      </w:tr>
      <w:tr>
        <w:trPr>
          <w:trHeight w:val="20"/>
        </w:trPr>
        <w:tc>
          <w:tcPr>
            <w:tcW w:w="2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-187960</wp:posOffset>
            </wp:positionV>
            <wp:extent cx="1460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fair value associated with the Company's equity investments and notes receivable instruments recorded during the three months ended March 31, 2024 and 2023.</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40" w:type="dxa"/>
            <w:vAlign w:val="bottom"/>
            <w:tcBorders>
              <w:bottom w:val="single" w:sz="8" w:color="auto"/>
            </w:tcBorders>
          </w:tcPr>
          <w:p>
            <w:pPr>
              <w:spacing w:after="0"/>
              <w:rPr>
                <w:sz w:val="21"/>
                <w:szCs w:val="21"/>
                <w:color w:val="auto"/>
              </w:rPr>
            </w:pPr>
          </w:p>
        </w:tc>
      </w:tr>
      <w:tr>
        <w:trPr>
          <w:trHeight w:val="241"/>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6"/>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Borders>
              <w:bottom w:val="single" w:sz="8" w:color="auto"/>
            </w:tcBorders>
            <w:gridSpan w:val="3"/>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40" w:type="dxa"/>
            <w:vAlign w:val="bottom"/>
            <w:tcBorders>
              <w:bottom w:val="single" w:sz="8" w:color="auto"/>
            </w:tcBorders>
          </w:tcPr>
          <w:p>
            <w:pPr>
              <w:spacing w:after="0"/>
              <w:rPr>
                <w:sz w:val="20"/>
                <w:szCs w:val="20"/>
                <w:color w:val="auto"/>
              </w:rPr>
            </w:pPr>
          </w:p>
        </w:tc>
      </w:tr>
      <w:tr>
        <w:trPr>
          <w:trHeight w:val="23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Instruments</w:t>
            </w:r>
          </w:p>
        </w:tc>
        <w:tc>
          <w:tcPr>
            <w:tcW w:w="24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on Notes Receivable Instruments</w:t>
            </w:r>
          </w:p>
        </w:tc>
        <w:tc>
          <w:tcPr>
            <w:tcW w:w="240" w:type="dxa"/>
            <w:vAlign w:val="bottom"/>
            <w:tcBorders>
              <w:bottom w:val="single" w:sz="8" w:color="CFF0FC"/>
            </w:tcBorders>
            <w:shd w:val="clear" w:color="auto" w:fill="CFF0FC"/>
          </w:tcPr>
          <w:p>
            <w:pPr>
              <w:spacing w:after="0"/>
              <w:rPr>
                <w:sz w:val="21"/>
                <w:szCs w:val="21"/>
                <w:color w:val="auto"/>
              </w:rPr>
            </w:pPr>
          </w:p>
        </w:tc>
        <w:tc>
          <w:tcPr>
            <w:tcW w:w="2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 (losses) gains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r>
      <w:tr>
        <w:trPr>
          <w:trHeight w:val="20"/>
        </w:trPr>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-187960</wp:posOffset>
            </wp:positionV>
            <wp:extent cx="1631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Equity Investments</w:t>
      </w:r>
    </w:p>
    <w:p>
      <w:pPr>
        <w:spacing w:after="0" w:line="229" w:lineRule="exact"/>
        <w:rPr>
          <w:sz w:val="20"/>
          <w:szCs w:val="20"/>
          <w:color w:val="auto"/>
        </w:rPr>
      </w:pPr>
    </w:p>
    <w:p>
      <w:pPr>
        <w:ind w:left="520" w:right="40"/>
        <w:spacing w:after="0" w:line="255" w:lineRule="auto"/>
        <w:rPr>
          <w:sz w:val="20"/>
          <w:szCs w:val="20"/>
          <w:color w:val="auto"/>
        </w:rPr>
      </w:pPr>
      <w:r>
        <w:rPr>
          <w:rFonts w:ascii="Times New Roman" w:cs="Times New Roman" w:eastAsia="Times New Roman" w:hAnsi="Times New Roman"/>
          <w:sz w:val="18"/>
          <w:szCs w:val="18"/>
          <w:color w:val="auto"/>
        </w:rPr>
        <w:t>As of March 31, 2024 and December 31, 2023, the Company held equity investments in publicly traded entities which have readily determinable fair values, which are classified as Level 1 investments, of $2,499 thousand and $2,001 thousand, respectively. During the three months ended March 31, 2024 and 2023, the Company recorded gains (losses) on the change in fair value of such investments of $638 thousand and $(479) thousand, respectively, within other income (expense) on the unaudited interim condensed consolidated statement of operations. During the three months ended March 31, 2024, the Company received proceeds from the sale of such investments of $140 thousand. There were no such sales of these investments during the three months ended March 31, 2023. These investments are classified as trading securities on the Company's unaudited interim condensed consolidated balance sheets.</w:t>
      </w:r>
    </w:p>
    <w:p>
      <w:pPr>
        <w:spacing w:after="0" w:line="189"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7"/>
          <w:szCs w:val="17"/>
          <w:color w:val="auto"/>
        </w:rPr>
        <w:t>As of March 31, 2024 and December 31, 2023, the Company held equity investments in privately held entities that did not have readily determinable fair values, which are classified as Level 3 investments, of $25,953 thousand as of each period end, respectively. For the three months ended March 31, 2024 and 2023, there were no gains or losses on the change in fair value of such investments. There were no sales of these investments during these periods. These investments are classified as trading securities on the Company's unaudited interim condensed consolidated balance sheets.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13 - Fair Value Measurements for additional details.</w:t>
      </w:r>
    </w:p>
    <w:p>
      <w:pPr>
        <w:spacing w:after="0" w:line="225"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Unrealized gains (losses) recognized on equity investments held during the three months ended March 31, 2024 and 2023 were $572 thousand and $(477) thousand, respectively.</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8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Notes Receivable Instruments</w:t>
      </w:r>
    </w:p>
    <w:p>
      <w:pPr>
        <w:spacing w:after="0" w:line="229"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year ended December 31, 2023, the Company made multiple investments in various note receivable instruments, including note receivable instruments with conversion features.</w:t>
      </w:r>
    </w:p>
    <w:p>
      <w:pPr>
        <w:spacing w:after="0" w:line="16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held note receivable instruments, which were classified as a Level 1 investment as they represent public debt of a publicly traded entity, and had a fair value of $22,214 thousand as of each period end, respectively. There were no gains or losses recognized on these investments during the three months ended March 31, 2024 and 2023, respectively. The notes receivable had a stated interest rate of 13% and a maturity date of April 29, 2025. The notes did not contain any conversion features and are currently classified as trading securities on the Company's unaudited interim condensed consolidated balance sheets.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and December 31, 2023, the Company held note receivable instruments, which were classified as Level 3 investments as they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represent loans provided to privately held entities that do not have readily determinable fair values. The note receivable instruments had a combined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of $10,181 thousand and $14,193 thousand, respectively, with stated interest ranging between 2.7% - 10% and terms between twelve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months to five years. There were no gains or losses recognized on these investments during the three months ended March 31, 2024 and 2023,</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respectively. The combined fair value amounts include the initial investment cost and combined contractual accrued interest of $84 thousand and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$128 thousand for the three months ended March 31, 2024 and 2023, respectively. These notes are classified as trading securities on the Company's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interim condensed consolidated balance sheets.</w:t>
      </w:r>
    </w:p>
    <w:p>
      <w:pPr>
        <w:spacing w:after="0" w:line="207"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On January 9, 2024, one of the Company's privately held note receivable instruments matured. As a result, the Company received the principal amount of $4,000 thousand along with the accrued interest of $605 thousand on such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13 - Fair Value Measurements for additional details.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8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processing and cultivation facilities and corporate office spaces.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months ended March 31, 2024 and 2023, the Company recorded operating lease expense of $12,251 thousand and $12,222 thousand, respectively.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March 31, 2024 and December 31, 2023 were as follows:</w:t>
      </w:r>
    </w:p>
    <w:p>
      <w:pPr>
        <w:spacing w:after="0" w:line="340"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7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6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8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w:t>
            </w: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March 31, 2024 were as follows:</w:t>
      </w:r>
    </w:p>
    <w:p>
      <w:pPr>
        <w:spacing w:after="0" w:line="259"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33,819</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43,270</w:t>
            </w:r>
          </w:p>
        </w:tc>
        <w:tc>
          <w:tcPr>
            <w:tcW w:w="16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43,613</w:t>
            </w:r>
          </w:p>
        </w:tc>
        <w:tc>
          <w:tcPr>
            <w:tcW w:w="0" w:type="dxa"/>
            <w:vAlign w:val="bottom"/>
          </w:tcPr>
          <w:p>
            <w:pPr>
              <w:spacing w:after="0"/>
              <w:rPr>
                <w:sz w:val="1"/>
                <w:szCs w:val="1"/>
                <w:color w:val="auto"/>
              </w:rPr>
            </w:pPr>
          </w:p>
        </w:tc>
      </w:tr>
      <w:tr>
        <w:trPr>
          <w:trHeight w:val="17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42,537</w:t>
            </w: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42,887</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42,981</w:t>
            </w:r>
          </w:p>
        </w:tc>
        <w:tc>
          <w:tcPr>
            <w:tcW w:w="16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43,338</w:t>
            </w:r>
          </w:p>
        </w:tc>
        <w:tc>
          <w:tcPr>
            <w:tcW w:w="0" w:type="dxa"/>
            <w:vAlign w:val="bottom"/>
          </w:tcPr>
          <w:p>
            <w:pPr>
              <w:spacing w:after="0"/>
              <w:rPr>
                <w:sz w:val="1"/>
                <w:szCs w:val="1"/>
                <w:color w:val="auto"/>
              </w:rPr>
            </w:pPr>
          </w:p>
        </w:tc>
      </w:tr>
      <w:tr>
        <w:trPr>
          <w:trHeight w:val="17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42,461</w:t>
            </w: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42,825</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323,328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324,692</w:t>
            </w:r>
          </w:p>
        </w:tc>
        <w:tc>
          <w:tcPr>
            <w:tcW w:w="0" w:type="dxa"/>
            <w:vAlign w:val="bottom"/>
          </w:tcPr>
          <w:p>
            <w:pPr>
              <w:spacing w:after="0"/>
              <w:rPr>
                <w:sz w:val="1"/>
                <w:szCs w:val="1"/>
                <w:color w:val="auto"/>
              </w:rPr>
            </w:pPr>
          </w:p>
        </w:tc>
      </w:tr>
      <w:tr>
        <w:trPr>
          <w:trHeight w:val="16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528,103</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531,174</w:t>
            </w: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(265,149)</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264,100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1,925</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266,025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-264795</wp:posOffset>
            </wp:positionV>
            <wp:extent cx="1454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-264795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1454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1454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140"/>
        <w:spacing w:after="0" w:line="255" w:lineRule="auto"/>
        <w:rPr>
          <w:sz w:val="20"/>
          <w:szCs w:val="20"/>
          <w:color w:val="auto"/>
        </w:rPr>
      </w:pPr>
      <w:r>
        <w:rPr>
          <w:rFonts w:ascii="Times New Roman" w:cs="Times New Roman" w:eastAsia="Times New Roman" w:hAnsi="Times New Roman"/>
          <w:sz w:val="18"/>
          <w:szCs w:val="18"/>
          <w:color w:val="auto"/>
        </w:rPr>
        <w:t>The Company has leasing arrangements that are related party transactions, including for certain facilities in Maryland, Massachusetts and Nevada. Wendy Berger, a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Chairman and a Chief Executive Officer of the Company (through KP Capital, LLC), and Anthony Georgiadis, the President and a director of the Company (through Three One Four Holdings, LLC). The terms of these leases range from 7 years to 15 years. The Company recorded lease expense of $139 thousand for each of the three months ended March 31, 2024 and 2023, associated with these leasing arrangements.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33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March 31, 2024 and December 31, 2023, notes payable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0"/>
          <w:szCs w:val="20"/>
          <w:color w:val="auto"/>
        </w:rPr>
      </w:pPr>
    </w:p>
    <w:tbl>
      <w:tblPr>
        <w:tblLayout w:type="fixed"/>
        <w:tblInd w:w="80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1900" w:type="dxa"/>
            <w:vAlign w:val="bottom"/>
          </w:tcPr>
          <w:p>
            <w:pPr>
              <w:spacing w:after="0"/>
              <w:rPr>
                <w:sz w:val="18"/>
                <w:szCs w:val="18"/>
                <w:color w:val="auto"/>
              </w:rPr>
            </w:pPr>
          </w:p>
        </w:tc>
      </w:tr>
      <w:tr>
        <w:trPr>
          <w:trHeight w:val="31"/>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374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Charitable Contributions</w:t>
            </w:r>
            <w:r>
              <w:rPr>
                <w:rFonts w:ascii="Times New Roman" w:cs="Times New Roman" w:eastAsia="Times New Roman" w:hAnsi="Times New Roman"/>
                <w:sz w:val="21"/>
                <w:szCs w:val="21"/>
                <w:color w:val="auto"/>
                <w:vertAlign w:val="superscript"/>
              </w:rPr>
              <w:t>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9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223,746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221,680</w:t>
            </w:r>
          </w:p>
        </w:tc>
      </w:tr>
      <w:tr>
        <w:trPr>
          <w:trHeight w:val="229"/>
        </w:trPr>
        <w:tc>
          <w:tcPr>
            <w:tcW w:w="3740" w:type="dxa"/>
            <w:vAlign w:val="bottom"/>
            <w:tcBorders>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3</w:t>
            </w:r>
          </w:p>
        </w:tc>
        <w:tc>
          <w:tcPr>
            <w:tcW w:w="9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85,889</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86,492</w:t>
            </w:r>
          </w:p>
        </w:tc>
      </w:tr>
      <w:tr>
        <w:trPr>
          <w:trHeight w:val="21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309,937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308,523</w:t>
            </w:r>
          </w:p>
        </w:tc>
      </w:tr>
      <w:tr>
        <w:trPr>
          <w:trHeight w:val="232"/>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98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306,901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305,527</w:t>
            </w: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-479425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jc w:val="both"/>
        <w:ind w:left="1020" w:right="420" w:firstLine="6"/>
        <w:spacing w:after="0" w:line="237" w:lineRule="auto"/>
        <w:tabs>
          <w:tab w:leader="none" w:pos="1115" w:val="left"/>
        </w:tabs>
        <w:numPr>
          <w:ilvl w:val="0"/>
          <w:numId w:val="1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committed to provide charitable contributions of $50 thousand per quarter through October 2024 and $250 thousand per year through May 2024, respectively. The net present value of these contributions has been recorded as a liability with interest rates ranging between 2.17% - 7.00%.</w:t>
      </w:r>
    </w:p>
    <w:p>
      <w:pPr>
        <w:spacing w:after="0" w:line="210" w:lineRule="exact"/>
        <w:rPr>
          <w:sz w:val="20"/>
          <w:szCs w:val="20"/>
          <w:color w:val="auto"/>
        </w:rPr>
      </w:pPr>
    </w:p>
    <w:p>
      <w:pPr>
        <w:ind w:left="1020" w:right="20" w:firstLine="6"/>
        <w:spacing w:after="0" w:line="244" w:lineRule="auto"/>
        <w:tabs>
          <w:tab w:leader="none" w:pos="1115" w:val="left"/>
        </w:tabs>
        <w:numPr>
          <w:ilvl w:val="0"/>
          <w:numId w:val="20"/>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as amended on October 21, 2021 (the “April 30, 2021 Notes”), were issued in an aggregate amount of $249,934 thousand with an interest rate of 7%, maturing on April 30, 2025. The outstanding principal balance of the April 30, 2021 Notes was $224,435 thousand as of March 31, 2024 and December 31, 2023, respectively, and was recorded net of debt discount, the carrying value of which was $689 thousand and $2,755 thousand as of March 31, 2024 and December 31, 2023, respectively.</w:t>
      </w:r>
    </w:p>
    <w:p>
      <w:pPr>
        <w:spacing w:after="0" w:line="208" w:lineRule="exact"/>
        <w:rPr>
          <w:sz w:val="20"/>
          <w:szCs w:val="20"/>
          <w:color w:val="auto"/>
        </w:rPr>
      </w:pPr>
    </w:p>
    <w:p>
      <w:pPr>
        <w:ind w:left="1020" w:firstLine="6"/>
        <w:spacing w:after="0" w:line="244" w:lineRule="auto"/>
        <w:tabs>
          <w:tab w:leader="none" w:pos="1115" w:val="left"/>
        </w:tabs>
        <w:numPr>
          <w:ilvl w:val="0"/>
          <w:numId w:val="21"/>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Company has issued various mortgage notes at an aggregate value of $88,785 thousand in connection with various operating properties as of March 31, 2024 and December 31, 2023. The mortgage notes were issued at a discount, the carrying value of which was $693 thousand and $725 thousand, and are presented net of principal payments of $2,203 thousand and $1,568 thousand as of March 31, 2024 and December 31, 2023, respectively. These mortgage notes mature between August 20, 2025 and June 5, 2035 with interest rates ranging between 5.00% and 7.77%.</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45"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part of the terms of the Company’s issuance of the April 30, 2021 Notes, as well as other financing arrangements, the Company issued warrants, which allow the holders to purchase Subordinate Voting Shares at an exercise price determined at the time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March 31, 2024 and December 31,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2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25"/>
        </w:trPr>
        <w:tc>
          <w:tcPr>
            <w:tcW w:w="27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(C$)</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(USD)</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00" w:type="dxa"/>
            <w:vAlign w:val="bottom"/>
          </w:tcPr>
          <w:p>
            <w:pPr>
              <w:spacing w:after="0"/>
              <w:rPr>
                <w:sz w:val="19"/>
                <w:szCs w:val="19"/>
                <w:color w:val="auto"/>
              </w:rPr>
            </w:pPr>
          </w:p>
        </w:tc>
      </w:tr>
      <w:tr>
        <w:trPr>
          <w:trHeight w:val="22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1,997,208</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FF0FC"/>
          </w:tcPr>
          <w:p>
            <w:pPr>
              <w:spacing w:after="0"/>
              <w:rPr>
                <w:sz w:val="19"/>
                <w:szCs w:val="19"/>
                <w:color w:val="auto"/>
              </w:rPr>
            </w:pPr>
          </w:p>
        </w:tc>
      </w:tr>
      <w:tr>
        <w:trPr>
          <w:trHeight w:val="22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1,997,208</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-175260</wp:posOffset>
            </wp:positionV>
            <wp:extent cx="10223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-175260</wp:posOffset>
            </wp:positionV>
            <wp:extent cx="10287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-175260</wp:posOffset>
            </wp:positionV>
            <wp:extent cx="939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-175260</wp:posOffset>
            </wp:positionV>
            <wp:extent cx="939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-175260</wp:posOffset>
            </wp:positionV>
            <wp:extent cx="939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-175260</wp:posOffset>
            </wp:positionV>
            <wp:extent cx="939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74"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March 31, 2024 and December 31, 2023:</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00"/>
        </w:trPr>
        <w:tc>
          <w:tcPr>
            <w:tcW w:w="4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60" w:type="dxa"/>
            <w:vAlign w:val="bottom"/>
          </w:tcPr>
          <w:p>
            <w:pPr>
              <w:spacing w:after="0"/>
              <w:rPr>
                <w:sz w:val="19"/>
                <w:szCs w:val="19"/>
                <w:color w:val="auto"/>
              </w:rPr>
            </w:pP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4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Placement Financing Warrants Issued May 2019</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C$19.39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C$12.04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33"/>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Modification Warrants Issued May 2020</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C$14.03</w:t>
            </w:r>
          </w:p>
        </w:tc>
        <w:tc>
          <w:tcPr>
            <w:tcW w:w="1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3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1,997,208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$5,224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$2,107</w:t>
            </w: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-179070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losses of $2,107 thousand and gains of $1,642 thousand, respectively, on the change in the fair value of the warrant liability within other income (expense) on the unaudited interim condensed consolidated statements of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the warrant liability as of each reporting date (see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13 - Fair Value Measurements for additional details):</w:t>
      </w:r>
    </w:p>
    <w:p>
      <w:pPr>
        <w:spacing w:after="0" w:line="250"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62.41% - 72.34%</w:t>
            </w:r>
          </w:p>
        </w:tc>
        <w:tc>
          <w:tcPr>
            <w:tcW w:w="256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61.76% - 74.31%</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0.14-1.14 years</w:t>
            </w:r>
          </w:p>
        </w:tc>
        <w:tc>
          <w:tcPr>
            <w:tcW w:w="2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0.39-1.39 years</w:t>
            </w: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4.20%</w:t>
            </w:r>
          </w:p>
        </w:tc>
        <w:tc>
          <w:tcPr>
            <w:tcW w:w="256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3.91%</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2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Equity Classified Warrants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equity classified warrants were recorded at fair value at each respective date of issuance. Equity classified warrants are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remeasured at fair value on a recurring basis and are carried at their issuance date fair value. The following table summarizes the carrying amounts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equity classified warrants at March 31, 2024 and December 31, 2023:</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Issuance Date Fair Value</w:t>
            </w:r>
          </w:p>
        </w:tc>
      </w:tr>
      <w:tr>
        <w:trPr>
          <w:trHeight w:val="212"/>
        </w:trPr>
        <w:tc>
          <w:tcPr>
            <w:tcW w:w="5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8"/>
                <w:szCs w:val="18"/>
                <w:color w:val="auto"/>
              </w:rPr>
            </w:pPr>
          </w:p>
        </w:tc>
      </w:tr>
      <w:tr>
        <w:trPr>
          <w:trHeight w:val="244"/>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r>
      <w:tr>
        <w:trPr>
          <w:trHeight w:val="219"/>
        </w:trPr>
        <w:tc>
          <w:tcPr>
            <w:tcW w:w="5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FF0FC"/>
          </w:tcPr>
          <w:p>
            <w:pPr>
              <w:spacing w:after="0"/>
              <w:rPr>
                <w:sz w:val="19"/>
                <w:szCs w:val="19"/>
                <w:color w:val="auto"/>
              </w:rPr>
            </w:pPr>
          </w:p>
        </w:tc>
      </w:tr>
      <w:tr>
        <w:trPr>
          <w:trHeight w:val="22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32.68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9"/>
                <w:szCs w:val="19"/>
                <w:color w:val="auto"/>
              </w:rPr>
            </w:pPr>
          </w:p>
        </w:tc>
      </w:tr>
      <w:tr>
        <w:trPr>
          <w:trHeight w:val="23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1200" w:type="dxa"/>
            <w:vAlign w:val="bottom"/>
            <w:tcBorders>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30.02</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10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-179070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-179070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840" w:type="dxa"/>
            <w:vAlign w:val="bottom"/>
          </w:tcPr>
          <w:p>
            <w:pPr>
              <w:spacing w:after="0"/>
              <w:rPr>
                <w:sz w:val="17"/>
                <w:szCs w:val="17"/>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8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Mortgage Warrants</w:t>
            </w: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Issuance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15, 2021</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2020</w:t>
            </w:r>
          </w:p>
        </w:tc>
      </w:tr>
      <w:tr>
        <w:trPr>
          <w:trHeight w:val="23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73%</w:t>
            </w:r>
          </w:p>
        </w:tc>
        <w:tc>
          <w:tcPr>
            <w:tcW w:w="19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73%</w:t>
            </w:r>
          </w:p>
        </w:tc>
        <w:tc>
          <w:tcPr>
            <w:tcW w:w="18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Term</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192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1.12%</w:t>
            </w:r>
          </w:p>
        </w:tc>
        <w:tc>
          <w:tcPr>
            <w:tcW w:w="19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0.74%</w:t>
            </w:r>
          </w:p>
        </w:tc>
        <w:tc>
          <w:tcPr>
            <w:tcW w:w="1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2"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221" w:lineRule="exact"/>
        <w:rPr>
          <w:sz w:val="20"/>
          <w:szCs w:val="20"/>
          <w:color w:val="auto"/>
        </w:rPr>
      </w:pPr>
    </w:p>
    <w:p>
      <w:pPr>
        <w:ind w:left="860" w:hanging="343"/>
        <w:spacing w:after="0"/>
        <w:tabs>
          <w:tab w:leader="none" w:pos="8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1140" w:right="20"/>
        <w:spacing w:after="0" w:line="258"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three months ended March 31, 2024, the shareholders of the Company converted 10,848 Multiple Voting Shares into 1,084,800 Subordinate Voting Shares.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Multiple Voting Shares</w:t>
      </w:r>
    </w:p>
    <w:p>
      <w:pPr>
        <w:spacing w:after="0" w:line="121" w:lineRule="exact"/>
        <w:rPr>
          <w:sz w:val="20"/>
          <w:szCs w:val="20"/>
          <w:color w:val="auto"/>
        </w:rPr>
      </w:pPr>
    </w:p>
    <w:p>
      <w:pPr>
        <w:ind w:left="1140" w:right="220"/>
        <w:spacing w:after="0" w:line="261"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The Company is authorized to issue an unlimited number of Multiple Voting Shares. During the three months ended March 31, 2024, the shareholders of the Company converted 10,000 Super Voting Shares into 10,000 Multiple Voting Shares and 10,848 Multiple Voting Shares into 1,084,800 Subordinate Voting Shares.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(iii) Super Voting Shares</w:t>
      </w:r>
    </w:p>
    <w:p>
      <w:pPr>
        <w:spacing w:after="0" w:line="121" w:lineRule="exact"/>
        <w:rPr>
          <w:sz w:val="20"/>
          <w:szCs w:val="20"/>
          <w:color w:val="auto"/>
        </w:rPr>
      </w:pPr>
    </w:p>
    <w:p>
      <w:pPr>
        <w:ind w:left="1140" w:right="60"/>
        <w:spacing w:after="0" w:line="261"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100 Subordinate Voting Shares or one Multiple Voting Share. The Company is authorized to issue an unlimited number of Super Voting Shares. During the three months ended March 31, 2024, the shareholders of the Company converted 10,000 Super Voting Shares into 10,000 Multiple Voting Shares.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34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r>
      <w:tr>
        <w:trPr>
          <w:trHeight w:val="131"/>
        </w:trPr>
        <w:tc>
          <w:tcPr>
            <w:tcW w:w="8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60" w:type="dxa"/>
            <w:vAlign w:val="bottom"/>
          </w:tcPr>
          <w:p>
            <w:pPr>
              <w:jc w:val="right"/>
              <w:ind w:right="224"/>
              <w:spacing w:after="0" w:line="131" w:lineRule="exact"/>
              <w:rPr>
                <w:sz w:val="20"/>
                <w:szCs w:val="20"/>
                <w:color w:val="auto"/>
              </w:rPr>
            </w:pPr>
            <w:r>
              <w:rPr>
                <w:rFonts w:ascii="Times New Roman" w:cs="Times New Roman" w:eastAsia="Times New Roman" w:hAnsi="Times New Roman"/>
                <w:sz w:val="14"/>
                <w:szCs w:val="14"/>
                <w:b w:val="1"/>
                <w:bCs w:val="1"/>
                <w:color w:val="auto"/>
              </w:rPr>
              <w:t>Subordinate</w:t>
            </w:r>
          </w:p>
        </w:tc>
        <w:tc>
          <w:tcPr>
            <w:tcW w:w="160" w:type="dxa"/>
            <w:vAlign w:val="bottom"/>
          </w:tcPr>
          <w:p>
            <w:pPr>
              <w:spacing w:after="0"/>
              <w:rPr>
                <w:sz w:val="11"/>
                <w:szCs w:val="11"/>
                <w:color w:val="auto"/>
              </w:rPr>
            </w:pPr>
          </w:p>
        </w:tc>
        <w:tc>
          <w:tcPr>
            <w:tcW w:w="14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134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Super</w:t>
            </w:r>
          </w:p>
        </w:tc>
        <w:tc>
          <w:tcPr>
            <w:tcW w:w="780" w:type="dxa"/>
            <w:vAlign w:val="bottom"/>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jc w:val="right"/>
              <w:ind w:right="404"/>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34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780" w:type="dxa"/>
            <w:vAlign w:val="bottom"/>
          </w:tcPr>
          <w:p>
            <w:pPr>
              <w:spacing w:after="0"/>
              <w:rPr>
                <w:sz w:val="12"/>
                <w:szCs w:val="12"/>
                <w:color w:val="auto"/>
              </w:rPr>
            </w:pPr>
          </w:p>
        </w:tc>
      </w:tr>
      <w:tr>
        <w:trPr>
          <w:trHeight w:val="187"/>
        </w:trPr>
        <w:tc>
          <w:tcPr>
            <w:tcW w:w="8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spacing w:after="0"/>
              <w:rPr>
                <w:sz w:val="16"/>
                <w:szCs w:val="16"/>
                <w:color w:val="auto"/>
              </w:rPr>
            </w:pPr>
          </w:p>
        </w:tc>
      </w:tr>
      <w:tr>
        <w:trPr>
          <w:trHeight w:val="237"/>
        </w:trPr>
        <w:tc>
          <w:tcPr>
            <w:tcW w:w="800" w:type="dxa"/>
            <w:vAlign w:val="bottom"/>
          </w:tcPr>
          <w:p>
            <w:pPr>
              <w:spacing w:after="0"/>
              <w:rPr>
                <w:sz w:val="20"/>
                <w:szCs w:val="20"/>
                <w:color w:val="auto"/>
              </w:rPr>
            </w:pPr>
          </w:p>
        </w:tc>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2024</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209,871,792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216,690</w:t>
            </w:r>
          </w:p>
        </w:tc>
        <w:tc>
          <w:tcPr>
            <w:tcW w:w="780" w:type="dxa"/>
            <w:vAlign w:val="bottom"/>
          </w:tcPr>
          <w:p>
            <w:pPr>
              <w:spacing w:after="0"/>
              <w:rPr>
                <w:sz w:val="20"/>
                <w:szCs w:val="20"/>
                <w:color w:val="auto"/>
              </w:rPr>
            </w:pPr>
          </w:p>
        </w:tc>
      </w:tr>
      <w:tr>
        <w:trPr>
          <w:trHeight w:val="239"/>
        </w:trPr>
        <w:tc>
          <w:tcPr>
            <w:tcW w:w="8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424,225</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r>
      <w:tr>
        <w:trPr>
          <w:trHeight w:val="239"/>
        </w:trPr>
        <w:tc>
          <w:tcPr>
            <w:tcW w:w="8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107,404</w:t>
            </w:r>
          </w:p>
        </w:tc>
        <w:tc>
          <w:tcPr>
            <w:tcW w:w="1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(1,067,000)</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38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1,084,800</w:t>
            </w:r>
          </w:p>
        </w:tc>
        <w:tc>
          <w:tcPr>
            <w:tcW w:w="1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80" w:type="dxa"/>
            <w:vAlign w:val="bottom"/>
          </w:tcPr>
          <w:p>
            <w:pPr>
              <w:spacing w:after="0"/>
              <w:rPr>
                <w:sz w:val="21"/>
                <w:szCs w:val="21"/>
                <w:color w:val="auto"/>
              </w:rPr>
            </w:pPr>
          </w:p>
        </w:tc>
      </w:tr>
      <w:tr>
        <w:trPr>
          <w:trHeight w:val="277"/>
        </w:trPr>
        <w:tc>
          <w:tcPr>
            <w:tcW w:w="800" w:type="dxa"/>
            <w:vAlign w:val="bottom"/>
          </w:tcPr>
          <w:p>
            <w:pPr>
              <w:spacing w:after="0"/>
              <w:rPr>
                <w:sz w:val="24"/>
                <w:szCs w:val="24"/>
                <w:color w:val="auto"/>
              </w:rPr>
            </w:pPr>
          </w:p>
        </w:tc>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211,671,221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37,683</w:t>
            </w:r>
          </w:p>
        </w:tc>
        <w:tc>
          <w:tcPr>
            <w:tcW w:w="14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206,690</w:t>
            </w:r>
          </w:p>
        </w:tc>
        <w:tc>
          <w:tcPr>
            <w:tcW w:w="780" w:type="dxa"/>
            <w:vAlign w:val="bottom"/>
          </w:tcPr>
          <w:p>
            <w:pPr>
              <w:spacing w:after="0"/>
              <w:rPr>
                <w:sz w:val="24"/>
                <w:szCs w:val="24"/>
                <w:color w:val="auto"/>
              </w:rPr>
            </w:pPr>
          </w:p>
        </w:tc>
      </w:tr>
      <w:tr>
        <w:trPr>
          <w:trHeight w:val="912"/>
        </w:trPr>
        <w:tc>
          <w:tcPr>
            <w:tcW w:w="800" w:type="dxa"/>
            <w:vAlign w:val="bottom"/>
          </w:tcPr>
          <w:p>
            <w:pPr>
              <w:spacing w:after="0"/>
              <w:rPr>
                <w:sz w:val="24"/>
                <w:szCs w:val="24"/>
                <w:color w:val="auto"/>
              </w:rPr>
            </w:pPr>
          </w:p>
        </w:tc>
        <w:tc>
          <w:tcPr>
            <w:tcW w:w="394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-1113790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-1096645</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-1113790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-1096645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0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  Distribution of Contingent Consideration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Dharma Pharmaceuticals, LLC</w:t>
      </w:r>
    </w:p>
    <w:p>
      <w:pPr>
        <w:spacing w:after="0" w:line="227" w:lineRule="exact"/>
        <w:rPr>
          <w:sz w:val="20"/>
          <w:szCs w:val="20"/>
          <w:color w:val="auto"/>
        </w:rPr>
      </w:pPr>
    </w:p>
    <w:p>
      <w:pPr>
        <w:ind w:left="520" w:right="30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dependent upon 1) the successful opening of five retail stores in the Virginia area within the first three years following the signing of the agreement (“Retail Stores Milestone”) and 2) the legal sale of adult-use cannabis in a retail store on or before January 1, 2025 (the “Recreational Sales Milestone”). The Retail Stores Milestone was fully achieved prior to expiration and settled in previous periods.</w:t>
      </w:r>
    </w:p>
    <w:p>
      <w:pPr>
        <w:spacing w:after="0" w:line="183"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On February 9, 2024, the Company and the former owners of Dharma agreed to amend the conditions of the Recreational Sales Milestone (the “Amended Agreement”). Under the Amended Agreement, the former owners waived their right to the Recreational Sales Milestone in exchange for the delivery of 1,250,000 Subordinate Voting Shares. On February 15, 2024, the Company recorded a gain of $15,991 thousand, representing the settlement of the Recreational Sales Milestone and distributed the shares to the former owners of Dharma, which had a fair market value of $17,259 thousand, which was based on the value of the shares as traded on the Canadian Securities Exchange on the date of distribution. The gain was recorded within sales general and administrative expenses on the unaudited interim condensed consolidated statement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Repurchase of Subordinate Voting Shares</w:t>
      </w:r>
    </w:p>
    <w:p>
      <w:pPr>
        <w:spacing w:after="0" w:line="229"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On September 5, 2023, the Company's Board of Directors authorized the repurchase of up to 5%, or 10,486,951 of its Subordinate Voting Shares over a 12-month period at an aggregate cost of up to $50,000 thousand. On February 28, 2024, the Company's Board of Directors authorized an increase in its share repurchase program of $50,000 thousand. During the three months ended March 31, 2024, the Company repurchased 1,067,000 Subordinate Voting Shares at an average price of $12.71 per share, bringing the total remaining repurchase ability to approximately $46,600 thousand.</w:t>
      </w:r>
    </w:p>
    <w:p>
      <w:pPr>
        <w:spacing w:after="0" w:line="2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Stock-Based Compensation</w:t>
      </w:r>
    </w:p>
    <w:p>
      <w:pPr>
        <w:spacing w:after="0" w:line="121" w:lineRule="exact"/>
        <w:rPr>
          <w:sz w:val="20"/>
          <w:szCs w:val="20"/>
          <w:color w:val="auto"/>
        </w:rPr>
      </w:pPr>
    </w:p>
    <w:p>
      <w:pPr>
        <w:ind w:left="520" w:right="8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and Amendment No. 2 thereto (as amended, the “Plan”). The maximum number of Restricted Stock Units (“RSUs”) and options outstanding under the Plan at any time shall not exceed 10% of the then issued and outstanding shares on an as-converted basis.</w:t>
      </w:r>
    </w:p>
    <w:p>
      <w:pPr>
        <w:spacing w:after="0" w:line="68"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w:t>
      </w:r>
    </w:p>
    <w:p>
      <w:pPr>
        <w:spacing w:after="0" w:line="72"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Option and RSU awards generally vest over three years, and options typically have a life of five to ten years. Option grants under the Plan are determined by the Compensation Committee of the Company’s Board of Directors with the option price set at no less than 100% of the fair market value of a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0" w:name="page21"/>
    <w:bookmarkEnd w:id="20"/>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5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452" w:hanging="452"/>
        <w:spacing w:after="0"/>
        <w:tabs>
          <w:tab w:leader="none" w:pos="45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60"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47" w:lineRule="exact"/>
        <w:rPr>
          <w:sz w:val="20"/>
          <w:szCs w:val="20"/>
          <w:color w:val="auto"/>
        </w:rPr>
      </w:pPr>
    </w:p>
    <w:tbl>
      <w:tblPr>
        <w:tblLayout w:type="fixed"/>
        <w:tblInd w:w="792"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2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14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10,071,467</w:t>
            </w:r>
          </w:p>
        </w:tc>
        <w:tc>
          <w:tcPr>
            <w:tcW w:w="2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$11.75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(424,225)</w:t>
            </w:r>
          </w:p>
        </w:tc>
        <w:tc>
          <w:tcPr>
            <w:tcW w:w="2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8.97</w:t>
            </w:r>
          </w:p>
        </w:tc>
        <w:tc>
          <w:tcPr>
            <w:tcW w:w="1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(230,991)</w:t>
            </w:r>
          </w:p>
        </w:tc>
        <w:tc>
          <w:tcPr>
            <w:tcW w:w="2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16.63</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9,416,251</w:t>
            </w:r>
          </w:p>
        </w:tc>
        <w:tc>
          <w:tcPr>
            <w:tcW w:w="2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$11.91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4,879,377</w:t>
            </w:r>
          </w:p>
        </w:tc>
        <w:tc>
          <w:tcPr>
            <w:tcW w:w="2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three months ended March 31, 2024 and the year ended December 31, 2023, using the following ranges of assumptions:</w:t>
      </w:r>
    </w:p>
    <w:p>
      <w:pPr>
        <w:spacing w:after="0" w:line="250" w:lineRule="exact"/>
        <w:rPr>
          <w:sz w:val="20"/>
          <w:szCs w:val="20"/>
          <w:color w:val="auto"/>
        </w:rPr>
      </w:pPr>
    </w:p>
    <w:tbl>
      <w:tblPr>
        <w:tblLayout w:type="fixed"/>
        <w:tblInd w:w="792"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5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450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3.25% - 3.59%</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3.06% - 4.32%</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62%</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4.5 years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 – 4.5 years</w:t>
            </w:r>
          </w:p>
        </w:tc>
      </w:tr>
    </w:tbl>
    <w:p>
      <w:pPr>
        <w:spacing w:after="0" w:line="23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765" w:right="559" w:bottom="1440" w:gutter="0" w:footer="0" w:header="0"/>
        </w:sectPr>
      </w:pPr>
    </w:p>
    <w:bookmarkStart w:id="21" w:name="page22"/>
    <w:bookmarkEnd w:id="21"/>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50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452" w:hanging="452"/>
        <w:spacing w:after="0"/>
        <w:tabs>
          <w:tab w:leader="none" w:pos="45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60"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March 31, 2024 and December 31, 2023 and the changes during the three months ended March 31, 2024:</w:t>
      </w:r>
    </w:p>
    <w:p>
      <w:pPr>
        <w:spacing w:after="0" w:line="183" w:lineRule="exact"/>
        <w:rPr>
          <w:sz w:val="20"/>
          <w:szCs w:val="20"/>
          <w:color w:val="auto"/>
        </w:rPr>
      </w:pPr>
    </w:p>
    <w:tbl>
      <w:tblPr>
        <w:tblLayout w:type="fixed"/>
        <w:tblInd w:w="792"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3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23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47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360" w:type="dxa"/>
            <w:vAlign w:val="bottom"/>
            <w:vMerge w:val="restart"/>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78"/>
        </w:trPr>
        <w:tc>
          <w:tcPr>
            <w:tcW w:w="4720" w:type="dxa"/>
            <w:vAlign w:val="bottom"/>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3,620,638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97,782</w:t>
            </w:r>
          </w:p>
        </w:tc>
        <w:tc>
          <w:tcPr>
            <w:tcW w:w="2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20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(107,404)</w:t>
            </w: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2024</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3,564,633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stock-based compensation expense for the three months ended March 31, 2024 and 2023 was as follows:</w:t>
      </w:r>
    </w:p>
    <w:p>
      <w:pPr>
        <w:spacing w:after="0" w:line="259" w:lineRule="exact"/>
        <w:rPr>
          <w:sz w:val="20"/>
          <w:szCs w:val="20"/>
          <w:color w:val="auto"/>
        </w:rPr>
      </w:pPr>
    </w:p>
    <w:tbl>
      <w:tblPr>
        <w:tblLayout w:type="fixed"/>
        <w:tblInd w:w="792"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20" w:type="dxa"/>
            <w:vAlign w:val="bottom"/>
            <w:tcBorders>
              <w:bottom w:val="single" w:sz="8" w:color="auto"/>
            </w:tcBorders>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223"/>
        </w:trPr>
        <w:tc>
          <w:tcPr>
            <w:tcW w:w="4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auto"/>
            </w:tcBorders>
          </w:tcPr>
          <w:p>
            <w:pPr>
              <w:spacing w:after="0"/>
              <w:rPr>
                <w:sz w:val="19"/>
                <w:szCs w:val="19"/>
                <w:color w:val="auto"/>
              </w:rPr>
            </w:pPr>
          </w:p>
        </w:tc>
      </w:tr>
      <w:tr>
        <w:trPr>
          <w:trHeight w:val="23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81"/>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44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-24765</wp:posOffset>
            </wp:positionV>
            <wp:extent cx="1625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-7620</wp:posOffset>
            </wp:positionV>
            <wp:extent cx="1625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05"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As of March 31, 2024, $34,543 thousand of total unrecognized expense related to stock-based compensation awards is expected to be recognized over a weighted-average period of 1.80 years.</w:t>
      </w:r>
    </w:p>
    <w:p>
      <w:pPr>
        <w:spacing w:after="0" w:line="200" w:lineRule="exact"/>
        <w:rPr>
          <w:sz w:val="20"/>
          <w:szCs w:val="20"/>
          <w:color w:val="auto"/>
        </w:rPr>
      </w:pPr>
    </w:p>
    <w:p>
      <w:pPr>
        <w:spacing w:after="0" w:line="205"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2"/>
          </w:cols>
          <w:pgMar w:left="328" w:top="765" w:right="61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94" w:lineRule="exact"/>
        <w:rPr>
          <w:sz w:val="20"/>
          <w:szCs w:val="20"/>
          <w:color w:val="auto"/>
        </w:rPr>
      </w:pPr>
    </w:p>
    <w:p>
      <w:pPr>
        <w:ind w:left="540" w:hanging="532"/>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months ended March 31, 2024 and 2023:</w:t>
      </w:r>
    </w:p>
    <w:p>
      <w:pPr>
        <w:spacing w:after="0" w:line="300"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Borders>
              <w:bottom w:val="single" w:sz="8" w:color="auto"/>
            </w:tcBorders>
          </w:tcPr>
          <w:p>
            <w:pPr>
              <w:spacing w:after="0"/>
              <w:rPr>
                <w:sz w:val="16"/>
                <w:szCs w:val="16"/>
                <w:color w:val="auto"/>
              </w:rPr>
            </w:pPr>
          </w:p>
        </w:tc>
      </w:tr>
      <w:tr>
        <w:trPr>
          <w:trHeight w:val="236"/>
        </w:trPr>
        <w:tc>
          <w:tcPr>
            <w:tcW w:w="3300" w:type="dxa"/>
            <w:vAlign w:val="bottom"/>
          </w:tcPr>
          <w:p>
            <w:pPr>
              <w:spacing w:after="0"/>
              <w:rPr>
                <w:sz w:val="20"/>
                <w:szCs w:val="20"/>
                <w:color w:val="auto"/>
              </w:rPr>
            </w:pPr>
          </w:p>
        </w:tc>
        <w:tc>
          <w:tcPr>
            <w:tcW w:w="2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108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43,041</w:t>
            </w: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10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33,636</w:t>
            </w: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r>
    </w:tbl>
    <w:p>
      <w:pPr>
        <w:spacing w:after="0" w:line="200" w:lineRule="exact"/>
        <w:rPr>
          <w:sz w:val="20"/>
          <w:szCs w:val="20"/>
          <w:color w:val="auto"/>
        </w:rPr>
      </w:pPr>
    </w:p>
    <w:p>
      <w:pPr>
        <w:spacing w:after="0" w:line="2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2024 and 2023 were based on the Company’s forecasted annualized effective tax rates and were adjusted for discrete items that occurred within the periods presented.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during the three months ended March 31, 2024 and 2023 were $75 thousand and $159 thousand,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21" w:lineRule="exact"/>
        <w:rPr>
          <w:sz w:val="20"/>
          <w:szCs w:val="20"/>
          <w:color w:val="auto"/>
        </w:rPr>
      </w:pPr>
    </w:p>
    <w:p>
      <w:pPr>
        <w:ind w:left="540" w:hanging="532"/>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other income (expense) was comprised of the following:</w:t>
      </w:r>
    </w:p>
    <w:p>
      <w:pPr>
        <w:spacing w:after="0" w:line="300"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20" w:type="dxa"/>
            <w:vAlign w:val="bottom"/>
            <w:tcBorders>
              <w:bottom w:val="single" w:sz="8" w:color="auto"/>
            </w:tcBorders>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209"/>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bottom w:val="single" w:sz="8" w:color="auto"/>
            </w:tcBorders>
          </w:tcPr>
          <w:p>
            <w:pPr>
              <w:spacing w:after="0"/>
              <w:rPr>
                <w:sz w:val="18"/>
                <w:szCs w:val="18"/>
                <w:color w:val="auto"/>
              </w:rPr>
            </w:pPr>
          </w:p>
        </w:tc>
      </w:tr>
      <w:tr>
        <w:trPr>
          <w:trHeight w:val="22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16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(479)</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1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1,642</w:t>
            </w:r>
          </w:p>
        </w:tc>
      </w:tr>
      <w:tr>
        <w:trPr>
          <w:trHeight w:val="23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investments</w:t>
            </w:r>
          </w:p>
        </w:tc>
        <w:tc>
          <w:tcPr>
            <w:tcW w:w="1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4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(318)</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79</w:t>
            </w:r>
          </w:p>
        </w:tc>
      </w:tr>
      <w:tr>
        <w:trPr>
          <w:trHeight w:val="26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160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(1,763)</w:t>
            </w:r>
          </w:p>
        </w:tc>
        <w:tc>
          <w:tcPr>
            <w:tcW w:w="40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2489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2489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w:t>
      </w:r>
    </w:p>
    <w:p>
      <w:pPr>
        <w:spacing w:after="0" w:line="71"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spacing w:after="0" w:line="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Claims and Litigation</w:t>
      </w:r>
    </w:p>
    <w:p>
      <w:pPr>
        <w:spacing w:after="0" w:line="121"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At March 31, 2024 and December 31, 2023,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Construction Commitments</w:t>
      </w:r>
    </w:p>
    <w:p>
      <w:pPr>
        <w:spacing w:after="0" w:line="121"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held approximately $4,000 thousand of open construction commitments to contractors on work being performed.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0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54"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It was not practicable to estimate the fair value of the Company's long-term notes payable, which consist of charitable contributions, private placement debt and mortgage notes, since there were no quoted market prices or active trading markets. The carrying amount of notes payable at March 31, 2024 and December 31, 2023 was $309,937 thousand and $308,523 thousand, respectively, which includes $3,036 thousand and $2,996 thousand, respectively, of short-term debt due within one year.</w:t>
      </w:r>
    </w:p>
    <w:p>
      <w:pPr>
        <w:spacing w:after="0" w:line="72" w:lineRule="exact"/>
        <w:rPr>
          <w:sz w:val="20"/>
          <w:szCs w:val="20"/>
          <w:color w:val="auto"/>
        </w:rPr>
      </w:pPr>
    </w:p>
    <w:p>
      <w:pPr>
        <w:ind w:left="520" w:right="58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225"/>
        </w:trPr>
        <w:tc>
          <w:tcPr>
            <w:tcW w:w="2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23"/>
        </w:trPr>
        <w:tc>
          <w:tcPr>
            <w:tcW w:w="2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23"/>
        </w:trPr>
        <w:tc>
          <w:tcPr>
            <w:tcW w:w="2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223,937</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223,937</w:t>
            </w: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24,713</w:t>
            </w:r>
          </w:p>
        </w:tc>
        <w:tc>
          <w:tcPr>
            <w:tcW w:w="120" w:type="dxa"/>
            <w:vAlign w:val="bottom"/>
          </w:tcPr>
          <w:p>
            <w:pPr>
              <w:spacing w:after="0"/>
              <w:rPr>
                <w:sz w:val="19"/>
                <w:szCs w:val="19"/>
                <w:color w:val="auto"/>
              </w:rPr>
            </w:pPr>
          </w:p>
        </w:tc>
        <w:tc>
          <w:tcPr>
            <w:tcW w:w="19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60,847</w:t>
            </w: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700" w:type="dxa"/>
            <w:vAlign w:val="bottom"/>
            <w:tcBorders>
              <w:right w:val="single" w:sz="8" w:color="CFF0FC"/>
            </w:tcBorders>
            <w:shd w:val="clear" w:color="auto" w:fill="CFF0FC"/>
          </w:tcPr>
          <w:p>
            <w:pPr>
              <w:spacing w:after="0"/>
              <w:rPr>
                <w:sz w:val="20"/>
                <w:szCs w:val="20"/>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20"/>
                <w:szCs w:val="20"/>
                <w:color w:val="auto"/>
              </w:rPr>
            </w:pPr>
          </w:p>
        </w:tc>
        <w:tc>
          <w:tcPr>
            <w:tcW w:w="196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7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46"/>
        </w:trPr>
        <w:tc>
          <w:tcPr>
            <w:tcW w:w="2820" w:type="dxa"/>
            <w:vAlign w:val="bottom"/>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248,650</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30,910</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279,560</w:t>
            </w: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r>
        <w:trPr>
          <w:trHeight w:val="450"/>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23"/>
        </w:trPr>
        <w:tc>
          <w:tcPr>
            <w:tcW w:w="2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23"/>
        </w:trPr>
        <w:tc>
          <w:tcPr>
            <w:tcW w:w="2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3"/>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24,215</w:t>
            </w:r>
          </w:p>
        </w:tc>
        <w:tc>
          <w:tcPr>
            <w:tcW w:w="120" w:type="dxa"/>
            <w:vAlign w:val="bottom"/>
          </w:tcPr>
          <w:p>
            <w:pPr>
              <w:spacing w:after="0"/>
              <w:rPr>
                <w:sz w:val="19"/>
                <w:szCs w:val="19"/>
                <w:color w:val="auto"/>
              </w:rPr>
            </w:pPr>
          </w:p>
        </w:tc>
        <w:tc>
          <w:tcPr>
            <w:tcW w:w="1960" w:type="dxa"/>
            <w:vAlign w:val="bottom"/>
            <w:gridSpan w:val="3"/>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64,361</w:t>
            </w: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700" w:type="dxa"/>
            <w:vAlign w:val="bottom"/>
            <w:tcBorders>
              <w:right w:val="single" w:sz="8" w:color="CFF0FC"/>
            </w:tcBorders>
            <w:shd w:val="clear" w:color="auto" w:fill="CFF0FC"/>
          </w:tcPr>
          <w:p>
            <w:pPr>
              <w:spacing w:after="0"/>
              <w:rPr>
                <w:sz w:val="20"/>
                <w:szCs w:val="20"/>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20"/>
                <w:szCs w:val="20"/>
                <w:color w:val="auto"/>
              </w:rPr>
            </w:pPr>
          </w:p>
        </w:tc>
        <w:tc>
          <w:tcPr>
            <w:tcW w:w="1960" w:type="dxa"/>
            <w:vAlign w:val="bottom"/>
            <w:gridSpan w:val="3"/>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(33,250)</w:t>
            </w:r>
          </w:p>
        </w:tc>
        <w:tc>
          <w:tcPr>
            <w:tcW w:w="120" w:type="dxa"/>
            <w:vAlign w:val="bottom"/>
            <w:tcBorders>
              <w:right w:val="single" w:sz="8" w:color="CFF0FC"/>
            </w:tcBorders>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(33,250)</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7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w:t>
            </w:r>
          </w:p>
        </w:tc>
      </w:tr>
      <w:tr>
        <w:trPr>
          <w:trHeight w:val="260"/>
        </w:trPr>
        <w:tc>
          <w:tcPr>
            <w:tcW w:w="2820" w:type="dxa"/>
            <w:vAlign w:val="bottom"/>
            <w:tcBorders>
              <w:top w:val="single" w:sz="8" w:color="CFF0FC"/>
              <w:bottom w:val="single" w:sz="8" w:color="CFF0FC"/>
            </w:tcBorders>
            <w:shd w:val="clear" w:color="auto" w:fill="CFF0FC"/>
          </w:tcPr>
          <w:p>
            <w:pPr>
              <w:spacing w:after="0"/>
              <w:rPr>
                <w:sz w:val="22"/>
                <w:szCs w:val="22"/>
                <w:color w:val="auto"/>
              </w:rPr>
            </w:pPr>
          </w:p>
        </w:tc>
        <w:tc>
          <w:tcPr>
            <w:tcW w:w="700" w:type="dxa"/>
            <w:vAlign w:val="bottom"/>
            <w:tcBorders>
              <w:top w:val="single" w:sz="8" w:color="CFF0FC"/>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185,849</w:t>
            </w:r>
          </w:p>
        </w:tc>
        <w:tc>
          <w:tcPr>
            <w:tcW w:w="120" w:type="dxa"/>
            <w:vAlign w:val="bottom"/>
            <w:tcBorders>
              <w:top w:val="single" w:sz="8" w:color="CFF0FC"/>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right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CFF0FC"/>
              <w:bottom w:val="single" w:sz="8" w:color="auto"/>
            </w:tcBorders>
            <w:shd w:val="clear" w:color="auto" w:fill="CFF0FC"/>
          </w:tcPr>
          <w:p>
            <w:pPr>
              <w:spacing w:after="0"/>
              <w:rPr>
                <w:sz w:val="22"/>
                <w:szCs w:val="22"/>
                <w:color w:val="auto"/>
              </w:rPr>
            </w:pPr>
          </w:p>
        </w:tc>
        <w:tc>
          <w:tcPr>
            <w:tcW w:w="10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3,779</w:t>
            </w:r>
          </w:p>
        </w:tc>
        <w:tc>
          <w:tcPr>
            <w:tcW w:w="120" w:type="dxa"/>
            <w:vAlign w:val="bottom"/>
            <w:tcBorders>
              <w:top w:val="single" w:sz="8" w:color="CFF0FC"/>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189,628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-1414145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-1396365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-1414145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-1396365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-1414145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-1396365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-179705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-179705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three months ended March 31, 2024 and 2023:</w:t>
      </w:r>
    </w:p>
    <w:p>
      <w:pPr>
        <w:spacing w:after="0" w:line="200" w:lineRule="exact"/>
        <w:rPr>
          <w:sz w:val="20"/>
          <w:szCs w:val="20"/>
          <w:color w:val="auto"/>
        </w:rPr>
      </w:pPr>
    </w:p>
    <w:p>
      <w:pPr>
        <w:spacing w:after="0" w:line="251"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0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860" w:type="dxa"/>
            <w:vAlign w:val="bottom"/>
            <w:tcBorders>
              <w:bottom w:val="single" w:sz="8" w:color="auto"/>
            </w:tcBorders>
          </w:tcPr>
          <w:p>
            <w:pPr>
              <w:spacing w:after="0"/>
              <w:rPr>
                <w:sz w:val="21"/>
                <w:szCs w:val="21"/>
                <w:color w:val="auto"/>
              </w:rPr>
            </w:pPr>
          </w:p>
        </w:tc>
      </w:tr>
      <w:tr>
        <w:trPr>
          <w:trHeight w:val="241"/>
        </w:trPr>
        <w:tc>
          <w:tcPr>
            <w:tcW w:w="3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r>
      <w:tr>
        <w:trPr>
          <w:trHeight w:val="236"/>
        </w:trPr>
        <w:tc>
          <w:tcPr>
            <w:tcW w:w="3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58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860" w:type="dxa"/>
            <w:vAlign w:val="bottom"/>
            <w:tcBorders>
              <w:bottom w:val="single" w:sz="8" w:color="auto"/>
            </w:tcBorders>
          </w:tcPr>
          <w:p>
            <w:pPr>
              <w:spacing w:after="0"/>
              <w:rPr>
                <w:sz w:val="20"/>
                <w:szCs w:val="20"/>
                <w:color w:val="auto"/>
              </w:rPr>
            </w:pPr>
          </w:p>
        </w:tc>
      </w:tr>
      <w:tr>
        <w:trPr>
          <w:trHeight w:val="23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203,778</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188,878</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149,912</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125,617</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(77,884)</w:t>
            </w:r>
          </w:p>
        </w:tc>
        <w:tc>
          <w:tcPr>
            <w:tcW w:w="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(65,959)</w:t>
            </w:r>
          </w:p>
        </w:tc>
      </w:tr>
      <w:tr>
        <w:trPr>
          <w:trHeight w:val="281"/>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275,806</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248,536</w:t>
            </w:r>
          </w:p>
        </w:tc>
      </w:tr>
      <w:tr>
        <w:trPr>
          <w:trHeight w:val="22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8,832</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14,669</w:t>
            </w:r>
          </w:p>
        </w:tc>
      </w:tr>
      <w:tr>
        <w:trPr>
          <w:trHeight w:val="243"/>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23,501</w:t>
            </w:r>
          </w:p>
        </w:tc>
      </w:tr>
      <w:tr>
        <w:trPr>
          <w:trHeight w:val="20"/>
        </w:trPr>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19,011</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14,625</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1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32,149</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-1636395</wp:posOffset>
            </wp:positionV>
            <wp:extent cx="1625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-1619250</wp:posOffset>
            </wp:positionV>
            <wp:extent cx="1625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-993775</wp:posOffset>
            </wp:positionV>
            <wp:extent cx="1625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1625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1625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Goodwill assigned to the Retail segment as of March 31, 2024 and December 31, 2023 was $273,802 thousand, respectively. Intangible assets, net assigned to the Retail segment as of March 31, 2024 and December 31, 2023 was $272,455 thousand and $278,492 thousand, respectively.</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March 31, 2024 and December 31, 2023 was $315,889 thousand, respectively. Intangible assets, net assigned to the Consumer Packaged Goods segment as of March 31, 2024 and December 31, 2023 was $253,552 thousand and $260,186 thousand, respectively.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or “Green Thumb”) is for the three months ended March 31, 2024 and 2023. It is supplemental to, and should be read in conjunction with, the Company’s unaudited interim condensed consolidated financial statements as of March 31, 2024 and the consolidated financial statements for the year ended December 31, 2023 included in the Company’s Annual Report on Form 10-K for the year ended December 31, 2023 filed with the U.S. Securities and Exchange Commission (“SEC”) on February 29, 2024 (the “2023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p>
    <w:p>
      <w:pPr>
        <w:spacing w:after="0" w:line="18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2023 Form 10-K.” As a result of many factors, the Company’s actual results may differ materially from those anticipated in these forward-looking statements and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right="100" w:firstLine="554"/>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March 31, 2024, Green Thumb has operations in fourteen U.S. markets, employs approximately 4,500 people and serves millions of patients and customers annually.</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(none of which product categories are individually material to the Company).</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Retail stores under other names, primarily where naming is subject to licensing or similar restrictions. The income from Green Thumb’s Retail business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fourteen of the states in which we operate. As of March 31, 2024, the Company had 92 open and operating Retail locations. The Company’s new store opening plans will remain fluid depending on market conditions, obtaining local licensing, construction and other permissions and subject to the Company’s capital allocation plans.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unaudited interim condensed consolidated statements of operations for the three months ended March 31, 2024 and 2023 and (ii) unaudited interim condensed consolidated balance sheet as of March 31, 2024 and December 31, 2023 have been derived from, and should be read in conjunction with, the unaudited interim condensed consolidated financial statements and accompanying notes presented in Item 1 of this quarterly report on Form 10-Q.</w:t>
      </w:r>
    </w:p>
    <w:p>
      <w:pPr>
        <w:spacing w:after="0" w:line="193" w:lineRule="exact"/>
        <w:rPr>
          <w:sz w:val="20"/>
          <w:szCs w:val="20"/>
          <w:color w:val="auto"/>
        </w:rPr>
      </w:pPr>
    </w:p>
    <w:p>
      <w:pPr>
        <w:ind w:right="460" w:firstLine="509"/>
        <w:spacing w:after="0" w:line="312" w:lineRule="auto"/>
        <w:rPr>
          <w:sz w:val="20"/>
          <w:szCs w:val="20"/>
          <w:color w:val="auto"/>
        </w:rPr>
      </w:pPr>
      <w:r>
        <w:rPr>
          <w:rFonts w:ascii="Times New Roman" w:cs="Times New Roman" w:eastAsia="Times New Roman" w:hAnsi="Times New Roman"/>
          <w:sz w:val="17"/>
          <w:szCs w:val="17"/>
          <w:color w:val="auto"/>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QTD Change</w:t>
            </w:r>
          </w:p>
        </w:tc>
      </w:tr>
      <w:tr>
        <w:trPr>
          <w:trHeight w:val="169"/>
        </w:trPr>
        <w:tc>
          <w:tcPr>
            <w:tcW w:w="4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4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71"/>
              </w:rPr>
              <w:t>share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275,806</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248,536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Net</w:t>
            </w:r>
          </w:p>
        </w:tc>
        <w:tc>
          <w:tcPr>
            <w:tcW w:w="7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(130,877)</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(123,815)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74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144,929</w:t>
            </w: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124,721</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20,208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74,258</w:t>
            </w:r>
          </w:p>
        </w:tc>
        <w:tc>
          <w:tcPr>
            <w:tcW w:w="20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80,519</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74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74,258</w:t>
            </w:r>
          </w:p>
        </w:tc>
        <w:tc>
          <w:tcPr>
            <w:tcW w:w="200" w:type="dxa"/>
            <w:vAlign w:val="bottom"/>
          </w:tcPr>
          <w:p>
            <w:pPr>
              <w:spacing w:after="0"/>
              <w:rPr>
                <w:sz w:val="14"/>
                <w:szCs w:val="1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74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70,671</w:t>
            </w: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44,202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26,469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7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 And Non-Controlling Interest</w:t>
            </w:r>
          </w:p>
        </w:tc>
        <w:tc>
          <w:tcPr>
            <w:tcW w:w="74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63,497</w:t>
            </w: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43,041</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32,149</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74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31,348</w:t>
            </w: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21,943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7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48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74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31,076</w:t>
            </w:r>
          </w:p>
        </w:tc>
        <w:tc>
          <w:tcPr>
            <w:tcW w:w="20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9,139</w:t>
            </w:r>
          </w:p>
        </w:tc>
        <w:tc>
          <w:tcPr>
            <w:tcW w:w="34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21,937</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240%</w:t>
            </w:r>
          </w:p>
        </w:tc>
      </w:tr>
      <w:tr>
        <w:trPr>
          <w:trHeight w:val="156"/>
        </w:trPr>
        <w:tc>
          <w:tcPr>
            <w:tcW w:w="4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7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0.13</w:t>
            </w:r>
          </w:p>
        </w:tc>
        <w:tc>
          <w:tcPr>
            <w:tcW w:w="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3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0.09</w:t>
            </w: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225%</w:t>
            </w:r>
          </w:p>
        </w:tc>
      </w:tr>
      <w:tr>
        <w:trPr>
          <w:trHeight w:val="20"/>
        </w:trPr>
        <w:tc>
          <w:tcPr>
            <w:tcW w:w="4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48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74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0.13</w:t>
            </w:r>
          </w:p>
        </w:tc>
        <w:tc>
          <w:tcPr>
            <w:tcW w:w="20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34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0.09</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225%</w:t>
            </w:r>
          </w:p>
        </w:tc>
      </w:tr>
      <w:tr>
        <w:trPr>
          <w:trHeight w:val="156"/>
        </w:trPr>
        <w:tc>
          <w:tcPr>
            <w:tcW w:w="4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740" w:type="dxa"/>
            <w:vAlign w:val="bottom"/>
          </w:tcPr>
          <w:p>
            <w:pPr>
              <w:spacing w:after="0"/>
              <w:rPr>
                <w:sz w:val="13"/>
                <w:szCs w:val="13"/>
                <w:color w:val="auto"/>
              </w:rPr>
            </w:pPr>
          </w:p>
        </w:tc>
        <w:tc>
          <w:tcPr>
            <w:tcW w:w="1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236,759,731</w:t>
            </w:r>
          </w:p>
        </w:tc>
        <w:tc>
          <w:tcPr>
            <w:tcW w:w="200" w:type="dxa"/>
            <w:vAlign w:val="bottom"/>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237,398,253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4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74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240,561,864</w:t>
            </w:r>
          </w:p>
        </w:tc>
        <w:tc>
          <w:tcPr>
            <w:tcW w:w="20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237,686,092</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-1520825</wp:posOffset>
            </wp:positionV>
            <wp:extent cx="15430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-1520825</wp:posOffset>
            </wp:positionV>
            <wp:extent cx="11112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-573405</wp:posOffset>
            </wp:positionV>
            <wp:extent cx="1289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-556895</wp:posOffset>
            </wp:positionV>
            <wp:extent cx="1289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-573405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-556895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-299720</wp:posOffset>
            </wp:positionV>
            <wp:extent cx="1289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-281940</wp:posOffset>
            </wp:positionV>
            <wp:extent cx="1289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-299720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-281940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1289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1289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857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1920" w:type="dxa"/>
            <w:vAlign w:val="bottom"/>
            <w:tcBorders>
              <w:bottom w:val="single" w:sz="8" w:color="auto"/>
            </w:tcBorders>
          </w:tcPr>
          <w:p>
            <w:pPr>
              <w:spacing w:after="0"/>
              <w:rPr>
                <w:sz w:val="19"/>
                <w:szCs w:val="19"/>
                <w:color w:val="auto"/>
              </w:rPr>
            </w:pPr>
          </w:p>
        </w:tc>
      </w:tr>
      <w:tr>
        <w:trPr>
          <w:trHeight w:val="230"/>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2,554,819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2,490,057</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660,751</w:t>
            </w:r>
          </w:p>
        </w:tc>
      </w:tr>
    </w:tbl>
    <w:p>
      <w:pPr>
        <w:spacing w:after="0" w:line="321" w:lineRule="exact"/>
        <w:rPr>
          <w:sz w:val="20"/>
          <w:szCs w:val="20"/>
          <w:color w:val="auto"/>
        </w:rPr>
      </w:pPr>
    </w:p>
    <w:p>
      <w:pPr>
        <w:ind w:right="43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March 31, 2024 Compared to the Three Months Ended March 31, 2023 </w:t>
      </w:r>
      <w:r>
        <w:rPr>
          <w:rFonts w:ascii="Times New Roman" w:cs="Times New Roman" w:eastAsia="Times New Roman" w:hAnsi="Times New Roman"/>
          <w:sz w:val="18"/>
          <w:szCs w:val="18"/>
          <w:i w:val="1"/>
          <w:iCs w:val="1"/>
          <w:color w:val="auto"/>
        </w:rPr>
        <w:t>Revenues, net of Discounts</w:t>
      </w: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2024 was $275,806 thousand, up 11% from $248,536 thousand for the three months ended March 31, 2023. Key performance drivers for the period included (i) the legalization of adult-use sales in Maryland, which began on July 1, 2023, and (ii) revenue generated from new retail stores.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generated revenue from 92 Retail stores during the quarter compared to 77 in the same quarter of the prior year. Retail revenues made up 74% of total revenues during the three months ended March 31, 2024 as compared to 76% during the three months ended March 31, 2023. From March 31, 2023 until March 31, 2024, the Company opened eight new Retail stores in Florida, two new Retail stores in Pennsylvania, two new Retail stores in Virginia, two new Retail stores in Nevada, one new Retail store in Minnesota, and one new Retail store in New York. The Company also disposed of one Retail store in Massachusetts.</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Consumer Packaged Goods revenues made up 26% of total revenues during the three months ended March 31, 2024 as compared to 24%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and costs related to the internal cultivation and production of cannabis. Cost of goods sold for the three months ended March 31, 2024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$130,877 thousand, up 6% from $123,815 thousand for the three months ended March 31, 2023, driven by increased demand stemming from the launch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adult-use sales in Maryland, as well as increased sales volume at the Company's newly opened Retail locations.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March 31, 2024 was $144,929 thousand, representing a gross margin on the sale of branded cannabis flower and processed and packaged products including concentrates, edibles, topicals and other cannabis products, of 53%. This is compared to gross profit for the three months ended March 31, 2023 of $124,721 thousand, or a 50% gross margin. The increase in gross profit (dollars) was directly attributable to the revenue increase as described above. The increase in gross margin (percent) was primarily driven by an increase in Retail sales of Green Thumb-produced products.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Total expenses for the three months ended March 31, 2024 were $74,258 thousand, or 27% of revenues, net of discounts, a decrease of $6,261 thousand compared to the same period in the prior year. Total expenses for the three months ended March 31, 2023 were $80,519 thousand or 32% of revenues, net of discounts. The decrease in total expenses was attributable to a favorable fair value adjustment associated with the Company's contingent consideration arrangements recorded during the three months ended March 31, 2024, partially offset by increased expenses associated with the launch of adult-use sales in Maryland, as well as increased expenses associated with the opening of new Retail stores as described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Total other income (expense) for the three months ended March 31, 2024 was $(7,174) thousand, a change of $6,013 thousand, primarily due to a decrease in the amount of interest capitalized on construction projects and unfavorable fair value adjustments on the Company's warrant liability during the three months ended March 31, 2024, as compared to the three months ended March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11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three months ended March 31, 2024 was $63,497 thousand, an increase of $20,456 thousand compared to the three months ended March 31, 2023.</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$6,490 thousand and $6,239 thousand in the three months ended March 31, 2024 and 2023, respectively, and other nonoperating expenses (income), of $(14,388) thousand and $2,292 thousand in three months ended March 31, 2024 and 2023, respectively, adjusted earnings before interest, depreciation, and amortization (“EBITDA”) was $90,548 thousand and $76,234 thousand,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three months ended March 31, 2024, federal and state income tax expense totaled $32,149 thousand compared to expense of $33,636 thousand for the three months ended March 31, 2023.</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revenues, net of discounts by segment for the three months ended March 31, 2024 and 2023:</w:t>
      </w:r>
    </w:p>
    <w:p>
      <w:pPr>
        <w:spacing w:after="0" w:line="340"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80" w:type="dxa"/>
            <w:vAlign w:val="bottom"/>
            <w:tcBorders>
              <w:bottom w:val="single" w:sz="8" w:color="auto"/>
            </w:tcBorders>
            <w:gridSpan w:val="4"/>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400" w:type="dxa"/>
            <w:vAlign w:val="bottom"/>
            <w:tcBorders>
              <w:bottom w:val="single" w:sz="8" w:color="auto"/>
            </w:tcBorders>
          </w:tcPr>
          <w:p>
            <w:pPr>
              <w:spacing w:after="0"/>
              <w:rPr>
                <w:sz w:val="16"/>
                <w:szCs w:val="16"/>
                <w:color w:val="auto"/>
              </w:rPr>
            </w:pPr>
          </w:p>
        </w:tc>
      </w:tr>
      <w:tr>
        <w:trPr>
          <w:trHeight w:val="169"/>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r>
      <w:tr>
        <w:trPr>
          <w:trHeight w:val="223"/>
        </w:trPr>
        <w:tc>
          <w:tcPr>
            <w:tcW w:w="2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00" w:type="dxa"/>
            <w:vAlign w:val="bottom"/>
            <w:tcBorders>
              <w:bottom w:val="single" w:sz="8" w:color="auto"/>
            </w:tcBorders>
          </w:tcPr>
          <w:p>
            <w:pPr>
              <w:spacing w:after="0"/>
              <w:rPr>
                <w:sz w:val="19"/>
                <w:szCs w:val="19"/>
                <w:color w:val="auto"/>
              </w:rPr>
            </w:pP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203,778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188,878</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12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14,900</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8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149,912</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125,617</w:t>
            </w: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24,295</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(77,884)</w:t>
            </w: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(65,959)</w:t>
            </w:r>
          </w:p>
        </w:tc>
        <w:tc>
          <w:tcPr>
            <w:tcW w:w="3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11,925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9"/>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8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275,806</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248,536</w:t>
            </w:r>
          </w:p>
        </w:tc>
        <w:tc>
          <w:tcPr>
            <w:tcW w:w="3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27,270</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1454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145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2228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2228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with the Three Months Ended March 31, 2023</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Retail segment were $203,778 thousand, an increase of $14,900 thousand or 8%, compared to the three months ended March 31, 2023. The increase in Retail revenues, net of discounts, was primarily driven by: (i) the legalization of adult-use sales in Maryland, which began on July 1, 2023, and (ii) revenue generated from new retail stores as described above.</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$149,912 thousand, an increase of $24,295 thousand or 19%, compared to the three months ended March 31, 2023. The increase in Consumer Packaged Goods revenues, net of discounts, was primarily driven by the legalization of adult-use sales in Maryland, which began on July 1, 2023, as well as increased production associated with the completion of various construction projects in 2023.</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$(77,884) thousand, an increase of $11,925 thousand or 18% compared to the three months ended March 31, 2023. The increase in intersegment eliminations was driven by increased intercompany sales, primarily to Company-owned Retail stores in Maryland, New Jersey and Pennsylvania. Consumer Packaged Goods revenues, net of intersegment eliminations, made up 26% of total revenues during the three months ended March 31, 2024 as compared to 24% during the three months ended March 31, 2023.</w:t>
      </w:r>
    </w:p>
    <w:p>
      <w:pPr>
        <w:spacing w:after="0" w:line="1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83" w:lineRule="exact"/>
        <w:rPr>
          <w:sz w:val="20"/>
          <w:szCs w:val="20"/>
          <w:color w:val="auto"/>
        </w:rPr>
      </w:pPr>
    </w:p>
    <w:p>
      <w:pPr>
        <w:ind w:right="440" w:firstLine="509"/>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2024, revenue was contributed from Consumer Packaged Goods and Retail sales across California, Connecticut, Florida, Illinois, Maryland, Massachusetts, Minnesota, Nevada, New Jersey, New York, Ohio, Pennsylvania, Rhode Island and Virginia.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0" w:name="page31"/>
    <w:bookmarkEnd w:id="30"/>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continued to be focused on creating sustainable, profitable growth of the Company’s business within its current markets while considering strategic acquisition and partnership opportunities.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334"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40" w:type="dxa"/>
            <w:vAlign w:val="bottom"/>
            <w:tcBorders>
              <w:bottom w:val="single" w:sz="8" w:color="auto"/>
            </w:tcBorders>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1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31,348</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9,405</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17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3,816</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32,149</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33,636</w:t>
            </w:r>
          </w:p>
        </w:tc>
        <w:tc>
          <w:tcPr>
            <w:tcW w:w="0" w:type="dxa"/>
            <w:vAlign w:val="bottom"/>
          </w:tcPr>
          <w:p>
            <w:pPr>
              <w:spacing w:after="0"/>
              <w:rPr>
                <w:sz w:val="1"/>
                <w:szCs w:val="1"/>
                <w:color w:val="auto"/>
              </w:rPr>
            </w:pPr>
          </w:p>
        </w:tc>
      </w:tr>
      <w:tr>
        <w:trPr>
          <w:trHeight w:val="17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27,775</w:t>
            </w: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23,501</w:t>
            </w:r>
          </w:p>
        </w:tc>
        <w:tc>
          <w:tcPr>
            <w:tcW w:w="0" w:type="dxa"/>
            <w:vAlign w:val="bottom"/>
          </w:tcPr>
          <w:p>
            <w:pPr>
              <w:spacing w:after="0"/>
              <w:rPr>
                <w:sz w:val="1"/>
                <w:szCs w:val="1"/>
                <w:color w:val="auto"/>
              </w:rPr>
            </w:pPr>
          </w:p>
        </w:tc>
      </w:tr>
      <w:tr>
        <w:trPr>
          <w:trHeight w:val="131"/>
        </w:trPr>
        <w:tc>
          <w:tcPr>
            <w:tcW w:w="50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tc>
        <w:tc>
          <w:tcPr>
            <w:tcW w:w="13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98,446</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67,703</w:t>
            </w:r>
          </w:p>
        </w:tc>
        <w:tc>
          <w:tcPr>
            <w:tcW w:w="0" w:type="dxa"/>
            <w:vAlign w:val="bottom"/>
          </w:tcPr>
          <w:p>
            <w:pPr>
              <w:spacing w:after="0"/>
              <w:rPr>
                <w:sz w:val="1"/>
                <w:szCs w:val="1"/>
                <w:color w:val="auto"/>
              </w:rPr>
            </w:pPr>
          </w:p>
        </w:tc>
      </w:tr>
      <w:tr>
        <w:trPr>
          <w:trHeight w:val="186"/>
        </w:trPr>
        <w:tc>
          <w:tcPr>
            <w:tcW w:w="506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1380" w:type="dxa"/>
            <w:vAlign w:val="bottom"/>
            <w:tcBorders>
              <w:bottom w:val="single" w:sz="8" w:color="CFF0FC"/>
            </w:tcBorders>
            <w:vMerge w:val="continue"/>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1380" w:type="dxa"/>
            <w:vAlign w:val="bottom"/>
            <w:tcBorders>
              <w:top w:val="single" w:sz="8" w:color="CFF0FC"/>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6,490</w:t>
            </w:r>
          </w:p>
        </w:tc>
        <w:tc>
          <w:tcPr>
            <w:tcW w:w="220" w:type="dxa"/>
            <w:vAlign w:val="bottom"/>
            <w:tcBorders>
              <w:top w:val="single" w:sz="8" w:color="CFF0FC"/>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6,239</w:t>
            </w:r>
          </w:p>
        </w:tc>
        <w:tc>
          <w:tcPr>
            <w:tcW w:w="0" w:type="dxa"/>
            <w:vAlign w:val="bottom"/>
          </w:tcPr>
          <w:p>
            <w:pPr>
              <w:spacing w:after="0"/>
              <w:rPr>
                <w:sz w:val="1"/>
                <w:szCs w:val="1"/>
                <w:color w:val="auto"/>
              </w:rPr>
            </w:pPr>
          </w:p>
        </w:tc>
      </w:tr>
      <w:tr>
        <w:trPr>
          <w:trHeight w:val="175"/>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Transaction and Other Non-operating (Income) Costs</w:t>
            </w:r>
          </w:p>
        </w:tc>
        <w:tc>
          <w:tcPr>
            <w:tcW w:w="13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2,292</w:t>
            </w:r>
          </w:p>
        </w:tc>
        <w:tc>
          <w:tcPr>
            <w:tcW w:w="0" w:type="dxa"/>
            <w:vAlign w:val="bottom"/>
          </w:tcPr>
          <w:p>
            <w:pPr>
              <w:spacing w:after="0"/>
              <w:rPr>
                <w:sz w:val="1"/>
                <w:szCs w:val="1"/>
                <w:color w:val="auto"/>
              </w:rPr>
            </w:pPr>
          </w:p>
        </w:tc>
      </w:tr>
      <w:tr>
        <w:trPr>
          <w:trHeight w:val="169"/>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 Measure)</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90,548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76,234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-393700</wp:posOffset>
            </wp:positionV>
            <wp:extent cx="1289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-376555</wp:posOffset>
            </wp:positionV>
            <wp:extent cx="12890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-144780</wp:posOffset>
            </wp:positionV>
            <wp:extent cx="12890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During the Period, and Capital Resources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had total current liabilities of $175,054 thousand and $126,050 thousand, respectively, and cash and cash equivalents of $223,937 thousand and $161,634 thousand, respectively, to meet its current obligations. The Company had working capital of $244,640 thousand as of March 31, 2024, an increase of $27,928 thousand as compared to December 31, 2023. This increase in working capital was primarily driven by a reduction in capital expenditures associated with construction projects which were completed during 2023, partially offset by increased spending associated with the Company's share repurchase program.</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spacing w:after="0" w:line="189"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 Investing and 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2024 and 2023 were as follows:</w:t>
      </w:r>
    </w:p>
    <w:p>
      <w:pPr>
        <w:spacing w:after="0" w:line="268" w:lineRule="exact"/>
        <w:rPr>
          <w:sz w:val="20"/>
          <w:szCs w:val="20"/>
          <w:color w:val="auto"/>
        </w:rPr>
      </w:pPr>
    </w:p>
    <w:tbl>
      <w:tblPr>
        <w:tblLayout w:type="fixed"/>
        <w:tblInd w:w="800" w:type="dxa"/>
        <w:tblCellMar>
          <w:top w:w="0" w:type="dxa"/>
          <w:left w:w="0" w:type="dxa"/>
          <w:bottom w:w="0" w:type="dxa"/>
          <w:right w:w="0" w:type="dxa"/>
        </w:tblCellMar>
      </w:tblPr>
      <w:tr>
        <w:trPr>
          <w:trHeight w:val="225"/>
        </w:trPr>
        <w:tc>
          <w:tcPr>
            <w:tcW w:w="47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47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47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860" w:type="dxa"/>
            <w:vAlign w:val="bottom"/>
            <w:tcBorders>
              <w:bottom w:val="single" w:sz="8" w:color="auto"/>
            </w:tcBorders>
          </w:tcPr>
          <w:p>
            <w:pPr>
              <w:spacing w:after="0"/>
              <w:rPr>
                <w:sz w:val="19"/>
                <w:szCs w:val="19"/>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84,023</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74,711</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(66,890)</w:t>
            </w:r>
          </w:p>
        </w:tc>
      </w:tr>
      <w:tr>
        <w:trPr>
          <w:trHeight w:val="23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our 2023 Form 10-K.</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2" w:name="page33"/>
    <w:bookmarkEnd w:id="3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our 2023 Form 10-K.</w:t>
      </w:r>
    </w:p>
    <w:p>
      <w:pPr>
        <w:spacing w:after="0" w:line="34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March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first quarter of 2024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 Systems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2023 Form 10-K.</w:t>
      </w:r>
    </w:p>
    <w:p>
      <w:pPr>
        <w:spacing w:after="0" w:line="200" w:lineRule="exact"/>
        <w:rPr>
          <w:sz w:val="20"/>
          <w:szCs w:val="20"/>
          <w:color w:val="auto"/>
        </w:rPr>
      </w:pPr>
    </w:p>
    <w:p>
      <w:pPr>
        <w:spacing w:after="0" w:line="237" w:lineRule="exact"/>
        <w:rPr>
          <w:sz w:val="20"/>
          <w:szCs w:val="20"/>
          <w:color w:val="auto"/>
        </w:rPr>
      </w:pPr>
    </w:p>
    <w:p>
      <w:pPr>
        <w:ind w:right="3780"/>
        <w:spacing w:after="0" w:line="41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 Voting Shares</w:t>
      </w:r>
    </w:p>
    <w:p>
      <w:pPr>
        <w:spacing w:after="0" w:line="229" w:lineRule="exact"/>
        <w:rPr>
          <w:sz w:val="20"/>
          <w:szCs w:val="20"/>
          <w:color w:val="auto"/>
        </w:rPr>
      </w:pPr>
    </w:p>
    <w:p>
      <w:pPr>
        <w:ind w:right="100" w:firstLine="8"/>
        <w:spacing w:after="0" w:line="282" w:lineRule="auto"/>
        <w:tabs>
          <w:tab w:leader="none" w:pos="1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issued a total of 1,250,000 shares associated with the Company's July 2021 acquisition of Dharma Pharmaceuticals, LLC.</w:t>
      </w:r>
    </w:p>
    <w:p>
      <w:pPr>
        <w:spacing w:after="0" w:line="53" w:lineRule="exact"/>
        <w:rPr>
          <w:rFonts w:ascii="Times New Roman" w:cs="Times New Roman" w:eastAsia="Times New Roman" w:hAnsi="Times New Roman"/>
          <w:sz w:val="18"/>
          <w:szCs w:val="18"/>
          <w:color w:val="auto"/>
        </w:rPr>
      </w:pPr>
    </w:p>
    <w:p>
      <w:pPr>
        <w:ind w:right="420" w:firstLine="8"/>
        <w:spacing w:after="0" w:line="282" w:lineRule="auto"/>
        <w:tabs>
          <w:tab w:leader="none" w:pos="1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shareholders of the Company converted 10,848 Multiple Voting Shares into 1,084,800 Subordinate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Multiple Voting Shares</w:t>
      </w:r>
    </w:p>
    <w:p>
      <w:pPr>
        <w:spacing w:after="0" w:line="229" w:lineRule="exact"/>
        <w:rPr>
          <w:sz w:val="20"/>
          <w:szCs w:val="20"/>
          <w:color w:val="auto"/>
        </w:rPr>
      </w:pPr>
    </w:p>
    <w:p>
      <w:pPr>
        <w:ind w:right="40" w:firstLine="8"/>
        <w:spacing w:after="0" w:line="282" w:lineRule="auto"/>
        <w:tabs>
          <w:tab w:leader="none" w:pos="1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shareholders of the Company converted 10,000 Super Voting Shares into 10,000 Multiple Voting Shares and 10,848 Multiple Voting Shares into 1,084,800 Subordinate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During the three months ended March 31, 2024, shareholders of the Company converted 10,000 Super Voting Shares into 10,000 Multiple Voting Shares.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Issuer Purchases of Equity Securities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repurchases of our Subordinate Voting Shares during the three months ended March 31, 2024: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41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2"/>
                <w:szCs w:val="12"/>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412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4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Announced Program </w:t>
            </w:r>
            <w:r>
              <w:rPr>
                <w:rFonts w:ascii="Times New Roman" w:cs="Times New Roman" w:eastAsia="Times New Roman" w:hAnsi="Times New Roman"/>
                <w:sz w:val="19"/>
                <w:szCs w:val="19"/>
                <w:b w:val="1"/>
                <w:bCs w:val="1"/>
                <w:color w:val="auto"/>
                <w:w w:val="98"/>
                <w:vertAlign w:val="superscript"/>
              </w:rPr>
              <w:t>(1)</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January 1, 2024 through January 31, 2024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0D0D0D"/>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 $</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February 1, 2024 through February 29,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March 1, 2024 through March 31, 2024</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1,067,000</w:t>
            </w:r>
          </w:p>
        </w:tc>
        <w:tc>
          <w:tcPr>
            <w:tcW w:w="2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12.71</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1,067,000</w:t>
            </w:r>
          </w:p>
        </w:tc>
        <w:tc>
          <w:tcPr>
            <w:tcW w:w="140" w:type="dxa"/>
            <w:vAlign w:val="bottom"/>
            <w:tcBorders>
              <w:bottom w:val="single" w:sz="8" w:color="auto"/>
            </w:tcBorders>
            <w:shd w:val="clear" w:color="auto" w:fill="CFF0FC"/>
          </w:tcPr>
          <w:p>
            <w:pPr>
              <w:spacing w:after="0"/>
              <w:rPr>
                <w:sz w:val="15"/>
                <w:szCs w:val="15"/>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46,600</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1,067,000</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0D0D0D"/>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12.71</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1,067,000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46,600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5, 2023, the Company's Board of Directors authorized the repurchase of up to 5%, or 10,486,951 of its Subordinate Voting Shares over a</w:t>
      </w:r>
    </w:p>
    <w:p>
      <w:pPr>
        <w:spacing w:after="0" w:line="1" w:lineRule="exact"/>
        <w:rPr>
          <w:rFonts w:ascii="Times New Roman" w:cs="Times New Roman" w:eastAsia="Times New Roman" w:hAnsi="Times New Roman"/>
          <w:sz w:val="22"/>
          <w:szCs w:val="22"/>
          <w:color w:val="auto"/>
          <w:vertAlign w:val="superscript"/>
        </w:rPr>
      </w:pPr>
    </w:p>
    <w:p>
      <w:pPr>
        <w:ind w:right="140"/>
        <w:spacing w:after="0" w:line="254"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12-month period at an aggregate cost of up to $50,000 thousand. On February 28, 2024, the Company's Board of Directors authorized an increase in its share repurchase program of $50,000 thousand. Through March 31, 2024, the Company repurchased a total of 4,910,125 Subordinate Voting Shares at an average price of $10.88 per share, bringing the Company's remaining repurchase authority to approximately $46,600 thousand.</w:t>
      </w: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4" w:name="page35"/>
    <w:bookmarkEnd w:id="3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firstLine="8"/>
        <w:spacing w:after="0" w:line="282"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Trading Plans. During the three months ended March 31, 2024, none of the Company's directors or Section 16 officers adopted or terminated a “Rule 10b5-1 trading arrangement” or a “non-Rule 10b5-1 trading arrangement”, as each term is defined in the Item 408(a) of Regulation S-K.</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r>
      <w:tr>
        <w:trPr>
          <w:trHeight w:val="432"/>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Borders>
              <w:left w:val="single" w:sz="8" w:color="0000EE"/>
            </w:tcBorders>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2"/>
            <w:shd w:val="clear" w:color="auto" w:fill="0000FF"/>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9860" w:type="dxa"/>
            <w:vAlign w:val="bottom"/>
            <w:gridSpan w:val="3"/>
            <w:shd w:val="clear" w:color="auto" w:fill="0000FF"/>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r>
      <w:tr>
        <w:trPr>
          <w:trHeight w:val="37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5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7" w:lineRule="exact"/>
        <w:rPr>
          <w:sz w:val="20"/>
          <w:szCs w:val="20"/>
          <w:color w:val="auto"/>
        </w:rPr>
      </w:pPr>
    </w:p>
    <w:p>
      <w:pPr>
        <w:ind w:left="5540" w:right="4940" w:hanging="5519"/>
        <w:spacing w:after="0" w:line="955" w:lineRule="auto"/>
        <w:tabs>
          <w:tab w:leader="none" w:pos="1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Inline XBRL File)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36" w:name="page37"/>
    <w:bookmarkEnd w:id="3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37" w:name="page38"/>
    <w:bookmarkEnd w:id="3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100" w:hanging="511"/>
        <w:spacing w:after="0" w:line="289" w:lineRule="auto"/>
        <w:tabs>
          <w:tab w:leader="none" w:pos="2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100" w:hanging="511"/>
        <w:spacing w:after="0" w:line="289" w:lineRule="auto"/>
        <w:tabs>
          <w:tab w:leader="none" w:pos="23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2024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2024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lvl w:ilvl="1">
      <w:lvlJc w:val="left"/>
      <w:lvlText w:val="(%2)"/>
      <w:numFmt w:val="lowerLetter"/>
      <w:start w:val="1"/>
    </w:lvl>
  </w:abstractNum>
  <w:abstractNum w:abstractNumId="3">
    <w:nsid w:val="75A2A8D4"/>
    <w:multiLevelType w:val="hybridMultilevel"/>
    <w:lvl w:ilvl="0">
      <w:lvlJc w:val="left"/>
      <w:lvlText w:val="(%1)"/>
      <w:numFmt w:val="lowerLetter"/>
      <w:start w:val="2"/>
    </w:lvl>
  </w:abstractNum>
  <w:abstractNum w:abstractNumId="4">
    <w:nsid w:val="8EDBDAB"/>
    <w:multiLevelType w:val="hybridMultilevel"/>
    <w:lvl w:ilvl="0">
      <w:lvlJc w:val="left"/>
      <w:lvlText w:val="(%1)"/>
      <w:numFmt w:val="lowerLetter"/>
      <w:start w:val="3"/>
    </w:lvl>
  </w:abstractNum>
  <w:abstractNum w:abstractNumId="5">
    <w:nsid w:val="79838CB2"/>
    <w:multiLevelType w:val="hybridMultilevel"/>
    <w:lvl w:ilvl="0">
      <w:lvlJc w:val="left"/>
      <w:lvlText w:val="(%1)"/>
      <w:numFmt w:val="lowerLetter"/>
      <w:start w:val="4"/>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lowerLetter"/>
      <w:start w:val="4"/>
    </w:lvl>
  </w:abstractNum>
  <w:abstractNum w:abstractNumId="8">
    <w:nsid w:val="189A769B"/>
    <w:multiLevelType w:val="hybridMultilevel"/>
    <w:lvl w:ilvl="0">
      <w:lvlJc w:val="left"/>
      <w:lvlText w:val="(%1)"/>
      <w:numFmt w:val="lowerLetter"/>
      <w:start w:val="5"/>
    </w:lvl>
    <w:lvl w:ilvl="1">
      <w:lvlJc w:val="left"/>
      <w:lvlText w:val="(%2)"/>
      <w:numFmt w:val="lowerRoman"/>
      <w:start w:val="1"/>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4"/>
    </w:lvl>
    <w:lvl w:ilvl="1">
      <w:lvlJc w:val="left"/>
      <w:lvlText w:val="(%2)"/>
      <w:numFmt w:val="lowerLetter"/>
      <w:start w:val="1"/>
    </w:lvl>
  </w:abstractNum>
  <w:abstractNum w:abstractNumId="12">
    <w:nsid w:val="836C40E"/>
    <w:multiLevelType w:val="hybridMultilevel"/>
    <w:lvl w:ilvl="0">
      <w:lvlJc w:val="left"/>
      <w:lvlText w:val="%1."/>
      <w:numFmt w:val="decimal"/>
      <w:start w:val="5"/>
    </w:lvl>
  </w:abstractNum>
  <w:abstractNum w:abstractNumId="13">
    <w:nsid w:val="2901D82"/>
    <w:multiLevelType w:val="hybridMultilevel"/>
    <w:lvl w:ilvl="0">
      <w:lvlJc w:val="left"/>
      <w:lvlText w:val="%1."/>
      <w:numFmt w:val="decimal"/>
      <w:start w:val="5"/>
    </w:lvl>
  </w:abstractNum>
  <w:abstractNum w:abstractNumId="14">
    <w:nsid w:val="3A95F874"/>
    <w:multiLevelType w:val="hybridMultilevel"/>
    <w:lvl w:ilvl="0">
      <w:lvlJc w:val="left"/>
      <w:lvlText w:val="%1."/>
      <w:numFmt w:val="decimal"/>
      <w:start w:val="6"/>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2"/>
    </w:lvl>
  </w:abstractNum>
  <w:abstractNum w:abstractNumId="17">
    <w:nsid w:val="7C3DBD3D"/>
    <w:multiLevelType w:val="hybridMultilevel"/>
    <w:lvl w:ilvl="0">
      <w:lvlJc w:val="left"/>
      <w:lvlText w:val="%1."/>
      <w:numFmt w:val="decimal"/>
      <w:start w:val="7"/>
    </w:lvl>
  </w:abstractNum>
  <w:abstractNum w:abstractNumId="18">
    <w:nsid w:val="737B8DDC"/>
    <w:multiLevelType w:val="hybridMultilevel"/>
    <w:lvl w:ilvl="0">
      <w:lvlJc w:val="left"/>
      <w:lvlText w:val="1"/>
      <w:numFmt w:val="bullet"/>
      <w:start w:val="1"/>
    </w:lvl>
  </w:abstractNum>
  <w:abstractNum w:abstractNumId="19">
    <w:nsid w:val="6CEAF087"/>
    <w:multiLevelType w:val="hybridMultilevel"/>
    <w:lvl w:ilvl="0">
      <w:lvlJc w:val="left"/>
      <w:lvlText w:val="2"/>
      <w:numFmt w:val="bullet"/>
      <w:start w:val="1"/>
    </w:lvl>
  </w:abstractNum>
  <w:abstractNum w:abstractNumId="20">
    <w:nsid w:val="22221A70"/>
    <w:multiLevelType w:val="hybridMultilevel"/>
    <w:lvl w:ilvl="0">
      <w:lvlJc w:val="left"/>
      <w:lvlText w:val="3"/>
      <w:numFmt w:val="bullet"/>
      <w:start w:val="1"/>
    </w:lvl>
  </w:abstractNum>
  <w:abstractNum w:abstractNumId="21">
    <w:nsid w:val="4516DDE9"/>
    <w:multiLevelType w:val="hybridMultilevel"/>
    <w:lvl w:ilvl="0">
      <w:lvlJc w:val="left"/>
      <w:lvlText w:val="%1."/>
      <w:numFmt w:val="decimal"/>
      <w:start w:val="8"/>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decimal"/>
      <w:start w:val="8"/>
    </w:lvl>
  </w:abstractNum>
  <w:abstractNum w:abstractNumId="24">
    <w:nsid w:val="419AC241"/>
    <w:multiLevelType w:val="hybridMultilevel"/>
    <w:lvl w:ilvl="0">
      <w:lvlJc w:val="left"/>
      <w:lvlText w:val="%1."/>
      <w:numFmt w:val="decimal"/>
      <w:start w:val="9"/>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1."/>
      <w:numFmt w:val="decimal"/>
      <w:start w:val="9"/>
    </w:lvl>
    <w:lvl w:ilvl="1">
      <w:lvlJc w:val="left"/>
      <w:lvlText w:val="(%2)"/>
      <w:numFmt w:val="lowerLetter"/>
      <w:start w:val="3"/>
    </w:lvl>
  </w:abstractNum>
  <w:abstractNum w:abstractNumId="29">
    <w:nsid w:val="77465F01"/>
    <w:multiLevelType w:val="hybridMultilevel"/>
    <w:lvl w:ilvl="0">
      <w:lvlJc w:val="left"/>
      <w:lvlText w:val="%1."/>
      <w:numFmt w:val="decimal"/>
      <w:start w:val="9"/>
    </w:lvl>
    <w:lvl w:ilvl="1">
      <w:lvlJc w:val="left"/>
      <w:lvlText w:val="(%2)"/>
      <w:numFmt w:val="lowerLetter"/>
      <w:start w:val="3"/>
    </w:lvl>
  </w:abstractNum>
  <w:abstractNum w:abstractNumId="30">
    <w:nsid w:val="7724C67E"/>
    <w:multiLevelType w:val="hybridMultilevel"/>
    <w:lvl w:ilvl="0">
      <w:lvlJc w:val="left"/>
      <w:lvlText w:val="%1."/>
      <w:numFmt w:val="decimal"/>
      <w:start w:val="10"/>
    </w:lvl>
  </w:abstractNum>
  <w:abstractNum w:abstractNumId="31">
    <w:nsid w:val="5C482A97"/>
    <w:multiLevelType w:val="hybridMultilevel"/>
    <w:lvl w:ilvl="0">
      <w:lvlJc w:val="left"/>
      <w:lvlText w:val="%1."/>
      <w:numFmt w:val="decimal"/>
      <w:start w:val="11"/>
    </w:lvl>
  </w:abstractNum>
  <w:abstractNum w:abstractNumId="32">
    <w:nsid w:val="2463B9EA"/>
    <w:multiLevelType w:val="hybridMultilevel"/>
    <w:lvl w:ilvl="0">
      <w:lvlJc w:val="left"/>
      <w:lvlText w:val="%1."/>
      <w:numFmt w:val="decimal"/>
      <w:start w:val="12"/>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13"/>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14"/>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1"/>
      <w:numFmt w:val="decimal"/>
      <w:start w:val="104"/>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2024-05-09T05:29:21Z</dcterms:created>
  <dcterms:modified xsi:type="dcterms:W3CDTF">2024-05-09T05:29:21Z</dcterms:modified>
</cp:coreProperties>
</file>