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6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Kadens Peter A</w:t>
        </w:r>
        <w:r>
          <w:rPr>
            <w:rFonts w:ascii="Arial" w:cs="Arial" w:eastAsia="Arial" w:hAnsi="Arial"/>
            <w:sz w:val="21"/>
            <w:szCs w:val="21"/>
            <w:color w:val="0000EE"/>
          </w:rPr>
          <w:t>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990 GREEN BAY ROAD, UNIT 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WINNETKA</w:t>
            </w:r>
          </w:p>
        </w:tc>
        <w:tc>
          <w:tcPr>
            <w:tcW w:w="1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60093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34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7"/>
                </w:rPr>
                <w:t>Green Thumb Industries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GTII/GTBIF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210185</wp:posOffset>
            </wp:positionV>
            <wp:extent cx="6964045" cy="40360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4036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64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30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Kadens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Super voting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center"/>
              <w:ind w:lef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11/03/2020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lef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46,314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Kadens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Multiple voting shares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center"/>
              <w:ind w:lef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11/03/2020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lef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Kadens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Multiple voting shares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center"/>
              <w:ind w:lef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11/03/2020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lef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4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Kadens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center"/>
              <w:ind w:lef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11/03/2020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1,250,000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lef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1,250,086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Kadens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center"/>
              <w:ind w:lef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11/03/2020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1,250,000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14.821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4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conversion of Super Voting Shares into Multiple Voting Shares pursuant to the Amended and Restated Articles of Association of the Issuer.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conversion of Multiple Voting Shares into Subordinate Voting Shares pursuant to the Amended and Restated Articles of Association of the Issuer.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Sold in a private placement transaction to a qualified institutional buyer at a price of C$19.50 per share. The price reported is in U.S. Dollars based on the currency exchange rate of 0.7543 applicable to the transaction.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Peter Kadens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11/04/2020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6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13982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2020-11-04T19:10:22Z</dcterms:created>
  <dcterms:modified xsi:type="dcterms:W3CDTF">2020-11-04T19:10:22Z</dcterms:modified>
</cp:coreProperties>
</file>