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440" w:right="40"/>
        <w:spacing w:after="0" w:line="269" w:lineRule="auto"/>
        <w:rPr>
          <w:sz w:val="20"/>
          <w:szCs w:val="20"/>
          <w:color w:val="auto"/>
        </w:rPr>
      </w:pPr>
      <w:r>
        <w:rPr>
          <w:rFonts w:ascii="Arial" w:cs="Arial" w:eastAsia="Arial" w:hAnsi="Arial"/>
          <w:sz w:val="16"/>
          <w:szCs w:val="16"/>
          <w:b w:val="1"/>
          <w:bCs w:val="1"/>
          <w:color w:val="auto"/>
        </w:rPr>
        <w:t>As confidentially submitted to the Securities and Exchange Commission on June 30, 2020. This draft registration statement has not been filed publicly with the Securities and Exchange Commission, and all information herein remains strictly confidential.</w:t>
      </w:r>
    </w:p>
    <w:p>
      <w:pPr>
        <w:ind w:left="91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GREEN THUMB INDUSTRIES INC.</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85"/>
              <w:spacing w:after="0"/>
              <w:rPr>
                <w:sz w:val="20"/>
                <w:szCs w:val="20"/>
                <w:color w:val="auto"/>
              </w:rPr>
            </w:pPr>
            <w:r>
              <w:rPr>
                <w:rFonts w:ascii="Arial" w:cs="Arial" w:eastAsia="Arial" w:hAnsi="Arial"/>
                <w:sz w:val="16"/>
                <w:szCs w:val="16"/>
                <w:b w:val="1"/>
                <w:bCs w:val="1"/>
                <w:color w:val="auto"/>
                <w:w w:val="93"/>
              </w:rPr>
              <w:t>British Columbia</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2833</w:t>
            </w:r>
          </w:p>
        </w:tc>
        <w:tc>
          <w:tcPr>
            <w:tcW w:w="2420" w:type="dxa"/>
            <w:vAlign w:val="bottom"/>
          </w:tcPr>
          <w:p>
            <w:pPr>
              <w:jc w:val="center"/>
              <w:ind w:left="925"/>
              <w:spacing w:after="0"/>
              <w:rPr>
                <w:sz w:val="20"/>
                <w:szCs w:val="20"/>
                <w:color w:val="auto"/>
              </w:rPr>
            </w:pPr>
            <w:r>
              <w:rPr>
                <w:rFonts w:ascii="Arial" w:cs="Arial" w:eastAsia="Arial" w:hAnsi="Arial"/>
                <w:sz w:val="16"/>
                <w:szCs w:val="16"/>
                <w:b w:val="1"/>
                <w:bCs w:val="1"/>
                <w:color w:val="auto"/>
                <w:w w:val="91"/>
              </w:rPr>
              <w:t>98-1437430</w:t>
            </w:r>
          </w:p>
        </w:tc>
      </w:tr>
      <w:tr>
        <w:trPr>
          <w:trHeight w:val="149"/>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325 West Huron Street, Suite 412</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Chicago, Illinois 60654</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(312) 471-6720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Beth Burk</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325 West Huron Street, Suite 412</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Chicago, Illinois 60654</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(312) 471-6720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As soon as practicable after this Registration Statement becomes effective.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4" w:lineRule="exact"/>
        <w:rPr>
          <w:sz w:val="24"/>
          <w:szCs w:val="24"/>
          <w:color w:val="auto"/>
        </w:rPr>
      </w:pPr>
    </w:p>
    <w:p>
      <w:pPr>
        <w:ind w:left="120" w:right="36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ind w:left="120" w:right="4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6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left="120" w:right="10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86" w:lineRule="exact"/>
        <w:rPr>
          <w:sz w:val="24"/>
          <w:szCs w:val="24"/>
          <w:color w:val="auto"/>
        </w:rPr>
      </w:pPr>
    </w:p>
    <w:p>
      <w:pPr>
        <w:ind w:left="120" w:right="44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8"/>
              </w:rPr>
              <w:t>Registered</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Per Share</w:t>
            </w:r>
          </w:p>
        </w:tc>
        <w:tc>
          <w:tcPr>
            <w:tcW w:w="18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Subordinate Voting Shares</w:t>
            </w:r>
          </w:p>
        </w:tc>
        <w:tc>
          <w:tcPr>
            <w:tcW w:w="18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6"/>
                <w:szCs w:val="16"/>
                <w:color w:val="auto"/>
              </w:rPr>
              <w:t>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center"/>
              <w:ind w:lef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based on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112395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ind w:left="120" w:right="20" w:firstLine="440"/>
        <w:spacing w:after="0" w:line="272" w:lineRule="auto"/>
        <w:rPr>
          <w:sz w:val="20"/>
          <w:szCs w:val="20"/>
          <w:color w:val="auto"/>
        </w:rPr>
      </w:pPr>
      <w:r>
        <w:rPr>
          <w:rFonts w:ascii="Arial" w:cs="Arial" w:eastAsia="Arial" w:hAnsi="Arial"/>
          <w:sz w:val="16"/>
          <w:szCs w:val="16"/>
          <w:b w:val="1"/>
          <w:bCs w:val="1"/>
          <w:color w:val="auto"/>
        </w:rPr>
        <w:t>WE HEREBY AMEND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60"/>
        <w:spacing w:after="0" w:line="289" w:lineRule="auto"/>
        <w:rPr>
          <w:sz w:val="20"/>
          <w:szCs w:val="20"/>
          <w:color w:val="auto"/>
        </w:rPr>
      </w:pPr>
      <w:r>
        <w:rPr>
          <w:rFonts w:ascii="Arial" w:cs="Arial" w:eastAsia="Arial" w:hAnsi="Arial"/>
          <w:sz w:val="17"/>
          <w:szCs w:val="17"/>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of these securities is not permitted.</w:t>
      </w:r>
    </w:p>
    <w:p>
      <w:pPr>
        <w:spacing w:after="0" w:line="90"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FF4338"/>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402018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201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GREEN THUMB INDUSTRIES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color w:val="auto"/>
        </w:rPr>
        <w:t>●</w:t>
      </w:r>
      <w:r>
        <w:rPr>
          <w:rFonts w:ascii="Arial" w:cs="Arial" w:eastAsia="Arial" w:hAnsi="Arial"/>
          <w:sz w:val="25"/>
          <w:szCs w:val="25"/>
          <w:b w:val="1"/>
          <w:bCs w:val="1"/>
          <w:color w:val="auto"/>
        </w:rPr>
        <w:t>]</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relates to the offer and sale of $[●] of Subordinate Voting Shares of Green Thumb Industries Inc. This is our initial public offering of securities in the United States. Our Subordinate Voting Shares are listed on the OTCQX Best Market under the symbol “GTBIF.” On [●], 2020, the last reported sale price of our Subordinate Voting Shares on the OTCQX Best Market was $[●] per share. Our Subordinate Voting Shares are also listed on the Canadian Securities Exchange (under the symbol “GTII.” On [●], 2020, the last reported sale price of our Subordinate Voting Shares on the CSE was C$[●] per share.</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may offer and sell these securities to or through one or more underwriters, dealers and agents in Canada on the Canadian Securities Exchange. These securities may also be traded in the United States on the OTCQX Best Market. An amendment to the registration statement of which this prospectus is a part will describe in detail the plan of distribution for the offering of these securities. We will name any underwriters, dealers and agents that are used to sell these securities and describe their compensation in such amendment.</w:t>
      </w:r>
    </w:p>
    <w:p>
      <w:pPr>
        <w:spacing w:after="0" w:line="17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are an emerging growth company under federal securities laws and are subject to reduced public company reporting requirements for this prospectus and our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50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Subordinate Voting Shares involves a high degree of risk. We refer you to the section entitled “</w:t>
      </w:r>
      <w:hyperlink w:anchor="page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color w:val="auto"/>
        </w:rPr>
        <w:t>” on page 4 of this prospectus.</w:t>
      </w:r>
    </w:p>
    <w:p>
      <w:pPr>
        <w:spacing w:after="0" w:line="171"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IMPLICATIONS OF BEING AN EMERGING GROWTH COMPANY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 CONSOLIDATED FINANCIAL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MARKET AND INDUSTRY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SELECTED FINANCIAL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PROPERTIES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DIRECTORS AND EXECUTIVE OFFICERS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SECURITY OWNERSHIP OF CERTAIN BENEFICIAL OWNERS AND 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CERTAIN RELATIONSHIPS AND RELATED TRANSACTIONS, DIRECTOR INDEPENDENCE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LEGAL PROCEEDINGS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MARKET PRICE AND RELATED STOCKHOLDER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MARKET RISK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DESCRIPTION OF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0"/>
        </w:trPr>
        <w:tc>
          <w:tcPr>
            <w:tcW w:w="10640" w:type="dxa"/>
            <w:vAlign w:val="bottom"/>
            <w:gridSpan w:val="4"/>
          </w:tcPr>
          <w:p>
            <w:pPr>
              <w:spacing w:after="0" w:line="190" w:lineRule="exact"/>
              <w:rPr>
                <w:rFonts w:ascii="Arial" w:cs="Arial" w:eastAsia="Arial" w:hAnsi="Arial"/>
                <w:sz w:val="18"/>
                <w:szCs w:val="18"/>
                <w:color w:val="0000EE"/>
              </w:rPr>
            </w:pPr>
            <w:hyperlink w:anchor="page115">
              <w:r>
                <w:rPr>
                  <w:rFonts w:ascii="Arial" w:cs="Arial" w:eastAsia="Arial" w:hAnsi="Arial"/>
                  <w:sz w:val="18"/>
                  <w:szCs w:val="18"/>
                  <w:color w:val="0000EE"/>
                </w:rPr>
                <w:t>MATERIAL DIFFERENCES BETWEEN THE BUSINESS CORPORATIONS ACT (BRITISH COLUMBIA) AND THE DELAWARE</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GENERAL CORPORATION LAW</w:t>
              </w:r>
            </w:hyperlink>
          </w:p>
        </w:tc>
        <w:tc>
          <w:tcPr>
            <w:tcW w:w="7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40" w:type="dxa"/>
            <w:vAlign w:val="bottom"/>
            <w:gridSpan w:val="4"/>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CERTAIN CANADIAN FEDERAL INCOME TAX CONSIDERATIONS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MATERIAL U.S. FEDERAL INCOME TAX CONSEQUENCES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PLAN OF DISTRIBUTION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DISCLOSURE OF SEC POSITION 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30"/>
        </w:trPr>
        <w:tc>
          <w:tcPr>
            <w:tcW w:w="1064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This prospectus is a part of a registration statement on Form S-1 that we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You should read this prospectus together with additional information described under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1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authorized anyone to provide you with information other than that contained in this prospectus. We take no responsibility for, and can provide no assurance as to the reliability of, any other information that others may give to you. The information contained in this prospectus is accurate only as of the date of this prospectus, regardless of the time of delivery of this prospectus.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are offering to sell, and seeking offers to buy, Subordinate Voting Shares only in jurisdictions where offers and sales are permitted. We have not taken any action to permit a public offering of our Subordinate Voting Shares or the possession or distribution of this prospectus in any jurisdiction where action for that purpose is required, other than the United States and Canada. You are required to inform yourselves about and to observe any restrictions relating to this offering and the distribution of this prospectus.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our future performance to differ materially from our assumptions and estimates. See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We own or have rights to trademarks or trade names that we use in connection with the operation of our business.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context otherwise requires, the terms “we,” “us” or “our”” as used in this prospectus refer to Green Thumb Industries Inc. together with its wholly-owned subsidiaries. References to “Bayswater” or “Bayswater Uranium Corporation” refers to Green Thumb Industries Inc. prior to completion of the Transaction (as hereinafter defined).</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prospectus refer to United States dollars, and all references to “C$” refer to Canadian dollars.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as modified by the JOBS Act. As an emerging growth company, we may take advantage of specified reduced disclosure and other exemptions from requirements that are otherwise applicable to public companies that are not emerging growth companies. These provisions include:</w:t>
      </w:r>
    </w:p>
    <w:p>
      <w:pPr>
        <w:spacing w:after="0" w:line="9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Exemptions from non-binding shareholder advisory votes on executive compensation or golden parachute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SEC or if we issue more than $1.0 billion of non-convertible debt over a three-year period.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in the prospectus. This summary is not complete and does not contain all of the information that you should consider before deciding whether to invest in our Subordinate Voting Shares. For a more complete understanding of our company and this offering, we encourage you to read and consider the more detailed information included in this prospectus, including “Risk Factors” and the financial statements and related notes. See “Where You Can Find Additional Information.”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Green Thumb Industries Inc.</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while being committed to community and sustainable profitable growth. As of June 1, 2020, we have operations across 12 U.S. markets, employ approximately 1,700 people and serve hundreds of thousands of patients and customers annually.</w:t>
      </w:r>
    </w:p>
    <w:p>
      <w:pPr>
        <w:spacing w:after="0" w:line="184"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products or wholesale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LLC and are located in Nevada. The Essence stores differ from the Rise stores mainly in geographic location. As of June 1, 2020, we had 45 open and operating retail locations, with state licensed permission to open a total of 96 stores. The Company’s new store opening plans will remain fluid depending on market conditions, obtaining local licensing, construction and other permissions and subject to our capital allocation plans and the evolving situation with respect to the COVID-19</w:t>
      </w:r>
      <w:r>
        <w:rPr>
          <w:rFonts w:ascii="Arial" w:cs="Arial" w:eastAsia="Arial" w:hAnsi="Arial"/>
          <w:sz w:val="16"/>
          <w:szCs w:val="16"/>
          <w:b w:val="1"/>
          <w:bCs w:val="1"/>
          <w:color w:val="auto"/>
        </w:rPr>
        <w:t>.</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60" w:firstLine="426"/>
        <w:spacing w:after="0" w:line="311" w:lineRule="auto"/>
        <w:rPr>
          <w:sz w:val="20"/>
          <w:szCs w:val="20"/>
          <w:color w:val="auto"/>
        </w:rPr>
      </w:pPr>
      <w:r>
        <w:rPr>
          <w:rFonts w:ascii="Arial" w:cs="Arial" w:eastAsia="Arial" w:hAnsi="Arial"/>
          <w:sz w:val="16"/>
          <w:szCs w:val="16"/>
          <w:color w:val="auto"/>
        </w:rPr>
        <w:t xml:space="preserve">We are a British Columbia corporation. Our principal executive offices are located at 325 W. Huron Street, Suite 412, Chicago, Illinois 60654. Our telephone number at this address is (312) 471-6720. Our website address is </w:t>
      </w:r>
      <w:r>
        <w:rPr>
          <w:rFonts w:ascii="Arial" w:cs="Arial" w:eastAsia="Arial" w:hAnsi="Arial"/>
          <w:sz w:val="16"/>
          <w:szCs w:val="16"/>
          <w:u w:val="single" w:color="auto"/>
          <w:color w:val="auto"/>
        </w:rPr>
        <w:t>www.gtigrows.com</w:t>
      </w:r>
      <w:r>
        <w:rPr>
          <w:rFonts w:ascii="Arial" w:cs="Arial" w:eastAsia="Arial" w:hAnsi="Arial"/>
          <w:sz w:val="16"/>
          <w:szCs w:val="16"/>
          <w:color w:val="auto"/>
        </w:rPr>
        <w:t>. The information contained on our website or connected to our website is not incorporated by reference into and should not be considered part of this prospectus.</w:t>
      </w: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535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5356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Amount of securities to be offered:</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of Subordinate Voting Shares</w:t>
      </w:r>
    </w:p>
    <w:p>
      <w:pPr>
        <w:spacing w:after="0" w:line="266"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See “</w:t>
      </w:r>
      <w:r>
        <w:rPr>
          <w:rFonts w:ascii="Arial" w:cs="Arial" w:eastAsia="Arial" w:hAnsi="Arial"/>
          <w:sz w:val="17"/>
          <w:szCs w:val="17"/>
          <w:i w:val="1"/>
          <w:iCs w:val="1"/>
          <w:color w:val="auto"/>
        </w:rPr>
        <w:t>Use of Proceeds</w:t>
      </w:r>
      <w:r>
        <w:rPr>
          <w:rFonts w:ascii="Arial" w:cs="Arial" w:eastAsia="Arial" w:hAnsi="Arial"/>
          <w:sz w:val="17"/>
          <w:szCs w:val="17"/>
          <w:color w:val="auto"/>
        </w:rPr>
        <w:t>” on page [●].</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7980" w:type="dxa"/>
            <w:vAlign w:val="bottom"/>
          </w:tcPr>
          <w:p>
            <w:pPr>
              <w:ind w:left="1180"/>
              <w:spacing w:after="0"/>
              <w:rPr>
                <w:sz w:val="20"/>
                <w:szCs w:val="20"/>
                <w:color w:val="auto"/>
              </w:rPr>
            </w:pPr>
            <w:r>
              <w:rPr>
                <w:rFonts w:ascii="Arial" w:cs="Arial" w:eastAsia="Arial" w:hAnsi="Arial"/>
                <w:sz w:val="18"/>
                <w:szCs w:val="18"/>
                <w:color w:val="auto"/>
              </w:rPr>
              <w:t>We do not expect to pay any dividends on our Subordinate Voting Shares for the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 on page [●].</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You should read the “</w:t>
            </w:r>
            <w:r>
              <w:rPr>
                <w:rFonts w:ascii="Arial" w:cs="Arial" w:eastAsia="Arial" w:hAnsi="Arial"/>
                <w:sz w:val="18"/>
                <w:szCs w:val="18"/>
                <w:i w:val="1"/>
                <w:iCs w:val="1"/>
                <w:color w:val="auto"/>
                <w:w w:val="95"/>
              </w:rPr>
              <w:t>Risk Factors</w:t>
            </w:r>
            <w:r>
              <w:rPr>
                <w:rFonts w:ascii="Arial" w:cs="Arial" w:eastAsia="Arial" w:hAnsi="Arial"/>
                <w:sz w:val="18"/>
                <w:szCs w:val="18"/>
                <w:color w:val="auto"/>
                <w:w w:val="95"/>
              </w:rPr>
              <w:t>” section included in this prospectus beginning on page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 for a discussion of factors to consider carefully before deciding to invest in our</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Subordinate Voting Shares.</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Stock exchange listing:</w:t>
            </w: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Our Subordinate Voting Shares are listed in the United States on the OTCQX Best Market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under the symbol “GTBIF.” Our Subordinate Voting Shares are also listed in Canada on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Canadian Securities Exchange under the symbol “GTII.” See “</w:t>
            </w:r>
            <w:r>
              <w:rPr>
                <w:rFonts w:ascii="Arial" w:cs="Arial" w:eastAsia="Arial" w:hAnsi="Arial"/>
                <w:sz w:val="18"/>
                <w:szCs w:val="18"/>
                <w:i w:val="1"/>
                <w:iCs w:val="1"/>
                <w:color w:val="auto"/>
                <w:w w:val="97"/>
              </w:rPr>
              <w:t>Market Price and Related</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i w:val="1"/>
                <w:iCs w:val="1"/>
                <w:color w:val="auto"/>
              </w:rPr>
              <w:t>Stockholder Matters</w:t>
            </w:r>
            <w:r>
              <w:rPr>
                <w:rFonts w:ascii="Arial" w:cs="Arial" w:eastAsia="Arial" w:hAnsi="Arial"/>
                <w:sz w:val="18"/>
                <w:szCs w:val="18"/>
                <w:color w:val="auto"/>
              </w:rPr>
              <w:t>” on page [●].</w:t>
            </w:r>
          </w:p>
        </w:tc>
      </w:tr>
      <w:tr>
        <w:trPr>
          <w:trHeight w:val="240"/>
        </w:trPr>
        <w:tc>
          <w:tcPr>
            <w:tcW w:w="30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604"/>
        </w:trPr>
        <w:tc>
          <w:tcPr>
            <w:tcW w:w="3040" w:type="dxa"/>
            <w:vAlign w:val="bottom"/>
          </w:tcPr>
          <w:p>
            <w:pPr>
              <w:spacing w:after="0"/>
              <w:rPr>
                <w:sz w:val="24"/>
                <w:szCs w:val="24"/>
                <w:color w:val="auto"/>
              </w:rPr>
            </w:pPr>
          </w:p>
        </w:tc>
        <w:tc>
          <w:tcPr>
            <w:tcW w:w="7980" w:type="dxa"/>
            <w:vAlign w:val="bottom"/>
          </w:tcPr>
          <w:p>
            <w:pPr>
              <w:ind w:left="24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84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484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40" w:firstLine="426"/>
        <w:spacing w:after="0" w:line="269" w:lineRule="auto"/>
        <w:rPr>
          <w:sz w:val="20"/>
          <w:szCs w:val="20"/>
          <w:color w:val="auto"/>
        </w:rPr>
      </w:pPr>
      <w:r>
        <w:rPr>
          <w:rFonts w:ascii="Arial" w:cs="Arial" w:eastAsia="Arial" w:hAnsi="Arial"/>
          <w:sz w:val="17"/>
          <w:szCs w:val="17"/>
          <w:color w:val="auto"/>
        </w:rPr>
        <w:t>The following tables summarize our consolidated financial and other data. We have derived our summary consolidated statements of operations data for the years ended December 31, 2017, 2018 and 2019 from our consolidated financial statements included elsewhere in this prospectus. The summary consolidated statements of operations data presented below for the three months ended March 31, 2020 and 2019 and the selected consolidated balance sheet data as of March 31, 2020 have been derived from our unaudited condensed consolidated financial statements included elsewhere in this prospectus and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are not necessarily indicative of the results that may be expected in the future. You should read the following financial information together with the information under the sections titled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Data</w:t>
      </w:r>
      <w:r>
        <w:rPr>
          <w:rFonts w:ascii="Arial" w:cs="Arial" w:eastAsia="Arial" w:hAnsi="Arial"/>
          <w:sz w:val="17"/>
          <w:szCs w:val="17"/>
          <w:color w:val="auto"/>
        </w:rPr>
        <w:t>,”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consolidated financial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notes included elsewhere in this prospectus.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Quarter Ended 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174"/>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102,603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216,433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16,529</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49,615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15,124</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109,402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34,177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52,987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107,031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28,317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Expenses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45,435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26,419</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134,721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54,657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56,091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(59,116)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(4,250)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7"/>
              </w:rPr>
              <w:t>1,223,014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661,451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9"/>
              </w:rPr>
              <w:t>1,167,537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418,349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86,213</w:t>
            </w:r>
          </w:p>
        </w:tc>
        <w:tc>
          <w:tcPr>
            <w:tcW w:w="2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Long-Term Liabilities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241,958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43,404</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212,961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604"/>
        </w:trPr>
        <w:tc>
          <w:tcPr>
            <w:tcW w:w="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before deciding whether to purchase any of our securities. The risks and uncertainties described below are not the only ones we face. Additional risks and uncertainties not currently known to us, or that we currently view as immaterial, may also impair our business. If any of the risks or uncertainties described below, in our SEC filings or any additional risks and uncertainties actually occur, our business, financial condition, results of operations and cash flow could be materially and adversely affected. In that case, the trading price of our securities could decline and you might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Subordinate Voting Shares.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Our Subordinate Voting Shares may not appreciate in the short term or long term or even maintain the price at which said Subordinate Voting Shares were purchased.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affected by currency fluctuations.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face exposure to significant currency fluctuations because of our present operations in the U.S. Recent events, including the COVID-19 pandemic, have caused turmoil in the global financial markets and have been coupled with increased volatility in the currency markets. All or substantially all of our revenue is earned in U.S. dollars, but a portion of our operating expenses are incurred in Canadian dollars.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voting control is concentrated.</w:t>
      </w:r>
    </w:p>
    <w:p>
      <w:pPr>
        <w:spacing w:after="0" w:line="117"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Chief Financial Officer.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concentrated control could delay, defer or prevent a change of control, arrangement or merger or sale of all or substantially all of our assets that our other shareholders may support. Conversely, this concentrated control could allow the holders of the Super Voting Shares to consummate such a transaction that our other shareholders do not support. In addition, the holders of the Super Voting Shares may make long-term strategic investment decisions and take risks that may not be successful and/or may seriously harm our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a lower trading price for or greater fluctuations in the trading price of our Subordinate Voting Shares, adverse publicity or other adverse consequences.</w:t>
      </w:r>
    </w:p>
    <w:p>
      <w:pPr>
        <w:spacing w:after="0" w:line="273"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If you purchase our Subordinate Voting Shares in this offering, you will incur immediate and substantial dilution in the book value of your shares.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you purchase Subordinate Voting Shares in this offering, you will incur immediate and substantial dilution of $[●] per share after giving effect to the sale by us of [●] Subordinate Voting Shares offered in this offering at the public offering price of $[●] per share, and after deducting underwriting discounts and commissions for shares sold in the public offering and estimated offering expenses payable by us. The exercise of outstanding stock options and warrants may result in further dilution of your investment. See the section titled “</w:t>
      </w:r>
      <w:r>
        <w:rPr>
          <w:rFonts w:ascii="Arial" w:cs="Arial" w:eastAsia="Arial" w:hAnsi="Arial"/>
          <w:sz w:val="18"/>
          <w:szCs w:val="18"/>
          <w:i w:val="1"/>
          <w:iCs w:val="1"/>
          <w:color w:val="auto"/>
        </w:rPr>
        <w:t>Dilution</w:t>
      </w:r>
      <w:r>
        <w:rPr>
          <w:rFonts w:ascii="Arial" w:cs="Arial" w:eastAsia="Arial" w:hAnsi="Arial"/>
          <w:sz w:val="18"/>
          <w:szCs w:val="18"/>
          <w:color w:val="auto"/>
        </w:rPr>
        <w:t>” appearing elsewhere in this prospectus for a more detailed description of the dilution to new investors in the offering.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Additional issuances of Super Voting Shares, Multiple Voting Shares or Subordinate Voting Shares may result in further dilution.</w:t>
      </w:r>
    </w:p>
    <w:p>
      <w:pPr>
        <w:spacing w:after="0" w:line="1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which we refer to as the Board, has discretion to determine the price and the terms of further issuances, and such terms could include rights, preferences and privileges superior to those existing holders of Subordinate Voting Shares. Moreover, we will issue additional Subordinate Voting Shares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our investors will suffer dilution to their voting power and economic interest.</w:t>
      </w:r>
    </w:p>
    <w:p>
      <w:pPr>
        <w:spacing w:after="0" w:line="28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Subordinate Voting Shares by our existing shareholders in the public market may have an adverse effect on the market price of the Subordinate Voting Shares.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or the availability of such securities for sale, could adversely affect the prevailing market prices for the Subordinate Voting Shares. As our Multiple Voting Shares and Super Voting Shares are converted into Subordinate Voting Shares, the potential for sales of substantial numbers of shares of our common stock may increase. A decline in the market prices of the Subordinate Voting Shares could impair our ability to raise additional capital through the sale of securities should it desire to do so.</w:t>
      </w:r>
    </w:p>
    <w:p>
      <w:pPr>
        <w:spacing w:after="0" w:line="16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connection with this offering, we, all of our directors and officers, and certain of our stockholders have entered into lock-up agreements with the underwriter under which they agreed, subject to specific exceptions, not to sell any shares of our common stock for at least 30 days following the date of this offering. In addition, the holders of up to [●] Subordinate Voting Shares are entitled to rights with respect to the registration of their shares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Subordinated Voting Shares. See the section titled “</w:t>
      </w:r>
      <w:r>
        <w:rPr>
          <w:rFonts w:ascii="Arial" w:cs="Arial" w:eastAsia="Arial" w:hAnsi="Arial"/>
          <w:sz w:val="18"/>
          <w:szCs w:val="18"/>
          <w:i w:val="1"/>
          <w:iCs w:val="1"/>
          <w:color w:val="auto"/>
        </w:rPr>
        <w:t>Shares Eligible for</w:t>
      </w:r>
      <w:r>
        <w:rPr>
          <w:rFonts w:ascii="Arial" w:cs="Arial" w:eastAsia="Arial" w:hAnsi="Arial"/>
          <w:sz w:val="18"/>
          <w:szCs w:val="18"/>
          <w:color w:val="auto"/>
        </w:rPr>
        <w:t xml:space="preserve"> </w:t>
      </w:r>
      <w:r>
        <w:rPr>
          <w:rFonts w:ascii="Arial" w:cs="Arial" w:eastAsia="Arial" w:hAnsi="Arial"/>
          <w:sz w:val="18"/>
          <w:szCs w:val="18"/>
          <w:i w:val="1"/>
          <w:iCs w:val="1"/>
          <w:color w:val="auto"/>
        </w:rPr>
        <w:t>Future Sale</w:t>
      </w:r>
      <w:r>
        <w:rPr>
          <w:rFonts w:ascii="Arial" w:cs="Arial" w:eastAsia="Arial" w:hAnsi="Arial"/>
          <w:sz w:val="18"/>
          <w:szCs w:val="18"/>
          <w:color w:val="auto"/>
        </w:rPr>
        <w:t>” appearing elsewhere in this prospectus.</w:t>
      </w:r>
    </w:p>
    <w:p>
      <w:pPr>
        <w:spacing w:after="0" w:line="2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The market price for the Subordinate Voting Shares may be volatile, which may affect the price at which you could sell the Subordinate Voting Shares.</w:t>
      </w:r>
    </w:p>
    <w:p>
      <w:pPr>
        <w:spacing w:after="0" w:line="6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2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our business and operations both domestically and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Subordinate Voting Shares may be materially adversely affected.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liquidity risks.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Our Subordinate Voting Shares currently trade on the Canadian Securities Exchange and on over-the-counter markets in the U.S. We cannot predict at what prices the Subordinate Voting Shares will continue to trade, and an active trading market may not be sustained.</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public company in Canada and the United States.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public company in Canada and the United States, we are subject to the reporting requirements, rules and regulations under the applicable Canadian and American securities laws and rules of stock exchanges on which our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costs of maintaining a public listing.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As a public company, there are costs associated with legal, accounting and other expenses related to regulatory compliance. Securities legislation and the rules and policies of the Canadian Securities Exchange require listed companies to, among other things, adopt corporate governance and related practices, and to continuously prepare and disclose material information, all of which add to a company’s legal and financial compliance costs. We may also elect to devote greater resources on communication and other activities typically considered important by publicly traded companies.</w:t>
      </w:r>
    </w:p>
    <w:p>
      <w:pPr>
        <w:spacing w:after="0" w:line="2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the Subordinate Voting Shares less attractive to investors.</w:t>
      </w:r>
    </w:p>
    <w:p>
      <w:pPr>
        <w:spacing w:after="0" w:line="1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prospectus and periodic reports and proxy statements, and (3) exemptions from the requirements of holding a nonbinding advisory vote on executive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compensation and stockholder approval of any golden parachute payments not previously approved. We could be an emerging growth company for up to five years, although circumstances could cause us to lose that status earlier, including if the market value of the Subordinate Voting Shares held by non-affiliates exceeds $700 million as of June 30, 2020,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June 30, 2020, we would cease to be an emerging growth company immediately. We cannot predict if investors will find the Subordinate Voting Shares less attractive because we may rely on these exemptions. If some investors find the Subordinate Voting Shares less attractive as a result, there may be a less active trading market for the Subordinate Voting Shares, and the stock price may be more volatile.</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2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may not use them effectively.</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additional products or the opening of new locations. Pending their use, we may invest our cash, cash equivalents, and investments, including the net proceeds from this offering, in a manner that does not produce income or that loses value. See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appearing elsewhere in this prospectus.</w:t>
      </w:r>
    </w:p>
    <w:p>
      <w:pPr>
        <w:spacing w:after="0" w:line="28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62"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Certain provisions of our corporate governance under the laws of British Columbia may be disadvantageous to our shareholders and may make our Subordinate Voting Shares less attractive to investors. The material differences between the British Columbia Business Corporations Act, or the BCBCA, as compared to the Delaware General Corporation Law, or the DGCL, are discussed in the “</w:t>
      </w:r>
      <w:r>
        <w:rPr>
          <w:rFonts w:ascii="Arial" w:cs="Arial" w:eastAsia="Arial" w:hAnsi="Arial"/>
          <w:sz w:val="17"/>
          <w:szCs w:val="17"/>
          <w:i w:val="1"/>
          <w:iCs w:val="1"/>
          <w:color w:val="auto"/>
        </w:rPr>
        <w:t>Material Differences Between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 (British Columbia) And the Delaware General Corporation Law</w:t>
      </w:r>
      <w:r>
        <w:rPr>
          <w:rFonts w:ascii="Arial" w:cs="Arial" w:eastAsia="Arial" w:hAnsi="Arial"/>
          <w:sz w:val="17"/>
          <w:szCs w:val="17"/>
          <w:color w:val="auto"/>
        </w:rPr>
        <w:t>” section of this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Marijuana remains illegal under federal law, and enforcement of cannabis laws could change.</w:t>
      </w:r>
    </w:p>
    <w:p>
      <w:pPr>
        <w:spacing w:after="0" w:line="113"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Cannabis is illegal under U.S. federal law</w:t>
      </w:r>
      <w:r>
        <w:rPr>
          <w:rFonts w:ascii="Arial" w:cs="Arial" w:eastAsia="Arial" w:hAnsi="Arial"/>
          <w:sz w:val="17"/>
          <w:szCs w:val="17"/>
          <w:color w:val="auto"/>
        </w:rPr>
        <w:t>. In those states in which the use of cannabis has been legalized, its use remains a violation of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 pursuant to the Controlled Substances Act (21 U.S.C. § 811). The Controlled Substances Act classifies cannabis as a Schedule I controlled substance, and as such, medical and adult 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7"/>
          <w:szCs w:val="17"/>
          <w:b w:val="1"/>
          <w:bCs w:val="1"/>
          <w:color w:val="auto"/>
        </w:rPr>
        <w:t>enforcement of federal law regarding cannabis is a significant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risk </w:t>
      </w:r>
      <w:r>
        <w:rPr>
          <w:rFonts w:ascii="Arial" w:cs="Arial" w:eastAsia="Arial" w:hAnsi="Arial"/>
          <w:sz w:val="17"/>
          <w:szCs w:val="17"/>
          <w:color w:val="auto"/>
        </w:rPr>
        <w:t>and would greatly harm our business, prospects, revenue, results of operation and financial condition.</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activities are, and will continue to be, subject to evolving regulation by governmental authorities. We are directly or indirectly engaged in the medical and adult use cannabis industry in the United States where local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of May 2020, there are 33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Alaska, California, Colorado, Illinois, Maine, Massachusetts, Michigan, Nevada, Oregon, Vermont, Washington and the District of Columbia have legalized cannabis for adult use.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activities in the medical and adult use cannabis industry may be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a memorandum, which we refer to as the Cole Memorandum that then-Deputy Attorney General James Cole sent to all U.S. District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Department of Justice. However, the Department of Justice did not provide (and has not provided since) specific guidelines for what regulatory and enforcement systems would be deemed sufficient under the Cole Memorandum.</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January 4, 2018, former U.S. Attorney General Jeff Sessions formally issued a memorandum, which we refer to as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5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Jeff Sessions resigned as U.S. Attorney General on November 7, 2018. On February 14, 2019, William Barr was confirmed as U.S. Attorney General. It is unclear what impact this development will have on U.S. federal government enforcement policy.</w:t>
      </w:r>
    </w:p>
    <w:p>
      <w:pPr>
        <w:spacing w:after="0" w:line="18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w:t>
      </w:r>
    </w:p>
    <w:p>
      <w:pPr>
        <w:spacing w:after="0" w:line="16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us or third parties and divert the attention of key executives. Such proceedings could also have a material adverse effect on our business, prospects, revenue, results of operation and financial condition, as well as our reputation, even if such proceedings were concluded successfully in our favor. Further, there is no guarantee that draft legislation such as the Strengthening the Tenth Amendment Through Entrusting States Act (S. Bill 3032), which we refer to as the STATES Act, will become law in its current form.</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Since the cultivation, processing, production, distribution and sale of cannabis for any purpose, medical, adult use or otherwise, remain illegal under U.S. federal law, it is possible that we may be forced to cease activities. The U.S. federal government, through, among others, the Department of Justice, its sub-agency the Drug Enforcement Administration and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has the right to actively investigate, audit and shut down cannabis growing facilities, processors and retailers. The U.S. federal government may also attempt to seize our property. Any action taken by the Department of Justice, the Drug Enforcement Administration and/or the IRS to interfere with, seize or shut down our operations will have an adverse effect on our business, prospects, revenue, results of operation and financial condition.</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marijuana related businesses that are operating in compliance with state law, the stated position of the current administration is hostile to legal cannabis. As the recession of the Cole Memorandum and the implementation of the Sessions Memorandum demonstrate, the Department of Justice may at any time issue additional guidance that directs federal prosecutors to devote more resources to prosecuting marijuana related businesses. In the event that the Department of Justice under U.S. Attorney General Barr aggressively pursues financiers or equity owners of cannabis-related businesses, and U.S. Attorneys follow the Department of Justice policies through pursuing prosecutions, then we could face:</w:t>
      </w:r>
    </w:p>
    <w:p>
      <w:pPr>
        <w:spacing w:after="0" w:line="97" w:lineRule="exact"/>
        <w:rPr>
          <w:sz w:val="20"/>
          <w:szCs w:val="20"/>
          <w:color w:val="auto"/>
        </w:rPr>
      </w:pPr>
    </w:p>
    <w:p>
      <w:pPr>
        <w:ind w:left="5540" w:right="3280" w:hanging="4992"/>
        <w:spacing w:after="0" w:line="449" w:lineRule="auto"/>
        <w:tabs>
          <w:tab w:leader="none" w:pos="109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 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Because the Cole Memorandum was rescinded, the Department of Justice under the current administration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our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there can be no assurance as to the position any new administration may take on marijuana, and a new administration could decide to enforce the federal laws strongly. Any enforcement of current federal marijuana laws could cause significant financial damage to us and our shareholders. Further, future presidential administrations may choose to treat marijuana differently and potentially enforce the federal laws more aggressively.</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9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the requisite licenses, permits or cards to continue operating our businesses.</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addition, local laws and ordinances could restrict our business activity. Although our operations are legal under the laws of the states in which we operate, local governments have the ability to limit, restrict and ban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cannabis businesses from operating within their jurisdiction. Land use, zoning, local ordinances and similar laws could be adopted or changed and have a material adverse effect on our business.</w:t>
      </w:r>
    </w:p>
    <w:p>
      <w:pPr>
        <w:spacing w:after="0" w:line="170"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operate in California, Colorado, Connecticut, Florida, Illinois, Maryland, Massachusetts, Nevada, New Jersey, New York, Ohio and Pennsylvania and intend to operate in other states as deemed appropriate by management.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regulatory agencies may require us to post bonds or significant fees.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Currently, we are traded on the Canadian Securities Exchange and on over-the-counter markets in the United States.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 in addition to those described herein.</w:t>
      </w:r>
    </w:p>
    <w:p>
      <w:pPr>
        <w:spacing w:after="0" w:line="17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which we refer to as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with Aequitas NEO Exchange Inc., the Canadian Securities Exchange, the Toronto Stock Exchange and the TSX Venture Exchange. The Memorandum of Understanding outlines the parties’ understanding of Canada’s regulatory framework applicable to the rules, procedures and regulatory oversight of the exchanges and CDS as it relates to issuers with cannabis-related activities in the United States. The Memorandum of Understanding confirms, with respect to the clearing of listed securities, that CDS relies 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Canadian securities exchanges to review the conduct of listed issuers. The Memorandum of Understanding notes that securities regulation requires that the rules of each of the exchanges must not be contrary to the public interest and that the rules of each of the exchanges have been approved by the securities regulators. Pursuant to the Memorandum of Understanding, CDS will not ban accepting deposits of or transactions for clearing and settlement of securities of issuers with cannabis-related activities in the United States. Even though the Memorandum of Understanding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our ability to expand in such states. We employ joint ventures from time to time to ensure continued compliance with the applicable regulatory guidelines. Currently, we have joint ventures with third parties in Connecticut, Illinois, Maryland and Ohio. We structure our joint ventures on a case-by-case basis but generally maintain operational control over the joint venture business and a variable economic interest through the applicable governing documents.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become subject to Food and Drug Administration or Bureau of Alcohol, Tobacco, Firearms and Explosives regulation.</w:t>
      </w:r>
    </w:p>
    <w:p>
      <w:pPr>
        <w:spacing w:after="0" w:line="1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Food and Drug Administration would seek to regulate cannabis under the Food, Drug and Cosmetics Act of 1938. Additionally, the Food and Drug Administration may issue rules and regulations, including good manufacturing practices, related to the growth, cultivation, harvesting, processing and labeling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Food and Drug Administration, it may have an adverse effect on our business, prospects, revenue, results of operation and financial condition.</w:t>
      </w:r>
    </w:p>
    <w:p>
      <w:pPr>
        <w:spacing w:after="0" w:line="181"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2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w:t>
      </w:r>
    </w:p>
    <w:p>
      <w:pPr>
        <w:ind w:left="120" w:right="20" w:hanging="4"/>
        <w:spacing w:after="0" w:line="260"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Uniting and Strengthening America by Providing Appropriate Tools Required to Intercept and Obstruct Terrorism Act of 2001 (which we refer to as the USA Patriot Act), and any related or similar rules, regulations or guidelines,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Although the FinCEN Memorandum remains intact, it is unclear whether the current administration will continue to follow its guidelines.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76"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Secure and Fair Enforcement (SAFE) Banking Act of 2019 (H.R. 1595), which we refer to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acquiring additional financing.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Many courts have denied cannabis businesses bankruptcy protections because the use of cannabis is illegal under federal law. In the event of a bankruptcy, it would be very difficult for lenders to recoup their investments in the cannabis industry. If we were to experience a bankruptcy, there is no guarantee that U.S. federal bankruptcy protections would be available to us, which would have a material adverse effect on us.</w:t>
      </w:r>
    </w:p>
    <w:p>
      <w:pPr>
        <w:spacing w:after="0" w:line="273"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in enforcing our contracts.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limited trademark protection.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will not be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it conducts business. The use of our trademarks outside the states in which we operate by one or more other persons could have a material adverse effect on the value of such trademarks.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17"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prospectus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taxation in Canada and the United States.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and will continue to be a Canadian corporation as of the date of this prospectus.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Code), and are subject to U.S. federal income tax on our worldwide income. As a result, we are subject to taxation both in Canada and the United States, which could have a material adverse effect on our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Dividends received by U.S. shareholders will not be subject to U.S. withholding tax but will be subject to Canadian withholding tax. Dividends paid by us will be characterized as U.S. source income for purposes of the foreign tax credit rules under the Code.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one of our shareholders, subject to examination of the relevant treaty.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Section 280E of the Code,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the event that any of our license agreements, or any proceeds thereof, in the United States were found to be in violation of money laundering legislation or otherwise, such transactions may be viewed as proceeds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crime under one or more of the statutes noted above, or any other applicable legislation. This could have a material adverse effect on us and, among other things, could restrict or otherwise jeopardize our ability to declare or pay dividends, effect other distributions or subsequently repatriate such funds back to Canada.</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exposure to fraudulent or illegal activity.</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As a result, we could face potential penalties and litigation.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 holding company and essentially all of our assets are the capital stock of our subsidiaries in our 12 markets, including California, Colorado, Connecticut, Florida, Illinois, Maryland, Massachusetts, Nevada, New Jersey, New York, Ohio and Pennsylvania. As a result, our investors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8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subject to various SEC reporting and other regulatory requirements. We have incurred and will continue to incur expenses and, to a lesser extent, diversion of our management’s time in our efforts to comply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with Section 404 of the Sarbanes-Oxley Act of 2002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Material acquisitions, dispositions and other strategic transactions involve a number of risks for us, including:</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our ongoing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distraction of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financial leverage;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anticipated benefits and cost savings of those transactions may not be realized or may take longer to realize than anticipated;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scope and complexity of our operations;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or reduction of control over certain of our assets.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Additionally, we may issue additional Subordinate Voting Shares in connection with such transactions, which would dilute a shareholder’s holdings in us.</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2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We may invest in pre-revenue and other revenue-generating cannabis companies which may not be able to meet anticipated revenue targets in the future.</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30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3"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compete for the acquisition of properties suitable for the cultivation, production and sale of medical and adult 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or product availability could impact our ability to fulfill orders and could also disrupt our business due to delays in finding new suppliers.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 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products.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Moreover, these and other new products and services may be subject to significant competition with offerings by new and existing competitors in the industry. In addition, new products and services may pose a variety of challenges and require us to attract additional qualified employees. The failure to successfully develop, manage and market these new products and services could seriously harm our business, prospects, revenue, results of operation and financial condition.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the popularity of consumer acceptance of our brand portfolio.</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ability to generate revenue and be successful in the implementation of our business plan is dependent on consumer acceptance of and demand for our products produced and sold.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is subject to the risks inherent in agricultural operations.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business involves the growing of cannabis, an agricultural product. Our business is subject to the risks inherent in the agricultural business, such as insects, plant diseases and similar agricultural risks that could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deplete the viability of harvested cannabis and our revenue generating abilities. Although our cultivation is substantially completed indoors under climate control, some cultivation is completed outdoors, and there can be no assurance that natural elements will not have a material adverse effect on any future production.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adversely impacted by rising or volatile energy costs.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cannabis growing operations consume considerable energy, which makes it vulnerable to rising energy costs. Accordingly, rising or volatile energy costs may adversely affect our business and our ability to operate profitably.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encounter unknown environmental risks.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operations depend, in part, on how well Green Thumb Industries Inc.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or robbery, the loss of cannabis plants, cannabis oils, cannabis flowers and cultivations and processing equipment, or if there was a failure in information systems, it could adversely affect the our reputation and business continuity.</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Any such theft or privacy breach would have a material adverse effect on our business, prospects, revenue, results of operation and financial condition.</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Such occurrences could result in damage to assets, personal injury or death, environmental damage, delays in operations, monetary losses and possible legal liability.</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 We aim to provide our vendor base with annual projections so that our vendors can better ensure a steady supply of raw materials and packaging. We check in with our vendors at least once quarterly to update them to relevant real time changes in our annual plan. For most important raw materials and packaging, we aim to have both a primary vendor supplier and a secondary vendor supplier to ensure redundancy.</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will fail.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a result of recent and ongoing regulatory and policy changes in the medical and adult 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or other factors could have a material adverse effect on our business, results of operations and financial condition.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an inherent risk of product liability and similar claims.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8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6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Manufacturers, distributors and retailers of products are sometimes subject to the recall or return of their products for a variety of reasons, including product defects, such as contamination, unintended harmful side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Management believes the medical and adult 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4"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 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decline in the price of the Subordinate Voting Shares could affect our ability to raise further working capital and adversely impact our ability to continue operations.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our employees. However,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general economic risks.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operations could be affected by the economic context should the unemployment level, interest rates or inflation reach levels that influence consumer trends and spending and, consequently, impact our sales and profitability.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financial condition, results of operations and cash flow may be negatively impacted by challenging global economic conditions. For example and as discussed in more detail below, in early 2020, the U.S and other world economies have experienced turmoil due to outbreaks of COVID-19, which has resulted in global economic uncertainty.</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recent outbreak of the COVID-19 illness.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recent outbreak of the COVID-19,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priorities during the COVID-19 pandemic are protecting the health and safety of its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is currently considered an essential business by all states in which we operate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w:t>
      </w:r>
    </w:p>
    <w:p>
      <w:pPr>
        <w:spacing w:after="0" w:line="16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prospectus that are not purely historical are “forward-looking statements” within the meaning of Section 27A of the Securities Act. Forward-looking statements are identified by the use of words such as, but not limited to, “anticipate,” “believe,” “continue,” “could,” “estimate,” “prospects,” “forecasts,” “expect,” “intend,” “may,” “will,” “plan,” “target,”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factors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risk factors and cautionary statements described in other documents that we file from time to time with the SEC, specifically under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way of example, and without implied limitation, such risks and uncertainties include:</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our consolidated capital structure and concentrated voting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illegality of marijuana under federal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potential future Food and Drug Administration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risks related material acquisitions, dispositions and other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illness;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general economic risks, such as the unemployment level, interest rates and inflation, and challenging global economic conditions.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320" w:top="459"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The risks and uncertainties described above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contains statistical data and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Because this information involves a number of assumptions and limitations, you are cautioned not to give undue weight to these estimates. The industry in which we operate is subject to a high degree of uncertainty and risk due to a variety of factors, including those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purposes for this offering are to increase our capitalization and financial flexibility.</w:t>
      </w:r>
    </w:p>
    <w:p>
      <w:pPr>
        <w:spacing w:after="0" w:line="22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general market conditions, cash flows from operations and the anticipated growth of our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not declared distributions on Subordinate Voting Shares in the past. We currently intend to reinvest all future earnings to finance the development and growth of our business and team.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There have been no material changes to the Company’s share and loan capitalization on a consolidated basis since March 31, 2020, except that on June 12, 2020, the Company completed the purchase of our Rise Joliet dispensary located at 2903 Colorado Avenue, Joliet, Illinois and a $1.8 million long-term mortgage loan to finance the purchase. The Company had previously leased this property.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2020:</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 pro forma basis, giving effect to the above noted changes, in each case as if such event had occurred on March 31, 2020; and</w:t>
      </w:r>
    </w:p>
    <w:p>
      <w:pPr>
        <w:spacing w:after="0" w:line="142"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adjustments described in the preceding clause and to reflect the issuance and sale of Subordinate Voting Shares in this offering at an assumed offering prices of $[●] per share, after deducting the estimated underwriting discount and estimated offering expenses payable by us.</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capitalization after this offering will be adjusted bases on the actual offering price and other terms of this offering determined at pricing. You should read this table together with the sections titled “</w:t>
      </w:r>
      <w:r>
        <w:rPr>
          <w:rFonts w:ascii="Arial" w:cs="Arial" w:eastAsia="Arial" w:hAnsi="Arial"/>
          <w:sz w:val="16"/>
          <w:szCs w:val="16"/>
          <w:i w:val="1"/>
          <w:iCs w:val="1"/>
          <w:color w:val="auto"/>
        </w:rPr>
        <w:t>Selected Financial Data</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w:t>
      </w:r>
      <w:r>
        <w:rPr>
          <w:rFonts w:ascii="Arial" w:cs="Arial" w:eastAsia="Arial" w:hAnsi="Arial"/>
          <w:sz w:val="16"/>
          <w:szCs w:val="16"/>
          <w:color w:val="auto"/>
        </w:rPr>
        <w:t>” and our audited consolidated and combined financial statements and the related notes included elsewhere in this prospectus.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AS OF MARCH 31, 2020</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71,521,954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Notes payable (including current portion)</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(92,872,957)</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(8,497,000)</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Shareholder’s equity:</w:t>
            </w: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 Voting Shares</w:t>
            </w:r>
          </w:p>
        </w:tc>
        <w:tc>
          <w:tcPr>
            <w:tcW w:w="1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Multiple Voting Shares</w:t>
            </w:r>
          </w:p>
        </w:tc>
        <w:tc>
          <w:tcPr>
            <w:tcW w:w="18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Super Voting Shares</w:t>
            </w:r>
          </w:p>
        </w:tc>
        <w:tc>
          <w:tcPr>
            <w:tcW w:w="1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(990,290,509)</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2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(10,961,061)</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RSUs</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(19,023,129)</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Contributed Deficit (less RSUs and Options)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21,681,460</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Deferred Share Issuances</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(16,587,798)</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164,697,854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(2,322,334)</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(852,805,517)</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Consolidated capitalization</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(882,653,520)</w:t>
            </w: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300" w:type="dxa"/>
            <w:vAlign w:val="bottom"/>
          </w:tcPr>
          <w:p>
            <w:pPr>
              <w:spacing w:after="0"/>
              <w:rPr>
                <w:sz w:val="24"/>
                <w:szCs w:val="24"/>
                <w:color w:val="auto"/>
              </w:rPr>
            </w:pPr>
          </w:p>
        </w:tc>
        <w:tc>
          <w:tcPr>
            <w:tcW w:w="1820" w:type="dxa"/>
            <w:vAlign w:val="bottom"/>
          </w:tcPr>
          <w:p>
            <w:pPr>
              <w:jc w:val="right"/>
              <w:ind w:right="870"/>
              <w:spacing w:after="0"/>
              <w:rPr>
                <w:sz w:val="20"/>
                <w:szCs w:val="20"/>
                <w:color w:val="auto"/>
              </w:rPr>
            </w:pPr>
            <w:r>
              <w:rPr>
                <w:rFonts w:ascii="Arial" w:cs="Arial" w:eastAsia="Arial" w:hAnsi="Arial"/>
                <w:sz w:val="18"/>
                <w:szCs w:val="18"/>
                <w:color w:val="auto"/>
              </w:rPr>
              <w:t>33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Pursuant to the registration statement of which this prospectus is a part, we may offer or sell Subordinate Voting Shares. If you invest in our Subordinate Voting Shares in this offering, your interest in Green Thumb Industries Inc. will be immediately diluted.</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After giving effect to the sale by us of Subordinate Voting Shares in this offering at a price of $[●], and after deducting underwriting discounts and commissions and estimated offering expenses payable by us, our pro forma as adjusted net tangible book value as of March 31, 2020 would have been $[●], or $[●] per share. This represents an immediate increase in pro forma as adjusted net tangible book value of $[●] per share to our existing shareholders and an immediate dilution in pro forma as adjusted net tangible book value of $[●] per share to new investors in this offering. The following table illustrates this dilution on a per share basis: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2020</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attributed to this offering</w:t>
            </w:r>
          </w:p>
        </w:tc>
        <w:tc>
          <w:tcPr>
            <w:tcW w:w="1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8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Dilution to new investors in this offering</w:t>
            </w: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372"/>
        </w:trPr>
        <w:tc>
          <w:tcPr>
            <w:tcW w:w="7700" w:type="dxa"/>
            <w:vAlign w:val="bottom"/>
          </w:tcPr>
          <w:p>
            <w:pPr>
              <w:ind w:left="5420"/>
              <w:spacing w:after="0"/>
              <w:rPr>
                <w:sz w:val="20"/>
                <w:szCs w:val="20"/>
                <w:color w:val="auto"/>
              </w:rPr>
            </w:pPr>
            <w:r>
              <w:rPr>
                <w:rFonts w:ascii="Arial" w:cs="Arial" w:eastAsia="Arial" w:hAnsi="Arial"/>
                <w:sz w:val="18"/>
                <w:szCs w:val="18"/>
                <w:color w:val="auto"/>
              </w:rPr>
              <w:t>34</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selected consolidated and combined financial data for the periods, and as of the dates, indicated. The</w:t>
      </w:r>
    </w:p>
    <w:p>
      <w:pPr>
        <w:spacing w:after="0" w:line="35" w:lineRule="exact"/>
        <w:rPr>
          <w:sz w:val="20"/>
          <w:szCs w:val="20"/>
          <w:color w:val="auto"/>
        </w:rPr>
      </w:pPr>
    </w:p>
    <w:p>
      <w:pPr>
        <w:ind w:left="120" w:hanging="4"/>
        <w:spacing w:after="0" w:line="277"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consolidated and combined statements of operations data for the years ended December 31, 2019, 2018 and 2017 and (ii) consolidated and combined balance sheet data as of December 31, 2019, 2018 and 2017 have been derived from the audited consolidated and combined financial statements of Green Thumb Industries Inc. and its subsidiaries, which are included elsewhere in this prospectus.</w:t>
      </w:r>
    </w:p>
    <w:p>
      <w:pPr>
        <w:spacing w:after="0" w:line="173"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data set forth below should be read in conjunction with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and the Consolidated and Combined Financial Statements, the Unaudited Pro Forma Condensed Combined Financial Statements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accompanying notes presented in this prospectus. Our Consolidated and Combined Financial Statements and Unaudited Pro Forma Condensed Combined Financial Statements have been prepared in accordance with GAAP and on a going-concern basis that contemplates continuity of operations and realization of assets and liquidation of liabilities in the ordinary course of business.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8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8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4"/>
                <w:szCs w:val="4"/>
                <w:color w:val="auto"/>
              </w:rPr>
            </w:pPr>
          </w:p>
        </w:tc>
        <w:tc>
          <w:tcPr>
            <w:tcW w:w="10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4"/>
                <w:szCs w:val="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216,433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62,494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16,529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Cost of Goods Sold</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49,615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109,402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34,177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107,031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28,317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 Expenses</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45,435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134,721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54,657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11,491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(22,512)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56,091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(59,116)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(5,244)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1,223,014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9"/>
              </w:rPr>
              <w:t>1,167,537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2"/>
              </w:rPr>
              <w:t>418,349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86,213</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Long-Term Liabilities</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241,958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212,961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28,310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350"/>
        </w:trPr>
        <w:tc>
          <w:tcPr>
            <w:tcW w:w="388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Consolidated and Combined Financial Statements, the Unaudited Pro Forma Condensed Combined Financial Statements and the accompanying notes presented in this prospectus. In addition to historical information, the discussion in this section contains forward-looking statements that involve risks and uncertainties. Future results could differ materially from those discussed below for many reasons, including the risks described in “Cautionary Note Regarding Forward-Looking Statements,” “Risk Factors” and elsewhere in this prospectus.</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management discussion and analysis, which we refer to as the MD&amp;A, of the financial condition and results of operations of Green Thumb Industries Inc. is for the years ended December 31, 2019, 2018 and 2017 and for the three months ended March 31, 2020. It is supplemental to, and should be read in conjunction with, our consolidated financial statements for the years ended December 31, 2019 and 2018, the combined financial statements for the year ended December 31, 2017 and the accompanying notes for each respective period. Our financial statements are prepared in accordance with accounting principles generally accepted in the United States of America, which we refer to as GAAP. Financial information presented in this MD&amp;A is presented in United States dollars (“</w:t>
      </w:r>
      <w:r>
        <w:rPr>
          <w:rFonts w:ascii="Arial" w:cs="Arial" w:eastAsia="Arial" w:hAnsi="Arial"/>
          <w:sz w:val="17"/>
          <w:szCs w:val="17"/>
          <w:b w:val="1"/>
          <w:bCs w:val="1"/>
          <w:color w:val="auto"/>
        </w:rPr>
        <w:t>$</w:t>
      </w:r>
      <w:r>
        <w:rPr>
          <w:rFonts w:ascii="Arial" w:cs="Arial" w:eastAsia="Arial" w:hAnsi="Arial"/>
          <w:sz w:val="17"/>
          <w:szCs w:val="17"/>
          <w:color w:val="auto"/>
        </w:rPr>
        <w:t>” or “</w:t>
      </w:r>
      <w:r>
        <w:rPr>
          <w:rFonts w:ascii="Arial" w:cs="Arial" w:eastAsia="Arial" w:hAnsi="Arial"/>
          <w:sz w:val="17"/>
          <w:szCs w:val="17"/>
          <w:b w:val="1"/>
          <w:bCs w:val="1"/>
          <w:color w:val="auto"/>
        </w:rPr>
        <w:t>US$</w:t>
      </w:r>
      <w:r>
        <w:rPr>
          <w:rFonts w:ascii="Arial" w:cs="Arial" w:eastAsia="Arial" w:hAnsi="Arial"/>
          <w:sz w:val="17"/>
          <w:szCs w:val="17"/>
          <w:color w:val="auto"/>
        </w:rPr>
        <w:t>”), unless otherwise indicated.</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our actual results may differ materially from those anticipated in these forward-looking statements and information.</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while being committed to community and sustainable profitable growth. As of June 1, 2020, we have operations across 12 U.S. markets, employ approximately 1,700 people and serve hundreds of thousands of patients and customers annually.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consumer packaged goods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LLC and are located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Nevada. The Essence stores differ from the Rise stores mainly in geographic location. As of June 1, 2020, we had 45 open and operating retail locations, with state licensed permission to open a total of 96 stores. Our new store opening plans will remain fluid, depending on market conditions, obtaining local licensing, construction and other permissions and subject to our capital allocation plans and the evolving situation with respect to COVID-19.</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jc w:val="both"/>
        <w:ind w:left="120" w:right="620" w:firstLine="440"/>
        <w:spacing w:after="0" w:line="342" w:lineRule="auto"/>
        <w:rPr>
          <w:sz w:val="20"/>
          <w:szCs w:val="20"/>
          <w:color w:val="auto"/>
        </w:rPr>
      </w:pPr>
      <w:r>
        <w:rPr>
          <w:rFonts w:ascii="Arial" w:cs="Arial" w:eastAsia="Arial" w:hAnsi="Arial"/>
          <w:sz w:val="16"/>
          <w:szCs w:val="16"/>
          <w:color w:val="auto"/>
        </w:rPr>
        <w:t>We have consolidated financial statements across our operating businesses with revenue in our 12 markets from the manufacture, sale and distribution of branded cannabis products to third-party retail customers as well as the sale of finished products to consumers in our retail stores.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Revenue for the three months ended March 31, 2020 was $102,602,602, up 268% from $27,913,163 for the three months ended March 31, 2019 driven by contribution from both Consumer Packaged Goods and Retail sales across Illinois, Nevada, Pennsylvania, Massachusetts and Connecticut. Key performance drivers are: the addition of adult use sales in Illinois; the addition of the Essence stores in Nevada; increased distribution of Green Thumb’s branded product portfolio to third-party retailers in Illinois, Nevada, Pennsylvania, Massachusetts, and Connecticut; new stores in Pennsylvania, Florida, Illinois, Connecticut, Ohio, New Jersey and New York; and increased store traffic to Green Thumb’s open and operating brick and mortar Retail stores. The Company generated revenue from 42 Retail locations during the quarter compared to 15 in the prior year. The following stores were acquired in 2019 and contributed to the increase in Retail revenues: three Essence stores in Nevada, one Illinois store, two Connecticut stores and three New York stores. In addition, 18 new Retail locations were opened in Pennsylvania, Florida, Illinois, Ohio and New Jersey. The key drivers for the Consumer Packaged Goods revenue increase was the addition of two acquired locations from Integral Associates in Nevada and Advanced Grow Labs in Connecticut along with expansion at the Company’s existing Consumer Packaged Goods cultivation and processing facilities in Illinois, Pennsylvania and Massachusetts.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Cost of goods sold are derived from cost related to the internal cultivation and our branded Consumer Packaged Goods and production of cannabis and from retail purchases made from other licensed producers operating within our state markets. Cost of goods sold for the three months ended March 31, 2020 was $49,615,188, up 228% from $15,123,942 for the three months ended March 31, 2019, driven by the addition new Retail stores in Illinois and Pennsylvania and increased volume in open and operating Retail stores; and expansion of the consumer products sales in Illinois, Nevada, Pennsylvania, Massachusetts, and Connecticut as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Gross profit for the three months ended March 31, 2020 was $52,987,414, representing a gross margin on the sale of branded cannabis flower and processed and packaged products including concentrates, edibles, topicals and other cannabis products, of 52%. This is compared to gross profit for the three months ended March 31, 2019 of $12,789,221 or a 46% gross margin. The Company’s increase in gross margin percentage was mainly attributed to improved margins in Retail as well as operating leverage experienced at the Company’s Consumer Packaged Goods cultivation and processing facilities. The increase in gross profit was directly attributable to the revenue increase as further described above.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Total expenses for the three months ended March 31, 2020 were $45,434,757 or 44% of total revenues, net of discounts, an increase of $19,015,876. Total expenses for the three months ended March 31, 2019 were $26,418,881 or 95% of total revenues, net of discounts.</w:t>
      </w:r>
    </w:p>
    <w:p>
      <w:pPr>
        <w:spacing w:after="0" w:line="12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increase in total expenses was attributable to an increase in intangible amortization expense, and Retail and corporate staff salaries and benefits in addition to other operational expenses mainly as a result of the Company’s new and acquired Retail facilities further described above under “Revenue” as compared to last year. The decrease in expenses as a percent of revenue was attributable to measures deployed to control variable expenses as well as inherent operating leverage caused by the significant increase in revenue.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Total other income (expense) for three months ended March 31, 2020 was $1,832,783, a decrease of $3,328,822 compared to 2019, mainly due to interest expense in the current year as a result of the May 2019 debt issuance.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March 31, 2020, Federal and State income tax expense totaled $13,149,000 compared to expenses of $1,236,000 for the three months ended March 31, 2019.</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effective tax rate for the three months ended March 31, 2020 varies widely primarily due to the change in pre-tax loss in 2019 to pre-tax income in 2020. The large amount of nondeductible expenses incurred by the Company being subjected to IRC Section 280E, was the driver for income tax expense being incurred in a pre-tax loss quarter for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Operations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Net operating income before other income, provision for income taxes and non-controlling interest for three months ended March 31, 2020 was $9,385,440 an increase of $17,853,495 compared to the three months ended March 31, 2019.</w:t>
      </w:r>
    </w:p>
    <w:p>
      <w:pPr>
        <w:spacing w:after="0" w:line="170"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As presented under the heading “</w:t>
      </w:r>
      <w:r>
        <w:rPr>
          <w:rFonts w:ascii="Arial" w:cs="Arial" w:eastAsia="Arial" w:hAnsi="Arial"/>
          <w:sz w:val="16"/>
          <w:szCs w:val="16"/>
          <w:i w:val="1"/>
          <w:iCs w:val="1"/>
          <w:color w:val="auto"/>
        </w:rPr>
        <w:t>Non-GAAP Measures</w:t>
      </w:r>
      <w:r>
        <w:rPr>
          <w:rFonts w:ascii="Arial" w:cs="Arial" w:eastAsia="Arial" w:hAnsi="Arial"/>
          <w:sz w:val="16"/>
          <w:szCs w:val="16"/>
          <w:color w:val="auto"/>
        </w:rPr>
        <w:t>” below earnings before interest, taxes, depreciation, and amortization, as adjusted for non-cash equity incentive compensation, as well as other nonoperating items, such as other income, and one-time transaction related expenses (which we refer to as Adjusted Operating EBITDA) was $25,544,924 and ($2,116,045) for the three months ended March 31, 2020 and 2019, respectively.</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increase in pretax income and Adjusted Operating EBITDA was attributed to contributions from new and acquired locations along with the Company’s focus on sustainable growth while deploying measures to control variable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Revenue for the year ended December 31, 2019 was $216,432,605, up 246% from $62,493,680 for the year ended December 31, 2018 driven by contribution from both consumer packaged goods and retail sales across all 12 markets (California, Colorado, Connecticut, Florida, Illinois, Maryland, Massachusetts, Nevada, New Jersey,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New York, Ohio and Pennsylvania). Key performance drivers are: distribution expansion of Green Thumb’s branded product portfolio primarily in Illinois, Massachusetts and Pennsylvania; new store openings and increased store traffic to Green Thumb’s open and operating retail stores, particularly in Florida, Illinois, Massachusetts and Pennsylvania; and the addition of revenue from the acquisition of Connecticut- based AGL and Nevada-based Integral Associates.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Cost of goods sold for the year ended December 31, 2019 was $109,401,914, up 220% from $34,177,259 for the year ended December 31, 2018, driven by growth from both Consumer Packaged Goods and Retail sales across all 12 markets (California, Colorado, Connecticut, Florida, Illinois, Maryland, Massachusetts, Nevada, New Jersey, New York, Ohio and Pennsylvania).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Gross profit for the year ended December 31, 2019 was $107,030,691, representing a gross margin on the sale of finished cannabis consumer packaged goods of 49%. This is compared to gross profit for the year ended December 31, 2018 of $28,316,421 or a 45% gross margin driven by increased harvested cannabis and consumer packaged goods shipments, along with incremental contribution from increased volume from Retail sales.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the year ended December 31, 2019 were $134,621,393 or 62% of Total Revenues, net of discounts, an increase of $79,964,814.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expenses for the year ended December 31, 2018 were $54,656,579 or 87% of Total Revenues, net of discounts.</w:t>
      </w:r>
    </w:p>
    <w:p>
      <w:pPr>
        <w:spacing w:after="0" w:line="21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$18,285,377, an increase of $6,137,126 compared to the year ended December 31, 2018. Salaries and benefits also contributed to the increase as a result of new headcount from the Company’s Retail facilities in Florida, Illinois, Nevada, Maryland, Massachusetts and Pennsylvania, along with corporate staff development.</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Additionally, the Company had professional fees of $17,714,193 which represented an increase of $7,025,063 over the 2018 amount of $10,689,130, primarily driven by acquisition related support, and other regulatory and growth-related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other expense for the year ended December 31, 2019 was ($22,512,135), compared to income of $56,091,532 for the year ended December 31, 2018, mainly due to a favorable adjustment to the fair values of the Company’s investments recorded in 2018, as further described in the Liquidity, Financing Activities During the Period, and Capital Resources 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the year ended December 31, 2019, federal and state income tax expense totaled $9,344,033 compared to $7,183,595 for the year ended December 31, 2018. The net expense of $9,344,033 for the year ended December 31, 2019 includes current tax expense of $22,760,946 and deferred tax benefit of $13,416,913 in the current period. The deferred tax benefit is mainly driven by changes in the fair value of investments and amortization of intangibles.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Operations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operating loss before provision for income taxes and non-controlling interest for the year ended December 31, 2019 was ($50,202,837) compared to income of $29,751,374 for the year ended December 31, 2018. As presented in the Non-GAAP section, after adjusting for non-cash equity incentive compensation of $18,285,377 as described above, as well as other non-operating items, Adjusted Operating EBITDA was $27,762,114 and ($9,007,926) for the year ended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Revenue for the year ended December 31, 2018 was $62,493,680, up 278% from $16,528,779 for the year ended December 31, 2017 due to revenue contribution from Consumer Packaged Goods and Retail sales across Illinois, Maryland, Massachusetts, Nevada and Pennsylvania. Year over year Consumer Packaged Goods growth is driven by expanded distribution to third-party retail customers of our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Year ended December 31, 2018 cost of goods sold of $34,177,259 was up $24,369,484 or 248% compared to year ended December 31, 2017, driven by expanded production of consumer packaged goods in new markets Maryland and Pennsylvania, as well as material increases from retail sales driven by new store openings and increases in daily transactions across Illinois, Maryland, Massachusetts, Nevada and Pennsylvania.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Gross profit for the year ended December 31, 2018 was $28,316,421, representing a gross margin on the sale of branded cannabis flower and processed and packaged products including concentrates, edibles, topicals and other cannabis products, of 45%. This is compared to gross profit for the year ended December 31, 2017 of $6,721,004 or a 41% gross margin. The increase in gross margin percentage in 2018 was primarily driven by an increase in Retail sales and additional Retail store openings during 2018 where margins, on average, are higher than margins achieved from our Consumer Packaged Goods business. Thus, increasing the mix of retail revenues to wholesale revenues will have the effect of increasing our gross margin percentage.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year ended December 31, 2018 were $54,656,579, an increase of $43,165,807, compared to year ended December 31, 2017.</w:t>
      </w:r>
    </w:p>
    <w:p>
      <w:pPr>
        <w:spacing w:after="0" w:line="24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Increase in total expenses was attributable to an increase in general and administrative expenses, mainly due to non-cash charges related to equity incentive compensation of $12,148,251, which is all incremental compared to the prior year. Salaries and benefits also contributed to the increase as a result of new headcount from our Retail facilities in Illinois, Nevada, Maryland and Pennsylvania along with corporate staff development.</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Additionally, we had professional fees of $10,689,130, which represented an increase of $7,171,238 over the 2017 amount of $3,517,892 due to the reverse takeover transaction, acquisition related support, and other regulatory and growth related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 xml:space="preserve">Total other income for year ended December 31, 2018 was $56,091,532, an increase of $55,979,581 compared to 2017, due to the iAnthus Warrants and other investments recorded at fair value, as further described in the </w:t>
      </w:r>
      <w:r>
        <w:rPr>
          <w:rFonts w:ascii="Arial" w:cs="Arial" w:eastAsia="Arial" w:hAnsi="Arial"/>
          <w:sz w:val="18"/>
          <w:szCs w:val="18"/>
          <w:i w:val="1"/>
          <w:iCs w:val="1"/>
          <w:color w:val="auto"/>
        </w:rPr>
        <w:t>Liquidity, Financing Activities During the Period,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year ended December 31, 2018, Federal and State income tax expense totaled $7,183,595 compared to $214,000 provision for income taxes for the year ended December 31, 2017. Deferred tax expense of $4,061,000 is included in the $7,183,595 for the current period. This expense is driven by the fair value of Warrants and investments, partially offset by deferred tax benefit related to net operating losses and stock-based compensation.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Operations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Net operating income before provision for income taxes and non-controlling interest for year ended December 31, 2018 was $29,751,374, compared to a loss of ($4,657,817) for the year ended December 31, 2017. This increase in net operating income was driven by the fair value of the iAnthus Warrants and other investments recorded at fair value, partially offset by equity incentive compensation as described above, in addition to start-up costs for new markets this year.</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presented in the Non-GAAP section, after adjusting for non-cash equity incentive compensation of $12,148,251 as described above, Adjusted Operating EBITDA was ($9,007,926) and ($4,079,780) for the years ended December 31,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Revenue for the year ended December 31, 2017 was $16,528,779, due to revenue contribution from Consumer Packaged Goods in Illinois and Retail sales across Illinois and Nevada. Year over year consumer packaged goods growth is driven by expanded distribution to third-party retail customers of our branded product portfolio including Rythm, The Feel Collection and Dogwalkers. Retail sales growth is driven by increased foot traffic in Illinois and Nevada retail stores and incremental revenue from two Illinois stores which were acquired in October 2017.</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Year ended December 31, 2017 cost of goods sold of $9,807,775 was driven by expanded production of consumer packaged goods in Illinois, as well as increases from retail sales driven by increases in daily transactions in Illinois and Nevada.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Gross profit for the year ended December 31, 2017 was $6,721,004, representing a gross margin on the sale of branded cannabis flower and processed and packaged products including concentrates, edibles, topicals and other cannabis products, of 41%.</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expenses for year ended December 31, 2017 were $11,490,772.</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Increase in total expenses was attributable to an increase in general and administrative expenses driven by salaries and benefits as a result of new headcount from our Retail facilities in Illinois and Nevada, along with corporate staff development and professional fees related to growth related activities.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2017, Federal and State income tax expense totaled $214,000.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from Operations</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Net operating loss before provision for income taxes and non-controlling interest for the year ended December 31, 2017 was $4,657,817. The increase in net loss attributable to us was driven by start-up costs for upcoming new markets along with growth related professional fees.</w:t>
      </w:r>
    </w:p>
    <w:p>
      <w:pPr>
        <w:spacing w:after="0" w:line="12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presented in the Non-GAAP section, after adjusting for non-operating items, Adjusted Operating EBITDA was ($4,079,780) for the years ended December 31, 2017.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derive our revenue from two revenue streams: a Consumer Packaged Goods business in which it manufactures, sells and distributes our portfolio of finished consumer packaged goods, including brands Rythm, Dogwalkers, The Feel Collection and Beboe, among others, primarily to third-party retail customers; and a Retail business in which sells finished goods sourced primarily from third-party cannabis manufacturers in addition to our own Consumer Packaged Goods products direct to the end consumer in its brick and mortar retail stores, as well as direct-to-consumer delivery where applicable by state law.</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months ended March 31, 2020 and for the year ended December 31, 2019, revenue was contributed from Consumer Packaged Goods and Retail sales across California, Colorado, Connecticut, Florida, Illinois, Maryland, Massachusetts, Nevada, New Jersey, New York, Ohio and Pennsylvania.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Over the three months ended March 31, 2020, we continued to be focused on executing sustainable, profitable growth of our base business while pursuing expansion. We expect to continue its growth strategy for the foreseeable future as we expand our Consumer Packaged Goods and Retail footprint within our current markets.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our ongoing business.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Selling costs generally correlate to revenue. As a percentage of sales, we expect selling costs to remain relatively flat in the more established operational markets (Connecticut, Illinois, Maryland, Massachusetts, Nevada and Pennsylvania) and increase in the up and coming markets as business continues to grow (Florida, New Jersey, New York and Ohio). The increase is expected to be driven primarily by the growth of our Retail channels and the ramp up from pre-revenue to sustainable market share.</w:t>
      </w:r>
    </w:p>
    <w:p>
      <w:pPr>
        <w:spacing w:after="0" w:line="18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corporate offices, primarily related to personnel costs, including salaries, incentive compensation, benefits, stock-based compensation and other professional service costs. We expect to continue to invest considerably in this area to support aggressive expansion plans and to support the business by attracting and retaining top-tier talent. Furthermore, we expect to continue to incur acquisition and transaction costs related to these expansion plans and anticipates an increase in stock compensation expenses related to recruiting and hiring talent, along with legal and professional fees associated with being a publicly traded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subject to income taxes in the jurisdictions in which it operates and, consequently, income tax expense is a function of the allocation of taxable income by jurisdiction and the various activities that impact the timing of taxable events. As we operate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Earnings before interest, tax, depreciation and amortization, commonly referred to as EBITDA, and Adjusted Operating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We have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right"/>
              <w:ind w:right="101"/>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(3,764)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(59,447)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8"/>
              </w:rPr>
              <w:t>22,568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13,659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2,279</w:t>
            </w:r>
          </w:p>
        </w:tc>
        <w:tc>
          <w:tcPr>
            <w:tcW w:w="8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13,149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7,184</w:t>
            </w:r>
          </w:p>
        </w:tc>
        <w:tc>
          <w:tcPr>
            <w:tcW w:w="840" w:type="dxa"/>
            <w:vAlign w:val="bottom"/>
            <w:gridSpan w:val="3"/>
          </w:tcPr>
          <w:p>
            <w:pPr>
              <w:jc w:val="right"/>
              <w:ind w:right="2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(6,786)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(56,417)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12,706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31,153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5,184</w:t>
            </w:r>
          </w:p>
        </w:tc>
        <w:tc>
          <w:tcPr>
            <w:tcW w:w="840" w:type="dxa"/>
            <w:vAlign w:val="bottom"/>
            <w:gridSpan w:val="3"/>
          </w:tcPr>
          <w:p>
            <w:pPr>
              <w:jc w:val="right"/>
              <w:ind w:right="2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(non-GAAP measure)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20,258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89"/>
              </w:rPr>
              <w:t>(21,155)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non-cash</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EBITDA(non-GAAP measure)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25,545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27,762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(4,080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March 31, 2020, December 31, 2019, December 31, 2018, and December 31, 2017, we had total current liabilities of $128,250,270;</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$111,367,255, $47,851,639, and $14,280,657, respectively, and cash and cash equivalents of $71,521,954, $46,667,334, $145,986, and $29,565,497,</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respectively to meet its current obligations. As of March 31, 2020, we had working capital of $12,565,876, up $14,870,520 as compared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driven primarily by the $26,800,844 increase in revenue experienced in the first quarter of 2020 over the fourth quarter of 2019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corresponding working capital impact from this increase.</w:t>
      </w:r>
    </w:p>
    <w:p>
      <w:pPr>
        <w:spacing w:after="0" w:line="21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three months ended March 31, 2020, we generated revenue from all 12 of its markets: California, Colorado, Connecticut, Florida, Illinois, Maryland, Massachusetts, Nevada, New Jersey, New York, Ohio and Pennsylvania. Our Consumer Packaged Goods gross revenue grew approximately 21% (net 13%) during the three months ended March 31, 2020. As of March 31, 2020, our branded products were sold in over 700 retail stores, including our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Our Retail revenue increased 45% during the three months ended March 31, 2020, primarily driven by increased transaction activity across the Company’s 42 store Retail footprint, as well as the two new retail stores we opened in Illinois and the one new retail store it opened in Pennsylvania.</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an early-stage growth company. We are generating cash from sales and are deploying our capital reserves to acquire and develop assets capable of producing additional revenues and earnings over both the immediate and near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While our revenue, gross profit and operating income were not materially impacted by COVID-19 and we maintained the consistency of our operations during the three months ended March 31, 2020, the uncertain nature of the spread of COVID-19 may impact our business operations for reasons including the potential quarantine of our employees or those of our supply chain partners. We take a cautious approach in allocating its capital to maximize its returns while ensuring appropriate liquidity. Given the current uncertainty of the future economic environment, we have taken additional measures in monitoring and deploying its capital to minimize the negative impact on its current operations and expansion plans.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(Used in) Operating, Investing and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provided by, (used in) operating, investing, and financing activities for the three months ended March 31, 2020 and the years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2018 and 2017,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Years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$ 27,048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18,014)</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17,683)</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4,289)</w:t>
            </w: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(1,447)</w:t>
            </w:r>
          </w:p>
        </w:tc>
        <w:tc>
          <w:tcPr>
            <w:tcW w:w="1520" w:type="dxa"/>
            <w:vAlign w:val="bottom"/>
            <w:gridSpan w:val="3"/>
          </w:tcPr>
          <w:p>
            <w:pPr>
              <w:jc w:val="right"/>
              <w:ind w:right="368"/>
              <w:spacing w:after="0"/>
              <w:rPr>
                <w:sz w:val="20"/>
                <w:szCs w:val="20"/>
                <w:color w:val="auto"/>
              </w:rPr>
            </w:pPr>
            <w:r>
              <w:rPr>
                <w:rFonts w:ascii="Arial" w:cs="Arial" w:eastAsia="Arial" w:hAnsi="Arial"/>
                <w:sz w:val="18"/>
                <w:szCs w:val="18"/>
                <w:color w:val="auto"/>
              </w:rPr>
              <w:t>(174,671)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(111,421)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(26,025)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152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93,366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245,525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46,924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the Company’s future contractual obligations as of March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9"/>
              </w:rPr>
              <w:t>Thereafter</w:t>
            </w:r>
          </w:p>
        </w:tc>
        <w:tc>
          <w:tcPr>
            <w:tcW w:w="60" w:type="dxa"/>
            <w:vAlign w:val="bottom"/>
          </w:tcPr>
          <w:p>
            <w:pPr>
              <w:spacing w:after="0"/>
              <w:rPr>
                <w:sz w:val="12"/>
                <w:szCs w:val="12"/>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Notes Payable(a)</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105,466,429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105,466,429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Charitable Contributions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911,723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182,926</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186,928</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191,018</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194,144</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156,707</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Due on Notes Payable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27,149,659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9,500,647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12,655,971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4,993,041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Operating Leases—Third Party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270,600,973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12,039,451</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20,432,259</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20,053,541</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20,030,831</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18,980,307</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179,064,584</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Leases—Related Parties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18,332,456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1,048,267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1,424,851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1,458,247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1,492,437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1,384,035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11,524,619</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Contingent Consideration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50,344,502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41,581,975</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8,762,527</w:t>
            </w:r>
          </w:p>
        </w:tc>
        <w:tc>
          <w:tcPr>
            <w:tcW w:w="14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Commitments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5,131,995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5,131,995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56"/>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Total as of March 31, 2020</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477,937,737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69,485,261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43,462,538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132,162,275</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21,717,412</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20,521,049</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190,589,203</w:t>
            </w:r>
          </w:p>
        </w:tc>
        <w:tc>
          <w:tcPr>
            <w:tcW w:w="6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 excludes $13,505,195 of unamortized debt discount as of March 31, 2020.</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of the date of this prospectus, we do not have any off-balance-sheet arrangements, as defined by applicable regulations of the SEC, that have, or are reasonably likely to have, a current or future effect on the results of our operations or financial condition,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Pending and Subsequent Transactions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May 22, 2019, we closed a $105 million senior secured non-brokered private placement financing through the issuance of three-year senior secured notes, which we refer to as the Notes, pursuant to a note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purchase agreement, which we refer to as the Note Purchase Agreement. On May 21, 2020, we exercised our option to extend the term of the Notes by one year to May 22, 2023. Pursuant to the terms of the Note Purchase Agreement, also on May 21, 2020, the purchasers of the Notes received additional warrants to purchase 84,924 Subordinate Voting Shares at an exercise price of C$14.03 per share, which can be exercised for 60 months from the date of issuance.</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June 12, 2020 we closed on the purchase of our Rise Joliet dispensary located at 2903 Colorado Avenue, Joliet, Illinois, which we previously rented from Mosaic Real Estate Joliet, LLC and a $1.8 million long-term mortgage loan to finance the purchase. See “</w:t>
      </w:r>
      <w:r>
        <w:rPr>
          <w:rFonts w:ascii="Arial" w:cs="Arial" w:eastAsia="Arial" w:hAnsi="Arial"/>
          <w:sz w:val="18"/>
          <w:szCs w:val="18"/>
          <w:i w:val="1"/>
          <w:iCs w:val="1"/>
          <w:color w:val="auto"/>
        </w:rPr>
        <w:t>Transactions with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Persons</w:t>
      </w:r>
      <w:r>
        <w:rPr>
          <w:rFonts w:ascii="Arial" w:cs="Arial" w:eastAsia="Arial" w:hAnsi="Arial"/>
          <w:sz w:val="18"/>
          <w:szCs w:val="18"/>
          <w:color w:val="auto"/>
        </w:rPr>
        <w:t>” for further details.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GAAP standards have been recently issued by the accounting standards board. We are assessing the impact of these new standards on future consolidated financial statements. Pronouncements that are not applicable or where it has been determined do not have a significant impact on us have been excluded herein.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January 2017, the Financial Accounting Standards Board, which we refer to as the FASB, issued Accounting Standards Update No. 2017-04 “Intangibles—Goodwill and Other (Topic 350): Simplifying the Test for Goodwill Impairment” (which we refer to as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of the three months ended March 31, 2020.</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(Topic 842)” (which we refer to as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18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Upon adoption of ASU 2016-02, we recorded right-of-use assets of $11,197,339 and corresponding lease liabilities of $11,695,585 with the difference of $498,246 recorded in opening retained earnings.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preparation of our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and have the most significant effect on the amounts recognized in the consolidated financial statements. Accordingly, we believe these are the most critical to aid in fully understanding and evaluating our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amortization and are tested annually for impairment, or more frequently if events or changes in circumstances indicate that they may be impaired.</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us the ability to operate in each market. However, some cannabis licenses are subject to renewal and therefore there is some risk of non-renewal for several reasons, including operational, regulatory, legal or economic. To appropriately consider the risk of non-renewal, we apply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Investments include private company investments which are carried at fair value based on the value of our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we rely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assets are aggregated into two reportable segments (retail and consumer packaged goods). For the purposes of testing goodwill, we have identified 12 reporting units. We analyzed our reporting units by first reviewing the operating segments based on the geographic areas in which we conduct business (or each market). The markets were then further divided into reporting units based on the market operations (retail and consumer packaged goods) which were primarily determined based on the licenses each market holds. The following represent the markets in which we operate as of June 1, 2020: California, Colorado, Connecticut, Florida, Illinois, Maryland, Massachusetts, Nevada, New Jersey, New York, Ohio and Pennsylvania.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Additionally, judgment is applied in determining the effective date on which control was obtained. See Note 14—Variable Interest Entities for further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Valuation of stock-based compensation and warrants requires management to make estimates regarding the inputs for option pricing models, such as the expected life of the option, the volatility of our stock price, the vesting period of the option and the risk-free interest rate are used. Actual results could differ from those estimates. The estimates are considered for each new grant of stock options or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We use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The Board mitigates these risks by assessing, monitoring and approving our risk management processes.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December 31, 2019 is the carrying amount of cash and cash equivalents. We do not have significant credit risk with respect to our customers. All cash and cash equivalents are placed with major U.S. financial institutions.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us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COVID-19 Risk. </w:t>
      </w:r>
      <w:r>
        <w:rPr>
          <w:rFonts w:ascii="Arial" w:cs="Arial" w:eastAsia="Arial" w:hAnsi="Arial"/>
          <w:sz w:val="17"/>
          <w:szCs w:val="17"/>
          <w:color w:val="auto"/>
        </w:rPr>
        <w:t>We are monitoring COVID-19 closely, and although operations have not been materially affected by the COVID-19 outbreak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 the state-wide suspension of recreational sales from March 24, 2020 to May 25, 2020).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Green Thumb Industries Inc. is a reporting issuer in Canada listed for trading on the Canadian Securities Exchange under the symbol “GTII.” Our Subordinate Voting Shares are also traded in the United States on the OTCQX Best Market under the symbol “GTBIF.”</w:t>
      </w:r>
    </w:p>
    <w:p>
      <w:pPr>
        <w:spacing w:after="0" w:line="14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Originally founded in 2014, we began operations in 2015 upon the award of a medical marijuana license for cultivation/processing and retail in Illinois. We have since expanded our operational footprint to 11 additional U.S. markets, including California, Colorado, Connecticut, Florida, Maryland, Massachusetts, Nevada, New Jersey, New York, Ohio and Pennsylvania. Currently, we own, manufacture, and distribute a portfolio of cannabis Consumer Packaged Goods brands (which we refer to as our Consumer Packaged Goods business), including Beboe, Dogwalkers,</w:t>
      </w:r>
    </w:p>
    <w:p>
      <w:pPr>
        <w:spacing w:after="0" w:line="1"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Dr. Solomon’s, incredibles, Rythm and The Feel Collection, primarily to third-party licensed retail cannabis stores across the United States as well as to company-owned retail stores. We also own and operate a rapidly growing national chain of retail cannabis stores called Rise and, in the Las Vegas, Nevada area, a chain of stores called Essence, which both sell our products and third-party products (which we refer to as our retail business).</w:t>
      </w:r>
    </w:p>
    <w:p>
      <w:pPr>
        <w:spacing w:after="0" w:line="15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Through our subsidiaries, we own interests in several state-licensed medical and/or adult use marijuana businesses in Connecticut, Florida, Illinois, Maryland, Massachusetts, Nevada, New Jersey, New York, Ohio and Pennsylvania. We also license our intellectual property and certain brands to licensees in California and Colorado. The following organizational chart describes our organizational structure as of June 1, 2020. See Exhibit 21.1 to the registration statement of which this prospectus is a part for a list of our subsidiaries.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3686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860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registered office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Our head office is located at 325 W. Huron Street, Suite 412, Chicago, Illinois 60654.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 xml:space="preserve">We were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we changed our name to “Enwest Ventures Corp.” Further, on February 25, 2003, we changed our name to “Bayswater Ventures Corp.” In August 2006, we changed our name from Bayswater Ventures Corp. to “Bayswater Uranium Corporation” following a Canadian amalgamation transaction with Pathfinder Resources Ltd.</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On July 18, 2007, under a plan of arrangement, we amalgamated with Kilgore Minerals Ltd., a company incorporated under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on June 21, 2002 and continued into the Province of British Columbia under the</w:t>
      </w:r>
      <w:r>
        <w:rPr>
          <w:rFonts w:ascii="Arial" w:cs="Arial" w:eastAsia="Arial" w:hAnsi="Arial"/>
          <w:sz w:val="16"/>
          <w:szCs w:val="16"/>
          <w:i w:val="1"/>
          <w:iCs w:val="1"/>
          <w:color w:val="auto"/>
        </w:rPr>
        <w:t xml:space="preserve"> Business Corporations Act </w:t>
      </w:r>
      <w:r>
        <w:rPr>
          <w:rFonts w:ascii="Arial" w:cs="Arial" w:eastAsia="Arial" w:hAnsi="Arial"/>
          <w:sz w:val="16"/>
          <w:szCs w:val="16"/>
          <w:color w:val="auto"/>
        </w:rPr>
        <w:t>(British Columbia)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7, 2006. Following the plan of arrangement, Kilgore Minerals Ltd. changed its name to “Bayswater Uranium Corporation” on July 24, 2007.</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Subsequent to our financial year ended February 28, 2018, we entered into a Business Combination Agreement whereby we, 1165318 B.C. Ltd. (a wholly-owned subsidiary of Bayswater Uranium Corporation), VCP23, LLC, GTI23, Inc. and GTI Finco Inc. combined their respective businesses, which we refer to as the Transaction, filed Articles of Amendment in the Province of British Columbia to effect the name change from “Bayswater Uranium Corporation” to “Green Thumb Industries Inc.” and continued the business of VCP23, LLC. VCP23, LLC was formed in the State of Delaware on November 27, 2017. The entity had no activity or financials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 2018, we completed a restructuring to consolidate our organizational structure. RCP23, LLC, which had operations in Maryland, Massachusetts, Nevada and Pennsylvania, and GTI-Clinic Illinois Holdings, LLC, which had operations in Illinois, restructured and each entity contributed certain assets and real estate to VCP23, LLC or its subsidiaries. Simultaneously, GTI-Clinic Illinois Holdings, LLC transferred its membership interests in the Illinois licensed medical businesses to GTI Core, LLC. Prior to the closing of the Transaction (defined below), VCP23, LLC was acquired by GTI23, Inc. and the members of VCP23, LLC exchanged their membership interests in VCP23, LLC in exchange for shares of GTI23, Inc. The transaction did not include outside parties that were not previously members of RCP23, LLC or GTI-clinic Illinois Holdings, LLC. The transaction did involve certain current directors and officers of Green Thumb Industries Inc. that, at the time, were members of the RCP23, LLC and/or GTI-Clinic Illinois Holdings, LLC.</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June 12, 2018, Green Thumb Industries Inc., 1165318 B.C. Ltd. (a wholly-owned subsidiary of Bayswater Uranium Corporation), VCP23, LLC, GTI23, Inc. and GTI Finco Inc. entered into a Business Combination Agreement whereby the Green Thumb Industries Inc., 1165318 B.C. Ltd. (a wholly-owned subsidiary of Bayswater Uranium Corporation), VCP23, LLC, GTI23, Inc. and GTI Finco Inc. combined their respective businesses, which we refer to as the Transaction. The Transaction was structured as a series of transactions, including a Canadian three-cornered amalgamation transaction and a series of U.S. reorganization steps, for the purpose of raising capital from third-party party investors simultaneously with the closing of the Transaction. Green Thumb Industries Inc. (formerly Bayswater Uranium Corporation) had no active business operations leading up to completion of the Transaction.</w:t>
      </w:r>
    </w:p>
    <w:p>
      <w:pPr>
        <w:spacing w:after="0" w:line="19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connection with the Transaction, we disposed of our uranium-based assets, changed our name from “Bayswater Uranium Corporation” to “Green Thumb Industries Inc.” and consolidated our existing common shares on the basis of one Subordinate Voting Share for each 368 existing common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At a meeting of the our shareholders on June 11, 2018, our shareholders approved a resolution to restructure our share capital to, among other things, re-designate our existing common shares as subordinate voting shares, which we refer to as the Subordinate Voting Shares, and create a class of multiple voting shares, which we refer to as the Multiple Voting Shares, and super voting shares, which we refer to as the Super Voting Shares.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Green Thumb Industries Inc., 1165318 B.C. Ltd. (a wholly-owned subsidiary of Bayswater Uranium Corporation) and GTI Finco Inc. were parties to a Canadian three-cornered amalgamation, which we refer to as the Amalgamation, whereby:</w:t>
      </w:r>
    </w:p>
    <w:p>
      <w:pPr>
        <w:spacing w:after="0" w:line="7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GTI Finco Inc. shareholders received Subordinate Voting Shares of Green Thumb Industries Inc. on a one-for-one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members of VCP23, LLC contributed their membership interests to GTI23, Inc. for shares of GTI23, Inc.;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members of VCP23, LLC then contributed their shares of GTI23, Inc. to Green Thumb Industries Inc. in exchange for Super Voting Shares and Multiple Voting Shares of Green Thumb Industries Inc.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Prior to the Transaction, GTI Finco Inc. (a special purpose corporation wholly-owned by VCP23, LLC), completed a brokered and a non-brokered subscription receipt financing at a price of C$7.75 per subscription receipt for aggregate gross proceeds of approximately $64.1 million (C$87 million), which we refer to as the SR Offering. As part of closing the Transaction, the investors in the SR Offering received our Subordinate Voting Shares on an economically 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Inc. subscription receipts issued in the SR Offering.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Subordinate Voting Shares began trading on the Canadian Securities Exchange on June 13, 2018 under the symbol “GTII.”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June 12, 2020, we closed on a $1.8 million mortgage loan from a third party to acquire the real estate of our Joliet, Illinois retail dispensary facility, which we refer to as the Joliet Mortgage Loan. The real estate was acquired from Mosaic Real Estate Joliet, LLC, which had previously been managed by Ms. Berger, as a principal of South Creek 15, LLC, which is the Manager of Mosaic Real Estate Joliet, LLC, until May 20, 2020 when Ms. Berger resigned from such position. Under the long-term mortgage loan, we will make monthly principal and interest payments. The purchase price for the property was $1.8 million, including transaction costs.</w:t>
      </w:r>
    </w:p>
    <w:p>
      <w:pPr>
        <w:spacing w:after="0" w:line="18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 March 6, 2020, the Company closed on a sale and lease back transaction to sell our Oglesby, Illinois cultivation and processing facility to an unrelated third party, Innovative Industrial Properties. Under a long-term agreement, we will lease back the facility and continue to operate and manage it. The purchase price for the property was $9.0 million, excluding transaction costs. We expect to make certain improvements to the property that will significantly enhance production capacity, for which Innovative Industrial Properties has agreed to provide reimbursement of up to $41 million. Assuming full reimbursement for such improvements, Innovative Industrial Properties’ total investment in the property will be $50 million.</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January 31, 2020, we closed on a sale and leaseback transaction to sell our Toledo, Ohio processing facility to Innovative Industrial Properties. Under a long-term agreement, we will lease back the facility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continue to operate the space and manage it. The purchase price for the property was $2.9 million, excluding transaction costs. We are also expected to make certain improvements to the property that will significantly enhance production capacity, for which Innovative Industrial Properties has agreed to provide reimbursement of up to $4.3 million. Assuming full reimbursement for such improvements, Innovative Industrial Properties’ total investment in the processing facility will be $7.2 million.</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November 12, 2019, we closed on a sale and leaseback transaction to sell our Danville, Pennsylvania cultivation and processing facility to Innovative Industrial Properties. Under a long-term agreement, we will lease back the facility and continue to operate and manage it. The purchase price for the property was $20.3 million, excluding transaction costs. We are also expected to make certain improvements to the property that will significantly enhance production capacity, for which Innovative Industrial Properties has agreed to provide reimbursement of up to $19.3 million. Assuming full reimbursement for such improvements, Innovative Industrial Properties’ total investment in the property will be $39.6 million.</w:t>
      </w:r>
    </w:p>
    <w:p>
      <w:pPr>
        <w:spacing w:after="0" w:line="161"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On May 22, 2019, we closed a $105 million senior secured non-brokered private placement financing through the issuance of three-year senior secured notes, which we refer to as the Notes, pursuant to a note purchase agreement, which we refer to as the Note Purchase Agreement. The financing generated funds for general working capital purposes and various growth initiatives and to retire our existing debt, including the $12.5 million in six-month senior secured promissory notes, which we refer to as the Bridge Notes. Following our May 21, 2020 exercise of our option to extend the term of the Notes by one year, the Notes have a maturity date of May 22, 2023 and will bear interest from the date of issue at 12% per annum, payable quarterly, with an option, at our discretion,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We entered into the First Amendment to the Note Purchase Agreement on November 9, 2019. The First Amendment to the Note Purchase Agreement reduced the borrowing capacity from $150 million to $130 million, which allows us to borrow an additional</w:t>
      </w:r>
    </w:p>
    <w:p>
      <w:pPr>
        <w:spacing w:after="0" w:line="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$24.5 million over a period of 12 months from the closing date of the Note Purchase Agreement. Upon the execution of the First Amendment to the Note Purchase Agreement, the purchasers of the Notes received warrants to purchase 365,076 Subordinate Voting Shares at an exercise price of C$12.04 per share, which can be exercised for 60 months from the date of issuance. On May 21, 2020, pursuant to the terms of the Note Purchase Agreement, the purchasers of the Notes received additional warrants to purchase 84,924 Subordinate Voting Shares at an exercise price of C$14.03 per share, which can be exercised for 60 months from the date of issuance.</w:t>
      </w:r>
    </w:p>
    <w:p>
      <w:pPr>
        <w:spacing w:after="0" w:line="19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April 12, 2019, we closed on a private placement of the Bridge Notes. The Bridge Notes accrue interest at an annual rate of 10.5% payable on a monthly basis, commencing June 1, 2019. The Bridge Notes included warrants to purchase 218,964 Subordinate Voting Shares at an exercise price of C$22.90 per share, which can be exercised for 42 months from the closing date of the transaction. On May 22, 2019, we repaid the full principal amount and accrued interest for the Bridge Notes.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October 17, 2018, we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our continued growth, including wholesale capacity, strategic initiatives and general corporate purposes.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August 2, 2018, we closed a $61.7 million (C$80.3 million) bought deal financing, co-led by Canaccord Genuity Corp. and GMP Securities L.P., and including Beacon Securities Limited, Echelon Wealth Partners Inc. and Eight Capital Corp., to fund our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June 12, 2018, GTI Finco Inc. (a special purpose corporation wholly-owned by VCP23, LLC)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April 30, 2018, we closed a private placement offering to sell $45 million in a convertible promissory note, which we refer to as the Convertible Promissory Note, to VCP Convert, LLC, a Delaware limited liability company owned by accredited investors. The Convertible Promissory Note was converted into common units of VCP23, LLC immediately prior to the Transaction.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in RCP23, LLC to fund growth opportunities and our working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Recent Developments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in Massachusetts, where cannabis was been deemed essential only for medical patients, leading to the state-wide suspension of recreational sales from March 24, 2020 to May 25, 2020). The uncertain nature of the spread of COVID-19 globally may impact our business operations for reasons including the potential quarantine of our employees, customers, and third-party service providers, delay in supply chains and the inability to adequately adjust business operations and staffing per evolving regulations and Center for Disease Control guidelines that inhibit business operations and productivity and thereby potentially impact revenue, revenue growth, profitability. Further, rising unemployment levels nationally may result in less consumer spending on our products. At this time, the Company is unable to estimate the impact of this event on its operations.</w:t>
      </w:r>
    </w:p>
    <w:p>
      <w:pPr>
        <w:spacing w:after="0" w:line="16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August 23, 2019, we closed on our acquisition of Fiorello Pharmaceuticals, Inc. Fiorello Pharmaceuticals, Inc. is one of only ten companies in New York licensed to grow, process and dispense medical cannabis. Fiorello Pharmaceuticals, Inc. has one cultivation/processing facility and four dispensing locations, with three of such dispensing locations currently operating.</w:t>
      </w:r>
    </w:p>
    <w:p>
      <w:pPr>
        <w:spacing w:after="0" w:line="184" w:lineRule="exact"/>
        <w:rPr>
          <w:sz w:val="20"/>
          <w:szCs w:val="20"/>
          <w:color w:val="auto"/>
        </w:rPr>
      </w:pPr>
    </w:p>
    <w:p>
      <w:pPr>
        <w:ind w:left="120" w:right="140" w:firstLine="440"/>
        <w:spacing w:after="0" w:line="284" w:lineRule="auto"/>
        <w:rPr>
          <w:sz w:val="20"/>
          <w:szCs w:val="20"/>
          <w:color w:val="auto"/>
        </w:rPr>
      </w:pPr>
      <w:r>
        <w:rPr>
          <w:rFonts w:ascii="Arial" w:cs="Arial" w:eastAsia="Arial" w:hAnsi="Arial"/>
          <w:sz w:val="16"/>
          <w:szCs w:val="16"/>
          <w:color w:val="auto"/>
        </w:rPr>
        <w:t>On June 5, 2019, we closed on our acquisition of Integral Associates, LLC, a leading cannabis operator in Nevada, and Integral Associates CA, LLC, which we collectively refer to as Integral Associates, LLC. In addition to the initial consideration paid at closing, the membership interest purchase agreement, which we refer to as the Membership Interest Purchase Agreement, provides for the payment by Green Thumb Industries Inc. of additional consideration upon the achievement of certain performance targets (including a potential EBITDA earn-out payment) and regulatory license awards. Milestone payments for each license won are 50% payable at the initial license award, and the remaining 50% will be paid once the final licenses are issued. The total consideration paid as of December 31, 2019 was approximately $326 million, including $52.8 million in cash and</w:t>
      </w:r>
    </w:p>
    <w:p>
      <w:pPr>
        <w:spacing w:after="0" w:line="4"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 xml:space="preserve">24.7 million Subordinate Voting Shares. The acquisition includes: (i) Integral Associates LLC’s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8"/>
          <w:szCs w:val="18"/>
          <w:i w:val="1"/>
          <w:iCs w:val="1"/>
          <w:color w:val="auto"/>
        </w:rPr>
        <w:t>High Times</w:t>
      </w:r>
      <w:r>
        <w:rPr>
          <w:rFonts w:ascii="Arial" w:cs="Arial" w:eastAsia="Arial" w:hAnsi="Arial"/>
          <w:sz w:val="18"/>
          <w:szCs w:val="18"/>
          <w:color w:val="auto"/>
        </w:rPr>
        <w:t xml:space="preserve"> Cannabis Cup award winner.</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February 21, 2019, we closed on our acquisition of For Success Holdings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On February 12, 2019, we closed on our acquisition of Connecticut-based Advanced Grow Labs LLC. Advanced Grow Labs LLC is one of four companies in Connecticut licensed to grow and process cannabis. Advanced Grow Labs LLC operates a 41,000 square foot manufacturing facility in West Haven, Connecticut, with expansion potential. Advanced Grow Labs LLC also has an ownership stake in a dispensary that is located in Westport, Connecticut. Advanced Grow Labs LLC produces and distributes a wide range of cannabis products to the operating stores in the state. The transaction consideration was approximately $110.1 million, including $15.5 million in cash and approximately 7.3 million Subordinate Voting Shares. The purchase agreement also includes additional consideration based on future performance targets.</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On November 8, 2018, we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 of Green Thumb Industries Inc.</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while being committed to community and sustainable profitable growth. As of June 1, 2020, we have operations across 12 U.S. markets, employ approximately 1,700 people and serve hundreds of thousands of patients and customers annually.</w:t>
      </w:r>
    </w:p>
    <w:p>
      <w:pPr>
        <w:spacing w:after="0" w:line="184"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primarily to third-party licensed retail cannabis stores across the United States as well as to company-owned retail stores (which we refer to as our Retail business).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owned and operated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stores were acquired in connection with the 2019 acquisition of Integral Associates, LLC and are located in Nevada. The Essence stores differ from the Rise stores mainly in geographic location. As of June 1, 2020, the Company had 45 open and operating retail locations, with state licensed permission to open a total of 96 stores. The Company’s new store opening plans will remain fluid depending on market conditions, obtaining local licensing, construction and other permissions and subject to our capital allocation plans and the evolving situation with respect to COVID-19.</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have consolidated financial statements across our operating businesses with revenue from the manufacture, sale and distribution of branded cannabis products to third-party licensed retail customers as well as the sale of finished products to consumers in our retail stores.</w:t>
      </w:r>
    </w:p>
    <w:p>
      <w:pPr>
        <w:spacing w:after="0" w:line="14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percentage of total revenue contributed by Consumer Packaged Goods operations was 26%, 36%, 33% and 40% for the three months ended March 31, 2020 and the years ended December 31, 2019, 2018 and 2017, respectively. The percentage of total revenue contributed by Retail operations was 74%, 64%, 67% and 60% for the three months ended March 31, 2020 and the years ended December 31, 2019, 2018 and 2017, respectively. See the section entitled “</w:t>
      </w:r>
      <w:r>
        <w:rPr>
          <w:rFonts w:ascii="Arial" w:cs="Arial" w:eastAsia="Arial" w:hAnsi="Arial"/>
          <w:sz w:val="18"/>
          <w:szCs w:val="18"/>
          <w:i w:val="1"/>
          <w:iCs w:val="1"/>
          <w:color w:val="auto"/>
        </w:rPr>
        <w:t>Financial Information</w:t>
      </w:r>
      <w:r>
        <w:rPr>
          <w:rFonts w:ascii="Arial" w:cs="Arial" w:eastAsia="Arial" w:hAnsi="Arial"/>
          <w:sz w:val="18"/>
          <w:szCs w:val="18"/>
          <w:color w:val="auto"/>
        </w:rPr>
        <w:t>” for details on key financial highlights.</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June 1, 2020, we had operating revenue in 12 markets (California, Colorado, Connecticut, Florida, Illinois, Maryland, Massachusetts, Nevada, New York, New Jersey, Ohio and Pennsylvania).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operate in 12 U.S. states: California, Colorado, Connecticut, Florida, Illinois, Maryland, Massachusetts, Nevada, New Jersey, New York, Ohio and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134620</wp:posOffset>
            </wp:positionV>
            <wp:extent cx="3060065" cy="2374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0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branded products portfolio includes SKUs across a range of product categories, including flower, pre-rolls, concentrates, vape, capsules, tinctures, edibles, topicals and other cannabis-related products.</w:t>
      </w:r>
    </w:p>
    <w:p>
      <w:pPr>
        <w:spacing w:after="0" w:line="170"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We engage in research and development activities focused on developing new extracted or infused cannabis consumer packaged products. 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70"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which is commonly referred to as CBD, business lines, none of which account for more than 1% of finished goods production.</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Almost all of the raw material input, except packaging materials, we use to produce finished cannabis consumer packaged goods are cultivated or processed internally for further use in the manufacturing process.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We are not dependent upon a single customer, or a few customers, the loss of any one or more of which would have a material adverse effect on the business. No customer accounted for 10% or more of our consolidated net revenue during fiscal 2019 or 2018.</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leverage our owned retail channel, Rise, Essence and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our vendor requirements for quality assurance and reliability.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Products sold at Rise and Essence, are delivered directly to our stores primarily by our manufacturing and distribution vendor partners.</w:t>
      </w:r>
    </w:p>
    <w:p>
      <w:pPr>
        <w:spacing w:after="0" w:line="23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 –to-consumer delivery capabilities as part of our commitment to providing a consistent retail brand experience no matter where the consumer might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From the time we became licensed to cultivate marijuana, we have developed proprietary cultivation techniques. We have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65" w:lineRule="exact"/>
        <w:rPr>
          <w:sz w:val="20"/>
          <w:szCs w:val="20"/>
          <w:color w:val="auto"/>
        </w:rPr>
      </w:pPr>
    </w:p>
    <w:p>
      <w:pPr>
        <w:jc w:val="both"/>
        <w:ind w:left="120" w:right="720" w:firstLine="440"/>
        <w:spacing w:after="0" w:line="263" w:lineRule="auto"/>
        <w:rPr>
          <w:sz w:val="20"/>
          <w:szCs w:val="20"/>
          <w:color w:val="auto"/>
        </w:rPr>
      </w:pPr>
      <w:r>
        <w:rPr>
          <w:rFonts w:ascii="Arial" w:cs="Arial" w:eastAsia="Arial" w:hAnsi="Arial"/>
          <w:sz w:val="18"/>
          <w:szCs w:val="18"/>
          <w:color w:val="auto"/>
        </w:rPr>
        <w:t>We rely on non-disclosure/confidentiality agreements to protect our intellectual property rights. To the extent we describe or disclose our proprietary cultivation or extraction techniques in our applications for cultivation or processing licenses, we redact or request redaction of such information prior to public disclosure.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sought U.S. patent protection for certain of our Dr. Solomon’s products, namely a utility patent for compositions and methods for treating skin and neuropathic conditions and disorders. Where commercially reasonable, we will seek further U.S. patent protection on other eligible products and services.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own several website domains, including www.gtigrows.com, numerous social media accounts across all major platforms and various phone and web application platforms.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successfully registered over 20 trademarks across nine states for brands offered within those jurisdictions and have additional trademark applications pending or in process. We anticipate feedback on outstanding submitted applications on a rolling basis. As such, we will continue to rely on common law protection for these brands during the trademark registration process. Moreover, we will proactively seek intellectual property protection for brand expansions in current markets as well as any new market expansion. For additional details on the risks associated with the lack of trademark protection, 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intellectual property.</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For incredibles and Beboe branded cannabis products, we have entered into licensing and distribution contracts with third parties that hold licenses to engage in the sale of cannabis in the states of California and Colorado, where we do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us.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utilize joint ventures when necessary to comply with state regulatory requirements in certain states. Partnering with one or more non-affiliated third parties provides us with the opportunity to mitigate certain operational and financial risks while ensuring continued compliance with the applicable regulatory guidelines. Currently, we have joint ventures for vertically integrated licenses in Ohio and for the operation of (i) a medical marijuana dispensary in Effingham, Illinois (ILDISP, LLC) of which we hold a 50% interest, (ii) a medical marijuana dispensary in Westport, Connecticut (Bluepoint Wellness of Westport, LLC) of which we hold a 46% interest, and (iii) a registered marijuana dispensary and a cultivation and processing facility in Chicopee, Massachusetts (Cal Funding, LLC) of which we hold less than a 10% interest.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Effective inventory management is critical to our ongoing success and we use a variety of demand and supply forecasting, planning and replenishment techniques. We strive to maintain sufficient levels of inventory of core product categories, maintain positive vendor and customer relationships and carefully plan to minimize markdowns and inventory write-offs.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additional details on liquidity and Capital Resources, see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Number of Employees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of June 1, 2020, we employed approximately 1,700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Expenditures for compliance with federal, state and local environmental laws and regulations are consistent from year to year and are not material to our financials. We are compliant with all applicable regulations and does not use materials that would pose any known risk under normal conditions.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Conditions and Our Position in the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markets in which our products are distributed and our retail stores are operated are highly competitive markets. Our operations exist in markets with relatively high barriers to entry given the licensed nature of the cannabis industry. We compete directly with cannabis producers and retailers within single-state operating markets, as well as those that operate across several U.S. markets. More broadly, we view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face intense competition from other companies that may have a longer operating history, a higher capitalization, additional financial resources, more manufacturing and marketing experience, greater access to public equity and debt markets and more experienced management than us. Increased competition by larger and better financed competitors could materially affect our business, financial condition and results of our operations. The vast majority of both manufacturing and retail competitors in our markets consist of localized businesses (i.e. doing business in only a single state market). There are a few multistate operators with whom we compete directly in several of our operating markets. Aside from this direct competition, out-of-state operators that are capitalized well enough to enter those markets through acquisitions are also part of the competitive landscape. Similarly, as we execute our national U.S. growth strategy, operators in our future state markets will inevitably become direct competitors.</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Because of the early stage of the industry in which we operate, we face additional competition from new entrants. If the number of consumers of medical and adult use cannabis in the states in which we operate our business increases, the demand for products will increase and we expect that competition will become more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intense, as current and future competitors begin to offer an increasing number of diversified products. To remain competitive, we will require a continued high level of investment in research and development, marketing, sales and client support. We may not have sufficient resources to maintain research and development, marketing, sales and client support efforts on a competitive basis, which could materially and adversely affect the business, financial condition and results of our operations.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competition.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All of the medical-only markets that we do business in (Connecticut, Florida, Maryland, New Jersey, New York, Ohio and Pennsylvania) have written regulations that impose limitations on the number of cannabis business licenses that can be awarded.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(including Illinois, California, Colorado, Massachusetts and Nevada) that also allow adult use) has regulations specifying which medical conditions qualify a patient for a license to purchase cannabis, and generally require the approval or prescription from a physician. These applicable conditions can vary significantly from state to state, and in certain states, the qualifying conditions are amended from time-to-time.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adult use markets in which we operate in (Illinois, California, Colorado, Massachusetts and Nevada) have fewer barriers to entry and more closely reflect free market dynamics typically seen in mature retail and manufacturing industries. The growth of these markets poses a risk of increased competition. However, given our additional growth opportunities as an original operator in these states, which have historically been limited supply markets, management views our market share as less at risk than operators without a current operating footprint as a result of our established brand recognition and supply and distribution chains, which were developed in those markets for medical use. Additionally, regulations in some adult use markets, such as Illinois, have offered preferential licensing opportunities to existing medical marijuana operators. These factors have allowed us to quickly develop adult-use market share in those states. Purchasers of adult use marijuana generally are subject to higher sales taxes than apply to purchasers who are authorized for medical purposes. However, anecdotal evidence suggests that some consumers who meet the criteria to apply for medical licenses make adult use purchases and avoid pursing a state’s medical registration/qualification processes.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we are currently directly involved through our subsidiaries. Our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U.S. federal government regulates drugs through the Controlled Substances Act,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defines Schedule I drugs, substances or chemicals as “drugs with no currently accepted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medical use and a high potential for abuse.” However, the Food and Drug Administration has approved Epidiolex, which contains a purified form of the drug CBD, a non-psychoactive ingredient in the cannabis plant, for the treatment of seizures associated with two epilepsy conditions. The Food and Drug Administration has not approved cannabis or cannabis compounds as a safe and effective drug for any other condition. Moreover, under the 2018 Farm Bill or Agriculture Improvement Act of 2018, CBD remains a Schedule I controlled substance under the Controlled Substances Act, with a narrow exception for CBD derived from hemp with a tetrahydrocannabinol, which is commonly referred to as THC, concentration of less than 0.3%.</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Marijuana is largely regulated at the state level.</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Controlled Substances Act. Although our activities are believed to be compliant with applicable state and local laws, strict compliance with state and local laws with respect to cannabis may neither absolve us of liability under U.S. federal law, nor may it provide a defense to any federal proceeding which may be brought against us.</w:t>
      </w:r>
    </w:p>
    <w:p>
      <w:pPr>
        <w:spacing w:after="0" w:line="17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As of May 1, 2020, 33 states, plus the District of Columbia (and the territories of Guam, Puerto Rico, the U.S. Virgin Islands and the Northern Mariana Islands), have legalized the cultivation and sale of cannabis for medical purposes. In 11 states, the sale and possession of cannabis is legal for both medical and adult use, and the District of Columbia has legalized adult use but not commercial sale.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of federal enforcement and other risks associated with our business are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Below is a summary overview of the regulatory and competitive frameworks in each of our operating markets. See Appendix A to this prospectus for a state-by-state list of the licenses and permits we hold.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California</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September 2015, the California legislature passed three bills collectively known as the Medical Cannabis Regulation and Safety Act. The Medical Cannabis Regulation and Safety Act established a licensing and regulatory framework for medical marijuana businesses in California. In November 2016, voters in California overwhelmingly passed Proposition 64, the Adult Use of Marijuana Act creating an adult use marijuana program for adults 21 years of age or older. Some provisions of the Adult Use of Marijuana Act conflicted with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Medical Cannabis Regulation and Safety Act, so the California State Legislature passed Senate Bill No. 94, known as Medicinal and Adult Use Cannabis Regulation and Safety Act in June 2017, amalgamating the Medical Cannabis Regulation and Safety Act and the Adult Use of Marijuana Act to provide a single set of regulations to govern a medical and adult use licensing regime for cannabis businesses in the State of California. The Medicinal and Adult Use Cannabis Regulation and Safety Act went into effect on January 1, 2018.</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6"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License holders are held to strict license renewal application requirements.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Currently, we do not have any operational licenses in the State of California. We have been granted conditional licenses, permitting us to retail medical and adult use cannabis and cannabis related products. We have been awarded approval to proceed with the next steps in the application process for the entities listed on Appendix A to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California.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do not have any licenses in the State of Colorado. We have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us. See “</w:t>
      </w:r>
      <w:r>
        <w:rPr>
          <w:rFonts w:ascii="Arial" w:cs="Arial" w:eastAsia="Arial" w:hAnsi="Arial"/>
          <w:sz w:val="16"/>
          <w:szCs w:val="16"/>
          <w:i w:val="1"/>
          <w:iCs w:val="1"/>
          <w:color w:val="auto"/>
        </w:rPr>
        <w:t>Intellectual Property—Patents and Trademarks</w:t>
      </w:r>
      <w:r>
        <w:rPr>
          <w:rFonts w:ascii="Arial" w:cs="Arial" w:eastAsia="Arial" w:hAnsi="Arial"/>
          <w:sz w:val="16"/>
          <w:szCs w:val="16"/>
          <w:color w:val="auto"/>
        </w:rPr>
        <w:t>” for details on licenses with respect to operations in Colorado.</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State of Connecticut has authorized cultivation, possession and distribution of marijuana for medical purposes by certain licensed Connecticut marijuana businesses. Over thirty medical conditions currently are recognized by the state to qualify a patient for a medical marijuana certificate, including cancer, glaucoma, epilepsy and certain terminal and chronic pain conditions. The Medical Marijuana Program in Connecticut registers qualifying patients, primary caregivers, Dispensary Facilities and Dispensary Facility Employees. The Medical Marijuana Program in Connecticut was established by Connecticut General Statutes §§ 21a-408–21a-429. Dispensary Facilities and production facilities are separately licensed.</w:t>
      </w:r>
    </w:p>
    <w:p>
      <w:pPr>
        <w:spacing w:after="0" w:line="16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program launched with six dispensary licensees and four producer licensees. The first dispensaries sold to patients in September 2014.</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Subsequently, additional licensed dispensaries have become operational.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In January 2016, the Connecticut Department of Consumer Protection, the agency that oversees and administers the program, approved three additional dispensary licenses. In December 2018, the Connecticut Department of Consumer Protection issued nine additional dispensary licenses, bringing the total to 18 licensed dispensaries in the state. As of June 15, 2020, 17 of these dispensaries were operational.</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There are two principal license categories in Connecticut: (1) cultivation/processing and (2) dispensary. We are licensed to operate one medical marijuana cultivation/processing facility and two medical marijuana dispensaries. All licenses are, as of the date hereof, active with the State of Connecticut. The licenses are independently issued for each approved activity for use at our facilities in Connecticut.</w:t>
      </w:r>
    </w:p>
    <w:p>
      <w:pPr>
        <w:spacing w:after="0" w:line="16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Connecticut Department of Consumer Protection has issued regulations regarding the Medical Marijuana Program in Connecticut. Patients with certain debilitating medical conditions qualify to participate in the Medical Marijuana Program in Connecticut. A physician or advanced practice registered nurse must issue a written certification for a Medical Marijuana Program in Connecticut patient, and the qualifying patient or caregiver must choose one designated Dispensary Facilities where the patient’s marijuana will be obtained. Under the Medical Marijuana Program in Connecticut, dispensary licenses are renewed annually. Renewal applications must be submitted 45 days prior to license expiration and any renewal submitted more than 30 days after expiration will not be renewed.</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Medical marijuana cultivation/processing licenses permit us to operate a secure, indoor facility to cultivate and process medical marijuana and wholesale to dispensaries.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Medical marijuana dispensary facility licenses qualify a dispensary to purchase medical cannabis from licensed medical cannabis producers and to dispense cannabis to qualifying patients or primary caregivers that are registered under the Medical Marijuana Program in Connecticut. Dispensaries must have a pharmacist on staff.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Connecticut.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Amendment 2, and the resulting expansion of qualifying medical conditions, became effective on January 3, 2017. Over thirty medical conditions currently are recognized by the state to qualify a patient for a medical marijuana certificate, including anxiety, cancer, glaucoma, epilepsy and certain terminal and chronic pain conditions. The Florida Department of Health, physicians, dispensing organizations and patients are bound by Article 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92"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State of Florida Statutes Section 381.986(8)(a) provides a regulatory framework that requires licensed producers, which are statutorily defined as “Medical Marijuana Treatment Centers,” to cultivate, process and dispense medical cannabis in a vertically-integrated marketplace.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There is one principal license category in Florida: the vertically-integrated Medical Marijuana Treatment Centers license. We are licensed to operate one medical cannabis cultivation/processing facility and up to 35 medical dispensaries. All licenses are, as of the date hereof, active with the State of Florida. The licenses are independently issued for each approved activity for use at our facilities in Florida.</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Licenses are issued by the Florida Department of Health and must be renewed biennially.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Medical Marijuana Treatment Centers license permits us to sell medical cannabis to qualified patients to treat certain medical conditions in Florida, which are delineated in Florida Statutes Section 386.981. As our operations in Florida are vertically-integrated, we are able to cultivate, harvest, process and sell/dispense/deliver our own medical cannabis products. Under the terms of our Florida license, we are permitted to sell medical cannabis only to qualified medical patients that are registered with the State. See Appendix A to this prospectus for a list of the licenses issued to us with respect to our operations in Florida.</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Compassionate Use of Medical Cannabis Program Act</w:t>
      </w:r>
      <w:r>
        <w:rPr>
          <w:rFonts w:ascii="Arial" w:cs="Arial" w:eastAsia="Arial" w:hAnsi="Arial"/>
          <w:sz w:val="17"/>
          <w:szCs w:val="17"/>
          <w:color w:val="auto"/>
        </w:rPr>
        <w:t>, which allows individuals diagnosed with a debilitating medical condition access to medical marijuana, became effective January 1, 2014 and is now permanent. There are more than 40 qualifying conditions as part of the medical program, including chronic pain, migraines, epilepsy, traumatic brain injury and post-traumatic stress disorder. Licenses were awarded based on merit in a highly competitive application process to applicants who demonstrated strong operational expertise and financial backing.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1, 2020, adult use marijuana became legal in Illinois.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Illinois licenses four types of cannabis businesses within the state: (1) cultivation; (2) processing; (3) transportation; and (4) dispensary. We are licensed to grow and process cannabis for medical and adult use sales at our two cultivation facilities. Dispensaries require separate licenses for adult use sales and medical sales. We currently have eight operating dispensaries in Illinois (operating under 13 licenses) and may open up to two more adult use only dispensaries, which would bring us to the Illinois statutory cap of ten dispensaries operating under 15 licenses. We have five existing medical dispensary retail locations in Illinois. As part of each of our original five medical Illinois dispensary licenses, each medical dispensary was permitted to apply for (a) a license to sell to adult use customers in the same location, and (b) a license for a secondary location for sales to adult use customers only. All of our original five medical dispensaries received licenses for co-located recreational sales, four of which are now fully operational, and one of which remains subject to local zoning approval. We have applied for and received three of the five “secondary” adult use dispensary state licenses we are eligible to receive, all three of which are fully operational. We expect to apply for the additional two “secondary” licenses in the future. The dispensaries with “secondary” licenses by law serve only adult use customers, not medical patients. All licenses are, as of the date hereof, active with the State of Illinois. The licenses are independently issued for each approved activity for use at our facilities in Illinois.</w:t>
      </w:r>
    </w:p>
    <w:p>
      <w:pPr>
        <w:spacing w:after="0" w:line="172"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strict annual renewal requirements.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cultivation/processing licenses permit us to acquire, possess, cultivate, manufacture/process into edible marijuana products and/or marijuana-infused products, deliver, transfer, have tested, transport, supply or sell marijuana and related supplies to marijuana dispensaries.</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Illinois.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post-traumatic stress disorder.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are three principal license categories in Maryland: (1) cultivation, (2) processing and (3) dispensary. We have control and/or ownership over one cultivation license, one processing license and three retail dispensaries. All licenses are, as of the date hereof, active with the State of Maryland. The licenses are independently issued for each approved activity for use at our facilities in Maryland.</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All cultivation, processing and dispensary establishments must register with the Maryland Medical Cannabis Commission under the provisions of the Maryland Medical Cannabis Law, Section 13-3301 et seq. If applications contain all required information, establishments are issued a medical marijuana establishment registration certificate. Registration certificates are valid for an initial period of six years, and thereafter subject to renewal every two years, and are subject to strict annual renewal requirements.</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medical cultivation licenses permit us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4"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medical processing license permit us to acquire, possess, manufacture, deliver, transfer, transport, supply, or sell marijuana products or marijuana-infused products to other medical marijuana production facilities or medical marijuana dispensaries.</w:t>
      </w:r>
    </w:p>
    <w:p>
      <w:pPr>
        <w:spacing w:after="0" w:line="146"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The retail dispensary licenses permit us to purchase marijuana from cultivation facilities, marijuana and marijuana products from product manufacturing facilities and marijuana from other medical marijuana dispensaries, as well as allow the sale of marijuana and marijuana products.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Maryland.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Massachusetts, Registered Marijuana Dispensaries are “vertically-integrated,” which means Registered Marijuana Dispensaries grow, process and dispense their own marijuana. A Registered Marijuana Dispensary must have a retail facility, as well as cultivation and processing operations. Some Registered Marijuana Dispensaries elect to conduct cultivation, processing and retail operations all in one location, which is commonly referred to as a “co-located” operation. A Registered Marijuana Dispensary may also choose to have a retail dispensary in one location and grow marijuana at a remote cultivation location. A Registered Marijuana Dispensary may process marijuana at either a retail dispensary location or a remote cultivation location. The remote cultivation location need not be in the same municipality, or the same county, as the retail dispensary.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There is one principal license category in Massachusetts: vertically-integrated Registered Marijuana Dispensary license. We are licensed to operate one medical and adult use cultivation/processing facility and up to three medical and adult use retail dispensaries. All licenses are, as of the date hereof, active with the State of Massachusetts. The licenses are independently issued for each approved activity for use at our facilities in Massachusetts.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Each Massachusetts dispensary, cultivator and processor license is valid for one year and is subject to strict license renewal application requirements.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Marijuana Dispensary license permits us to cultivate, process and dispense medical and adult use cannabis.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Massachusetts.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opened up applications for additional adult use marijuana dispensary licenses. Only those companies that held medical marijuana licenses in the state could apply. In December 2018, 61 additional marijuana dispensary licenses were issued by the Nevada Department of Taxation.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We are licensed to operate two medical and adult use cultivation facilities, three medical and adult use processing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facilities, five medical dispensary licenses and up to 13 adult use retail locations. All licenses are, as of the date hereof, active with the State of Nevada.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licenses are independently issued for each approved activity for use at our facilities in Nevada.</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applicable laws, the licenses permit us to cultivate, manufacture, process, package, sell and purchase marijuana pursuant to the terms of the licenses, which are issued by the Nevada Department of Taxation under the provisions of Nevada Revised Statutes section 453A. If applications contain all required information, establishments are issued a marijuana establishment registration certificate. In a local governmental jurisdiction that issues business licenses, the issuance by the Nevada Department of Taxation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are subject to strict renewal application requirements.</w:t>
      </w:r>
    </w:p>
    <w:p>
      <w:pPr>
        <w:spacing w:after="0" w:line="16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The cultivation licenses permit us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processing license permits us to acquire, possess, manufacture, deliver, transfer, transport, supply or sell edible marijuana products or marijuana-infused products to other marijuana production facilities or marijuana dispensaries.</w:t>
      </w:r>
    </w:p>
    <w:p>
      <w:pPr>
        <w:spacing w:after="0" w:line="170"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The retail dispensary licenses permit us to purchase marijuana from cultivation facilities, marijuana and marijuana products from product manufacturing facilities and marijuana from other retail stores, as well as allow the sale of marijuana and marijuana products.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Nevada.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Jersey</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On January 18, 2010, the governor of New Jersey signed into law S.119, the Compassionate Use Medical Marijuana Act, permitting the use of medical cannabis for persons with certain debilitating conditions, including anxiety, cancer, chronic pain, post-traumatic stress disorder and seizure disorders. The law permits the New Jersey Department of Health to create rules to add other illnesses to the permitted conditions. The Compassionate Use Medical Marijuana Act mandates that cannabis must be acquired through Alternative Treatment Centers licensed by the State.</w:t>
      </w:r>
    </w:p>
    <w:p>
      <w:pPr>
        <w:spacing w:after="0" w:line="15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A single Alternative Treatment Center license allows for the cultivation, processing and dispensing of medical marijuana products. Originally, each Alternative Treatment Center was permitted to open one dispensary. With the </w:t>
      </w:r>
      <w:r>
        <w:rPr>
          <w:rFonts w:ascii="Arial" w:cs="Arial" w:eastAsia="Arial" w:hAnsi="Arial"/>
          <w:sz w:val="18"/>
          <w:szCs w:val="18"/>
          <w:i w:val="1"/>
          <w:iCs w:val="1"/>
          <w:color w:val="auto"/>
        </w:rPr>
        <w:t>Executive Order 6 Report</w:t>
      </w:r>
      <w:r>
        <w:rPr>
          <w:rFonts w:ascii="Arial" w:cs="Arial" w:eastAsia="Arial" w:hAnsi="Arial"/>
          <w:sz w:val="18"/>
          <w:szCs w:val="18"/>
          <w:color w:val="auto"/>
        </w:rPr>
        <w:t>, each Alternative Treatment Center can now open two additional satellite dispensaries within their New Jersey Department of Health—designated region for a total of three dispensaries each, as well as satellite production facilities, subject to regulatory approval.</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March 27, 2018 through executive order No. 6 (2018), Governor Phil Murphy expanded the medical marijuana program, announcing the 20-plus recommendations presented by the New Jersey Department of Health on March 23, 2018. The New Jersey Department of Health’s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7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which amended the Compassionate Use Medical Marijuana Act. Previously, New Jersey law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permitted applicants to apply for vertically-integrated licenses. Under the Jake Honig Compassionate Use Medical Cannabis Act, the permit process includes three different permit types. The new permit types are medical cannabis cultivator, dispensary and manufacturer permits, which are to be applied for individually. The vertically-integrated Alternative Treatment Center will continue to be able to cultivate, manufacture and dispense medical cannabis. These new permit types are still in the application stage and have not yet been awarded.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Alternative Treatment Center license. We are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our facilities in New Jersey.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New Jersey Department of Health is responsible for issuing permits and administering the Compassionate Use Medical Marijuana Act to ensure qualifying patients’ access to safe cannabis for medical use in New Jersey.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Alternative Treatment Center permits expire annually on December 31. Strict permit renewal application requirements apply. See Appendix A to this prospectus for a list of the licenses issued to us with respect to our operations in New Jersey.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York</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2014, the New York Legislature and Governor enacted the Compassionate Care Act to provide a comprehensive, safe and effective medical marijuana program. The Compassionate Care Act provides access to the program for those who suffer from qualifying serious conditions including: cancer, HIV/AIDS, ALS and post-traumatic stress disorder. The program allows ten Registered Organizations to hold vertically-integrated licenses and service qualified patients and caregivers. Each Registered Organization has one cultivation/processing license and four dispensary licenses.</w:t>
      </w:r>
    </w:p>
    <w:p>
      <w:pPr>
        <w:spacing w:after="0" w:line="15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the terms of licenses in the state of New York, licensees are permitted to sell medical marijuana manufactured products that are approved by the New York State Department of Health to any qualified patient who possesses a physician’s recommendation, provided that the patient presents a valid government-issued photo identification and New York State Department of Health -issued Registry Identification Card proving that the patient or designated caregiver meets the statutory conditions to be a qualified patient or designated caregiver. The card contains the recommendation from the physician and the limitation on form or dosage of medical marijuana. In order for a patient or registered caregiver to receive dispensed marijuana, they must be logged into the Prescription Monitoring Program registry. The Prescription Monitoring Program registry is monitored by the New York State Department of Health and contains controlled substance prescription dispensing history and medical marijuana dispensing history to ensure that patients only receive up to the maximum allowable dispensed product from one Registered Organization. Only registered pharmacists can dispense medical marijuana to approved patients and caregivers.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We are licensed to operate one medical marijuana cultivation/manufacturing facility and up to four medical marijuana dispensaries. All licenses are, as of the date hereof, active with the State of New York. The licenses are independently issued for each approved activity for use at our facilities in New York.</w:t>
      </w:r>
    </w:p>
    <w:p>
      <w:pPr>
        <w:spacing w:after="0" w:line="16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New York State Department of Health is the regulatory agency that oversees the medical marijuana program in New York. New York is a vertically-integrated system; however, the state does allow Registered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Organizations to wholesale manufactured products to one another. As such, we have the ability to be vertically-integrated and cultivate, harvest, process, transport, sell and dispense cannabis products. Delivery is allowed from dispensaries to patients, however the delivery plan must be pre-approved by the New York State Department of Health.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New York.</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Over twenty medical conditions currently are recognized by the state to qualify a patient for a medical marijuana certificate, including cancer, glaucoma, epilepsy and certain terminal and chronic pain conditions. In November 2018, the state issued 12 ‘Level I’ cultivation licenses, which permit up to 25,000 square feet of canopy, and 12 ‘Level II’ cultivation licenses, which permit up to 3,000 square feet of canopy. In June 2018, the state issued 56 dispensary licenses. Subsequently, additional licenses have been granted.</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By rule, the State of Ohio Board of Pharmacy is currently limited to issuing up to 60 dispensary licenses across the state. Under the program rules, the State of Ohio Board of Pharmacy will consider, on at least a biennial basis, whether enough medical marijuana dispensaries exist, considering the state population, the number of patients seeking to use medical marijuana and the geographic distribution of dispensary sites.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We are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our facilities in Ohio.</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Certificates of operation for dispensaries carry two-year terms, while certificates of operation for cultivators and processors must be renewed annually and are subject to strict license renewal application requirements.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medical cultivation licenses permit us to acquire, possess, cultivate, manufacture/process into medical marijuana products, deliver, transfer, have tested, transport, supply or sell marijuana and related supplies to medical marijuana dispensaries.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medical processor license permits us to manufacture and produce medical marijuana products.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dispensary licenses will permit us to purchase marijuana and marijuana products from cultivation and/or processing facilities, as well as allow the sale of marijuana and marijuana products to registered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Ohio.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Pennsylvania medical marijuana program was signed into law on April 17, 2016 under Act 16 and provided access to state residents with one or more qualifying conditions, including: epilepsy, chronic pain and post-traumatic stress disorder. The state originally awarded only 12 licenses to cultivate/process and 27 licenses to operate retail dispensaries (which entitled holders to up to three medical dispensary locations per retail license). Subsequently, additional licenses have been granted. For example, 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which had the effect of increasing the number of individuals that could qualify for medical marijuana cards.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All cultivation/processing establishments and dispensaries must register with Pennsylvania Department of Health. Registration certificates are valid for a period of one year and are subject to strict annual renewal requirements.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medical cultivation/processing licenses permit us to acquire, possess, cultivate, manufacture/process into medical marijuana products and/or medical marijuana-infused products, deliver, transfer, have tested, transport, supply or sell marijuana and related supplies to medical marijuana dispensaries.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Pennsylvania.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License Renewal Requirements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otherwise remain in good standing (c) failure to submit or implement a plan of correction for any identified violation, (d) attempting to assign registration to another entity without state approval,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hanging="4"/>
        <w:spacing w:after="0" w:line="301" w:lineRule="auto"/>
        <w:tabs>
          <w:tab w:leader="none" w:pos="3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Reporting Requirements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Each of the states in which we operate require us to maintain a computer program that serves as a track-and-trace (“T&amp;T) system for seed-to-sale reporting, including notification of when marijuana seeds are planted, when marijuana plants are harvested and destroyed and when cannabis is transported, sold, stolen, diverted or lost. Some states dictate the use a particular system while others leave the selection up to us. Individual licensees are required to use the T&amp;T system to push data to the state, often daily and in some cases to afford real-time 24/7 access by state regulators, to meet all reporting requirements. For certain states, we use our in-house computerized seed-to-sale software which integrates with the states’ T&amp;T system and captures the required data points for cultivation, manufacturing and retail as required under the applicable state medical and/or adult use marijuana laws and regulations.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are in compliance with applicable cannabis licensing requirements and the regulatory framework enacted by each state in which we operate. We are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in place a detailed compliance program and an internal legal and compliance department and are building out our operational compliance team across all states in which we operate. We also have external state and local regulatory/compliance counsel engaged in every jurisdiction in which we operate.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training for all employees, including on the following topics:</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seed-to-sale system.</w:t>
      </w:r>
    </w:p>
    <w:p>
      <w:pPr>
        <w:spacing w:after="0" w:line="170"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monitor all compliance notifications from the regulators and inspectors in each market and timely resolves any issues identified. We keep records of all compliance notifications received from the state regulators or inspectors, as well as how and when an issue was resolved. Moreover, we monitor news sources for information regarding developments at the state and federal level relating to the regulation and criminalization of cannabis.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ensures that the our operations are compliant with the rules set forth by the applicable state and local laws, regulations, ordinances, licenses and other requirements. We ensure adherence to standard operating procedures by regularly conducting internal inspections and ensures that any issues identified are resolved quickly and thoroughly.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outlining certain priorities for the Department of Justice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Department of Justice did not provide (and has not provided since) specific guidelines for what regulatory and enforcement systems would be deemed sufficient under the Cole Memorandum. In light of limited investigative and prosecutorial resources, the Cole Memorandum concluded that the Department of Justice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January 4, 2018, former U.S. Attorney General Jeff Sessions issued a new memorandum,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is not aware of any prosecutions of investment companies doing routine business with licensed marijuana related businesses in light of the new Department of Justice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6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federal prosecutors appear to continue to use the Cole Memorandum’s priorities as an enforcement guide, we believe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It is also possible that the revocation of the Cole Memorandum could motivate Congress to reconcile federal and state laws. Indeed, the U.S. House Judiciary Committee approved a bill on November 20, 2019 that removes cannabis from Schedule I of the Controlled Substances Act.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June 7, 2018, the STATES Act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Controlled Substances Act, as applied to marijuana, “</w:t>
      </w:r>
      <w:r>
        <w:rPr>
          <w:rFonts w:ascii="Arial" w:cs="Arial" w:eastAsia="Arial" w:hAnsi="Arial"/>
          <w:sz w:val="16"/>
          <w:szCs w:val="16"/>
          <w:i w:val="1"/>
          <w:iCs w:val="1"/>
          <w:color w:val="auto"/>
        </w:rPr>
        <w:t>shall not apply to any person acting in</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with state law relating to the manufacture, production, possession, distribution, dispensation, administration, or delivery of marijuana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Even though marijuana will remain within Schedule I of the Controlled Substances Act under the STATES Act, the bill makes the Controlled Substances Act unenforceable to the extent it conflicts with state law. In essence, the bill extends the limitations afforded by the protection within the federal budget —which prevents the Department of Justice and the Drug Enforcement Agency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6"/>
          <w:szCs w:val="16"/>
          <w:i w:val="1"/>
          <w:iCs w:val="1"/>
          <w:color w:val="auto"/>
        </w:rPr>
        <w:t>the powers not delegated to the United States by the Constitution, nor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prohibited by it to the States, are reserved to the States respectively, or to the people.” </w:t>
      </w:r>
      <w:r>
        <w:rPr>
          <w:rFonts w:ascii="Arial" w:cs="Arial" w:eastAsia="Arial" w:hAnsi="Arial"/>
          <w:sz w:val="16"/>
          <w:szCs w:val="16"/>
          <w:color w:val="auto"/>
        </w:rPr>
        <w:t>Under the STATES Act companies operating legal cannabis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would no longer be considered “trafficking” under the Controlled Substances Act,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6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7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Despite the rescission of the Cole Memorandum, the Department of Justice appears to continue to adhere to the enforcement priorities set forth in the Core Memorandum. Accordingly, as an industry best practice, we continue to employ the following policies to ensure compliance with the guidance provided by the Cole Memorandum:</w:t>
      </w:r>
    </w:p>
    <w:p>
      <w:pPr>
        <w:spacing w:after="0" w:line="89" w:lineRule="exact"/>
        <w:rPr>
          <w:sz w:val="20"/>
          <w:szCs w:val="20"/>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and our subsidiaries’ operations are compliant with all licensing requirements as established by the applicable state, county, municipality, town, township, borough and other political/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administrative divisions; to this end, we retain appropriately experienced legal counsel to conduct the necessary due diligence to ensure compliance of such operations with all applicable state and local laws;</w:t>
      </w:r>
    </w:p>
    <w:p>
      <w:pPr>
        <w:spacing w:after="0" w:line="76" w:lineRule="exact"/>
        <w:rPr>
          <w:sz w:val="20"/>
          <w:szCs w:val="20"/>
          <w:color w:val="auto"/>
        </w:rPr>
      </w:pPr>
    </w:p>
    <w:p>
      <w:pPr>
        <w:ind w:left="1080" w:right="140" w:hanging="424"/>
        <w:spacing w:after="0" w:line="31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only work through licensed operators, which must pass a range of requirements, adhere to strict business practice standards and be subject to strict regulatory oversight to ensure that no revenue is distributed to criminal enterprises, gangs or cartels;</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9"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state-authorized cannabis business activity is not used as a cover or pretense for trafficking of other illegal drugs, and we are not engaged in any other illegal activity or any activities that are contrary to any applicable anti-money laundering statutes; and</w:t>
      </w:r>
    </w:p>
    <w:p>
      <w:pPr>
        <w:spacing w:after="0" w:line="29"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conduct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Cole Memorandum and the Rohrabacher-Blumenauer Amendment gave licensed cannabis operators (particularly medical cannabis operators) and investors in states with legal regimes greater certainty regarding the Department of Justice’s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 growers of marijuana for research and acknowledged that the Farm Bill or Agriculture Improvement Act of 2018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16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there are significant risks associated with our business. Readers of this prospectus are strongly encouraged to carefully read all of the risk factors contained in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marijuana industry. Consequently, it may be difficult for us to obtain financing from large U.S. financial institutions.</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historically, and continue to have, access to equity and debt financing from non-public (i.e., private placement) markets. Our executive team and Board have extensive relationships with sources of capital (such as funds and high net worth individuals).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our working capital, we continue to generate adequate cash to fund our operations from capital raising transactions, including:</w:t>
      </w:r>
    </w:p>
    <w:p>
      <w:pPr>
        <w:spacing w:after="0" w:line="14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$39.6 million sale and leaseback transaction with Innovative Industrial Properties for the Danville, Pennsylvania facility in November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$7.2 million sale and leaseback transaction with Innovative Industrial Properties for the Toledo, Ohio facility in January 2020;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$50.0 million sale and leaseback transaction with Innovate Industrial Properties for the Oglesby, Illinois facility in March 2020.</w:t>
      </w:r>
    </w:p>
    <w:p>
      <w:pPr>
        <w:spacing w:after="0" w:line="237" w:lineRule="exact"/>
        <w:rPr>
          <w:sz w:val="20"/>
          <w:szCs w:val="20"/>
          <w:color w:val="auto"/>
        </w:rPr>
      </w:pPr>
    </w:p>
    <w:p>
      <w:pPr>
        <w:jc w:val="both"/>
        <w:ind w:left="120" w:right="740" w:firstLine="440"/>
        <w:spacing w:after="0" w:line="342" w:lineRule="auto"/>
        <w:rPr>
          <w:sz w:val="20"/>
          <w:szCs w:val="20"/>
          <w:color w:val="auto"/>
        </w:rPr>
      </w:pPr>
      <w:r>
        <w:rPr>
          <w:rFonts w:ascii="Arial" w:cs="Arial" w:eastAsia="Arial" w:hAnsi="Arial"/>
          <w:sz w:val="16"/>
          <w:szCs w:val="16"/>
          <w:color w:val="auto"/>
        </w:rPr>
        <w:t>Our business plan continues to include aggressive growth, both in the form of additional acquisitions and through facility expansion and improvements. Accordingly, we expect to raise additional capital, both in the form of debt and new equity offerings during the next few years.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there can be no assurance that additional financing will be available to us when needed or on terms which are acceptable.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FinCEN issued the FinCEN Memorandum on February 14, 2014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 These cannabis-related Suspicious Activity Reports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Former U.S. Attorney General Sessions’ revocation of the Cole Memorandum has not affected the status of the FinCEN Memorandum, nor has the Department of the Treasury given any indication that it intends to rescind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87"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regulations under the Bank Secrecy Act, as amended by Title</w:t>
      </w:r>
    </w:p>
    <w:p>
      <w:pPr>
        <w:spacing w:after="0" w:line="4" w:lineRule="exact"/>
        <w:rPr>
          <w:sz w:val="20"/>
          <w:szCs w:val="20"/>
          <w:color w:val="auto"/>
        </w:rPr>
      </w:pPr>
    </w:p>
    <w:p>
      <w:pPr>
        <w:jc w:val="both"/>
        <w:ind w:left="120" w:right="380" w:hanging="4"/>
        <w:spacing w:after="0" w:line="295"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(the “USA Patriot Act, discourage financial institutions from working with any organization that sells a controlled substance, regardless of whether the state it operates in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Our business activities rely on newly established and/or developing laws and regulations in the states in which it operates.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principal physical properties.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Corporate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Chicago, IL</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Satellite Corporate Office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Los Angeles, CA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405"/>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2"/>
              </w:rPr>
              <w:t>Production Properties</w:t>
            </w:r>
          </w:p>
        </w:tc>
        <w:tc>
          <w:tcPr>
            <w:tcW w:w="3200" w:type="dxa"/>
            <w:vAlign w:val="bottom"/>
            <w:tcBorders>
              <w:bottom w:val="single" w:sz="8" w:color="auto"/>
            </w:tcBorders>
          </w:tcPr>
          <w:p>
            <w:pPr>
              <w:spacing w:after="0"/>
              <w:rPr>
                <w:sz w:val="24"/>
                <w:szCs w:val="24"/>
                <w:color w:val="auto"/>
              </w:rPr>
            </w:pPr>
          </w:p>
        </w:tc>
      </w:tr>
      <w:tr>
        <w:trPr>
          <w:trHeight w:val="155"/>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West Haven Facility</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Homestead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Homestead, FL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Oglesby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Oglesby,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Rock Island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Rock Island,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Centreville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Centreville,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Holyoke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Holyoke,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Carson City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Paterson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Schenectady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Glenville,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Toledo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Danville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Danville,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405"/>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3"/>
              </w:rPr>
              <w:t>Retail Properties</w:t>
            </w:r>
          </w:p>
        </w:tc>
        <w:tc>
          <w:tcPr>
            <w:tcW w:w="3200" w:type="dxa"/>
            <w:vAlign w:val="bottom"/>
            <w:tcBorders>
              <w:bottom w:val="single" w:sz="8" w:color="auto"/>
            </w:tcBorders>
          </w:tcPr>
          <w:p>
            <w:pPr>
              <w:spacing w:after="0"/>
              <w:rPr>
                <w:sz w:val="24"/>
                <w:szCs w:val="24"/>
                <w:color w:val="auto"/>
              </w:rPr>
            </w:pPr>
          </w:p>
        </w:tc>
      </w:tr>
      <w:tr>
        <w:trPr>
          <w:trHeight w:val="155"/>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Bluepoint Wellness Branford</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Branford,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Bluepoint Wellness Westport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Westport, CT</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Bonita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Bonita Springs,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Deerfield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Deerfield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Hallandale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Hallandale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Oviedo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Oviedo,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Pinellas Park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Pinellas Park,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West Palm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West Palm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Rise Canton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Canton,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The Clinic Effingham</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Effingham,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3C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Mundelein</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Mundelein,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3C Naperville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Naperville,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Niles</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Niles,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Rise Quincy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Quincy,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Bethesda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Bethesda,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Joppa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Joppa, MD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Silver Spring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Silver Spring,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Amherst</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Amherst,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Paterson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Carson City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Essence Henderson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Henderson,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The Strip</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Essence Tropicana West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6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79</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Essence South Rainbow</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 Vegas, NV</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Spanish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Spanish Springs,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Fp WELLNESS Halfmoon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Clifton Park,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Fp WELLNESS Manhattan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New York,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Fp WELLNESS Rochester</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Rochester,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Cleveland</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Cleveland,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Lorain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Lorain,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Toledo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Carlisle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Carlisle,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Chambersburg</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Chambersburg,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Cranberry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Cranberry,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Erie</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Erie, PA</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Hermitage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Hermitage,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King of Prussia</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King of Prussia,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Latrobe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Latrobe,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Mechanicsburg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Mechanicsburg,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New Castle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New Castle,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Rise Steelton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Steelton,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York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York,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South Rainbow</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20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Properties Subject to an Encumbrance. </w:t>
      </w:r>
      <w:r>
        <w:rPr>
          <w:rFonts w:ascii="Arial" w:cs="Arial" w:eastAsia="Arial" w:hAnsi="Arial"/>
          <w:sz w:val="18"/>
          <w:szCs w:val="18"/>
          <w:color w:val="auto"/>
        </w:rPr>
        <w:t>There are mortgages on three of our owned retail and processing properties. Pursuant to the Note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collateralized the processing facilities in (i) Rock Island, Illinois, and (ii) Homestead, Florida. Pursuant to the Joliet Mortgage Loan, we collateralized the retail facility in Joliet, Illinois.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Our Articles provide that the number of directors should not be fewer than three directors. Each director shall hold office until the close of our next annual general meeting, or until his or her successor is duly elected or appointed, unless his or her office is earlier vacated. Our Board currently consists of seven directors, of whom three are considered to be independent persons. See “</w:t>
      </w:r>
      <w:r>
        <w:rPr>
          <w:rFonts w:ascii="Arial" w:cs="Arial" w:eastAsia="Arial" w:hAnsi="Arial"/>
          <w:sz w:val="18"/>
          <w:szCs w:val="18"/>
          <w:i w:val="1"/>
          <w:iCs w:val="1"/>
          <w:color w:val="auto"/>
        </w:rPr>
        <w:t>Director Independence</w:t>
      </w:r>
      <w:r>
        <w:rPr>
          <w:rFonts w:ascii="Arial" w:cs="Arial" w:eastAsia="Arial" w:hAnsi="Arial"/>
          <w:sz w:val="18"/>
          <w:szCs w:val="18"/>
          <w:color w:val="auto"/>
        </w:rPr>
        <w:t>” for details on the independence of our directors.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the individuals that we anticipate will be our directors and executive officers as of the Effective Date and their respective positions.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68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Westley Moore</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Beth Burk</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6820" w:type="dxa"/>
            <w:vAlign w:val="bottom"/>
          </w:tcPr>
          <w:p>
            <w:pPr>
              <w:jc w:val="center"/>
              <w:spacing w:after="0"/>
              <w:rPr>
                <w:sz w:val="20"/>
                <w:szCs w:val="20"/>
                <w:color w:val="auto"/>
              </w:rPr>
            </w:pPr>
            <w:r>
              <w:rPr>
                <w:rFonts w:ascii="Arial" w:cs="Arial" w:eastAsia="Arial" w:hAnsi="Arial"/>
                <w:sz w:val="18"/>
                <w:szCs w:val="18"/>
                <w:color w:val="auto"/>
                <w:w w:val="88"/>
              </w:rPr>
              <w:t>General Counsel and Secretary</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Dooley</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Chief Strategy Officer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Knudson</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People Officer</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682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bl>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Articles provide that the directors may, from time to time, appoint such officers as the directors determine. The directors may, at any time, terminate any such appointment. All members of management devote full time to our business and have entered into a non-competition or non-disclosure agreements with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Biographies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Wendy Berger, Director. </w:t>
      </w:r>
      <w:r>
        <w:rPr>
          <w:rFonts w:ascii="Arial" w:cs="Arial" w:eastAsia="Arial" w:hAnsi="Arial"/>
          <w:sz w:val="17"/>
          <w:szCs w:val="17"/>
          <w:color w:val="auto"/>
        </w:rPr>
        <w:t>Wendy Berger has served as a Director since February 2015. Since 2004, Wendy has served as a principal of WBS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Master of Business Administration in Finance and Real Estate from Northwestern University’s Kellogg School of Management. She received a Bachelor of Science, </w:t>
      </w:r>
      <w:r>
        <w:rPr>
          <w:rFonts w:ascii="Arial" w:cs="Arial" w:eastAsia="Arial" w:hAnsi="Arial"/>
          <w:sz w:val="17"/>
          <w:szCs w:val="17"/>
          <w:i w:val="1"/>
          <w:iCs w:val="1"/>
          <w:color w:val="auto"/>
        </w:rPr>
        <w:t>cum laude</w:t>
      </w:r>
      <w:r>
        <w:rPr>
          <w:rFonts w:ascii="Arial" w:cs="Arial" w:eastAsia="Arial" w:hAnsi="Arial"/>
          <w:sz w:val="17"/>
          <w:szCs w:val="17"/>
          <w:color w:val="auto"/>
        </w:rPr>
        <w:t>, in Finance and Marketing from Syracuse University.</w:t>
      </w:r>
    </w:p>
    <w:p>
      <w:pPr>
        <w:spacing w:after="0" w:line="18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i w:val="1"/>
          <w:iCs w:val="1"/>
          <w:color w:val="auto"/>
        </w:rPr>
        <w:t>William Gruver, Director</w:t>
      </w:r>
      <w:r>
        <w:rPr>
          <w:rFonts w:ascii="Arial" w:cs="Arial" w:eastAsia="Arial" w:hAnsi="Arial"/>
          <w:sz w:val="18"/>
          <w:szCs w:val="18"/>
          <w:color w:val="auto"/>
        </w:rPr>
        <w:t>. William Gruver has served as a Director since April 2019. William holds the Howard I. Scott Chair in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Commerce, Strategy and Leadership at Bucknell University, where he has been a professor since 1993. In addition, for the last 25 years, William has been a consultant retained by clients to provide strategic consulting and advisory services. He spent 20 years from 1972 to 1992 at Goldman, Sachs &amp; Co., the international investment banking firm. In the wake of the 1987 stock market crash, in 1988, he was named Chief Administrative Officer of that firm’s largest division—the equities division—which, under his leadership, reorganized and redeployed its people and capital to become one of the firm’s most profitable areas.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9" w:lineRule="auto"/>
        <w:rPr>
          <w:sz w:val="20"/>
          <w:szCs w:val="20"/>
          <w:color w:val="auto"/>
        </w:rPr>
      </w:pPr>
      <w:r>
        <w:rPr>
          <w:rFonts w:ascii="Arial" w:cs="Arial" w:eastAsia="Arial" w:hAnsi="Arial"/>
          <w:sz w:val="17"/>
          <w:szCs w:val="17"/>
          <w:color w:val="auto"/>
        </w:rPr>
        <w:t>Prior to his tenure with Goldman, Sachs &amp; Co., he served as a qualified officer of the deck in the nuclear submarine force of the United States Navy where he was awarded several decorations. William currently serves on the audit committees of Geisinger Health, a $7 billion integrated health care system in Pennsylvania and New Jersey, where he chairs the audit committee, and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Berea College, the first interracial and coeducational college in the South, from 1996 to 2008. He is also a national arbitrator of the Financial Industry Regulatory Authority. He has received the Lindback Award for distinguished teaching and the Eastern College Athletic Conference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Bachelor of Arts with distinction from Dartmouth College and his Master of Business Administration from Columbia University.</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Westley Moore, Director</w:t>
      </w:r>
      <w:r>
        <w:rPr>
          <w:rFonts w:ascii="Arial" w:cs="Arial" w:eastAsia="Arial" w:hAnsi="Arial"/>
          <w:sz w:val="16"/>
          <w:szCs w:val="16"/>
          <w:color w:val="auto"/>
        </w:rPr>
        <w:t>. Wes Moore has served as a Director since July 2018. Since March 2017, Wes has been the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Robin Hood, New York City’s largest poverty-fighting organization, where he previously served on its Veterans Advisory Board.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the Public Broadcasting Service’s “American Graduate Day” (since September 2014) and has served as the Executive Producer and host of the Public Broadcasting Service’s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He earned a Magister Litterarum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17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Glen Senk, Director</w:t>
      </w:r>
      <w:r>
        <w:rPr>
          <w:rFonts w:ascii="Arial" w:cs="Arial" w:eastAsia="Arial" w:hAnsi="Arial"/>
          <w:sz w:val="16"/>
          <w:szCs w:val="16"/>
          <w:color w:val="auto"/>
        </w:rPr>
        <w:t>. Glen Senk has served as a Director since June 2018. Glen founded Front Row Partners in April 2014, where he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serves as Chairman and Chief Executive Officer. From 2012 to 2014, he served as Chief Executive Officer for America’s leading fine jewelry 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Chief Executive Officer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(TSE: ATZ) and Boden. Glen has previously served on the boards of Urban Outfitters (NASDAQ: URBN), Bare Escentuals (NASDAQ: BARE), Melissa &amp; Doug, Tory Burch, David Yurman, Opening Ceremony and Cooking.com. Glen holds a Bachelor of Arts, </w:t>
      </w:r>
      <w:r>
        <w:rPr>
          <w:rFonts w:ascii="Arial" w:cs="Arial" w:eastAsia="Arial" w:hAnsi="Arial"/>
          <w:sz w:val="16"/>
          <w:szCs w:val="16"/>
          <w:i w:val="1"/>
          <w:iCs w:val="1"/>
          <w:color w:val="auto"/>
        </w:rPr>
        <w:t>magna cum laude</w:t>
      </w:r>
      <w:r>
        <w:rPr>
          <w:rFonts w:ascii="Arial" w:cs="Arial" w:eastAsia="Arial" w:hAnsi="Arial"/>
          <w:sz w:val="16"/>
          <w:szCs w:val="16"/>
          <w:color w:val="auto"/>
        </w:rPr>
        <w:t>, in psychology, computer science and mathematics from New York University and a Master of Business Administration in marketing and finance from the University of Chicago Booth School of Business. He is a member of Phi Beta Kappa and Psi Chi.</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 xml:space="preserve">Alejandro (Alex) Yemenidjian, Director. </w:t>
      </w:r>
      <w:r>
        <w:rPr>
          <w:rFonts w:ascii="Arial" w:cs="Arial" w:eastAsia="Arial" w:hAnsi="Arial"/>
          <w:sz w:val="16"/>
          <w:szCs w:val="16"/>
          <w:color w:val="auto"/>
        </w:rPr>
        <w:t>Alejandro Yemenidjian has served as a Director, since June 2019 when we acquired Integral Associates,</w:t>
      </w:r>
      <w:r>
        <w:rPr>
          <w:rFonts w:ascii="Arial" w:cs="Arial" w:eastAsia="Arial" w:hAnsi="Arial"/>
          <w:sz w:val="16"/>
          <w:szCs w:val="16"/>
          <w:i w:val="1"/>
          <w:iCs w:val="1"/>
          <w:color w:val="auto"/>
        </w:rPr>
        <w:t xml:space="preserve"> </w:t>
      </w:r>
      <w:r>
        <w:rPr>
          <w:rFonts w:ascii="Arial" w:cs="Arial" w:eastAsia="Arial" w:hAnsi="Arial"/>
          <w:sz w:val="16"/>
          <w:szCs w:val="16"/>
          <w:color w:val="auto"/>
        </w:rPr>
        <w:t>LLC. He also served as GTI’s Managing Director of Integral Associates from June 2019 to April 2020. Since January 2005, he has been the Chief Executive Officer and sole Managing Member of Armenco Holdings, LLC, a private investment company, co-founded Armenco Capital LLC in April 2013, a commercial real estate investment company, co-founded Armenco Restaurant Group LLC in October 2014, a franchisee of Jersey Mike’s in Las Vegas, and co-founded Integral Associates I and Integral Associates II in April 2014 and September 2014, respectively, medical and adult use cannabis companies in Nevada and California. Alejandro was co-owner and served as Chairman of the Board and Chief Executive Officer of Tropicana Las Vegas Hotel &amp; Casino, Inc. from July 2009 to September 2015. He also served as Chairman of the Board and Chief Executive Officer of Metro-Goldwyn-Mayer Inc. from April 1999 to April 2005 and was a Director from November 1997 to April 2005. Alejandro was Director of MGM Resorts International, Inc. (formerly MGM Grand, Inc. and MGM Mirage Resorts, Inc.) from 1989 to 2005 and was President of MGM Resorts International, Inc. from 1995 to 1999. He also served MGM Resorts International, Inc. in other capacities, including Chief Operating Officer from 1995 until 1999 and Chief Financial Officer from 1994 to 1998. He served as an executive of Tracinda Corporation, the majority owner of both Metro-Goldwyn-Mayer Inc. and MGM Resorts International, Inc., from 1990 to 1997 and again during 1999. Alejandro is a Trustee of Baron Investment Funds Trust and Baron Select Funds, is Lead Director and Chairman of the compensation committee of Guess?, Inc., a worldwide retailer of contemporary apparel, and until March 2018, when that company was sold, was a Director and Chairman of the audit committee of Regal Entertainment Group, a motion picture exhibition company. As part of his civic and charitable activities, Alejandro serves on the board of USC Marshall School of Business Board of Leaders, was Co-Chair of Imagine the Arts Campaign of California State University, Northridge, served as Director of the Lincy Foundation, served as Trustee of the American Film Institute and served as Chairman of the United Armenian Fund. He has a Bachelor’s degree in Business Administration and Accounting from California State University, Northridge, a Master’s degree in Business Taxation from the University of Southern California and was Adjunct Professor of Taxation at the University of Southern California Graduate School of Business.</w:t>
      </w:r>
    </w:p>
    <w:p>
      <w:pPr>
        <w:spacing w:after="0" w:line="16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Beth Burk, General Counsel and Secretary</w:t>
      </w:r>
      <w:r>
        <w:rPr>
          <w:rFonts w:ascii="Arial" w:cs="Arial" w:eastAsia="Arial" w:hAnsi="Arial"/>
          <w:sz w:val="17"/>
          <w:szCs w:val="17"/>
          <w:color w:val="auto"/>
        </w:rPr>
        <w:t>. Beth Burk joined as Interim Chief Legal and Compliance Officer in November 2019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in January 2020. She was appointed as Secretary of the Corporation on March 20,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plc, she served the company in its Chicago and London offices in a variety of key leadership roles. Prior to joining Aon plc, Beth was a partner in the Chicago office of the global law firm Winston &amp; Strawn LLP, where she advised businesses in a variety of industries from early stage to maturity. Beth brings over 25 years of broad legal experience and earned her Juris Doctor from Chicago-Kent College of Law and a Bachelor of General Studies degree, with a concentration in Economics, from the University of Michigan.</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Jennifer Dooley, Chief Strategy Officer</w:t>
      </w:r>
      <w:r>
        <w:rPr>
          <w:rFonts w:ascii="Arial" w:cs="Arial" w:eastAsia="Arial" w:hAnsi="Arial"/>
          <w:sz w:val="16"/>
          <w:szCs w:val="16"/>
          <w:color w:val="auto"/>
        </w:rPr>
        <w:t>. Jennifer Dooley has been our Chief Strategy Officer since April 2018. In addition to her responsibilities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strategy, on an interim basis, she has led marketing since October 2019 and led information technology from October to December 2019. Jennifer joined us in March 2016 and was Vice President of Marketing and Brand Development until April 2017 and Chief Marketing Officer from April 2017 to April 2018. Prior to joining Green Thumb Industries Inc., from June 2008 to March 2016, Jennifer held various marketing leadership roles at Storck USA, a top 10 global confectioner, known for brands Werther’s Original, Toffifay, Mamba, merci and RIESEN. Jennifer has a Master of Business Administration from Northwestern University Kellogg School of Management with emphases in Marketing, Entrepreneurship and Innovation. Jennifer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College of Charleston with a Bachelor of Science in Business Administration and English. Jennifer brings a decade of experience building consumer brands. In 2019, Jennifer was named to Marijuana Venture’s “40 Under 40” list.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Anthony Georgiadis, Chief Financial Officer and Director</w:t>
      </w:r>
      <w:r>
        <w:rPr>
          <w:rFonts w:ascii="Arial" w:cs="Arial" w:eastAsia="Arial" w:hAnsi="Arial"/>
          <w:sz w:val="16"/>
          <w:szCs w:val="16"/>
          <w:color w:val="auto"/>
        </w:rPr>
        <w:t>. Anthony Georgiadis joined us in May 2015 as a managing partner and in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became Chief Financial Officer and Director. In 2005, Anthony co-founded and, until he joined our company, acted as Chief Operating Officer of Wendover Art Group, one of the largest domestic wall décor manufacturers in North America. Previously, he worked as an investment associate for CIVC Partners, a $1.5 billion private equity firm, and as a mergers and acquisitions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 Warriors Foundation. Anthony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from Bucknell University with a degree in finance and a minor in mathematics.</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Julie Knudson, Chief People Officer. </w:t>
      </w:r>
      <w:r>
        <w:rPr>
          <w:rFonts w:ascii="Arial" w:cs="Arial" w:eastAsia="Arial" w:hAnsi="Arial"/>
          <w:sz w:val="17"/>
          <w:szCs w:val="17"/>
          <w:color w:val="auto"/>
        </w:rPr>
        <w:t>Julie Knudson joined us in August 2019 as the Chief People Officer. From February 2015 to March 2018,</w:t>
      </w:r>
      <w:r>
        <w:rPr>
          <w:rFonts w:ascii="Arial" w:cs="Arial" w:eastAsia="Arial" w:hAnsi="Arial"/>
          <w:sz w:val="17"/>
          <w:szCs w:val="17"/>
          <w:i w:val="1"/>
          <w:iCs w:val="1"/>
          <w:color w:val="auto"/>
        </w:rPr>
        <w:t xml:space="preserve"> </w:t>
      </w:r>
      <w:r>
        <w:rPr>
          <w:rFonts w:ascii="Arial" w:cs="Arial" w:eastAsia="Arial" w:hAnsi="Arial"/>
          <w:sz w:val="17"/>
          <w:szCs w:val="17"/>
          <w:color w:val="auto"/>
        </w:rPr>
        <w:t>Julie was Senior Vice President and Chief Human Resources Officer at GGP Inc., an S&amp;P 500 company. Prior to GGP Inc., Julie was the head of human resources in public companies Echo Global Logistics, DigitalGlobe and YesMail and held leadership positions at Accenture including as Vice President Human Resources for its subsidiary Navitaire. She also spent time in Rwanda as the Country Director for The Clinton Foundation. She started her career in consulting and brings 30 years of business and global human resources leadership experience. Julie has a Bachelor of Science in Accountancy from the University of Illinois, graduating with Bronze Tablet honors, and a Sloan Master’s in Leadership and Strategy from the London Business School, graduating with distinction. Julie has been a director of a private foundation and is an Advisory Council Member of Youth Guidance’s WOW (Working on Womanhood) program.</w:t>
      </w:r>
    </w:p>
    <w:p>
      <w:pPr>
        <w:spacing w:after="0" w:line="178"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i w:val="1"/>
          <w:iCs w:val="1"/>
          <w:color w:val="auto"/>
        </w:rPr>
        <w:t>Benjamin Kovler, Founder, Chief Executive Officer and Chairman</w:t>
      </w:r>
      <w:r>
        <w:rPr>
          <w:rFonts w:ascii="Arial" w:cs="Arial" w:eastAsia="Arial" w:hAnsi="Arial"/>
          <w:sz w:val="16"/>
          <w:szCs w:val="16"/>
          <w:color w:val="auto"/>
        </w:rPr>
        <w:t>. Benjamin Kovler founded Green Thumb Industries Inc. in 2014. He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since 2014 and Chief 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an annual forum bringing together portfolio managers, family offices and analysts to share investment ideas to benefit children in Illinois. In its first 11 years, Invest For Kids generated more than $15 million to benefit 60 youth organizations that have helped 80,000 children. Benjamin is also on the board of the Providence St. Mel School and the Academy for Global Citizenship. Benjamin brings his extensive experience managing complex operating companies and deep commitment to philanthropy. He earned a Bachelor of Arts in philosophy, politics and economics from Pomona College and a Master of Business Administration in accounting and finance from The University of Chicago.</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1, 2020, there are no familial relationships among any of our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For purposes of this prospectus, the independence of our directors is determined under the corporate governance rules of the New York Stock Exchange. The independence rules of the New York Stock Exchange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us either directly or as a partner, shareholder or officer of an organization that has a relationship with us. It has been determined that three of our directors that we expect to be on the Board as of the Effective Date are independent persons under the independence rules of the New York Stock Exchange: Glen Senk, Westley Moore and William Gruver.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currently have an audit committee and compensation committee. A brief description of each committee is set out below. Both Committees held 4 meetings during the year ended December 31, 2019.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Composition of the Audit Committee.</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Audit Committee of the Board assists our Board in fulfilling its responsibilities for oversight of financial, audit and accounting matters. The Audit Committee reviews the financial reports and other financial information that we provide to regulatory authorities and our shareholders, as well as reviews our system of internal controls regarding finance and accounting, including auditing, accounting and financial reporting processes.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prospectus, the following are the members of the Audit Committee: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Member</w:t>
            </w:r>
          </w:p>
        </w:tc>
        <w:tc>
          <w:tcPr>
            <w:tcW w:w="3800" w:type="dxa"/>
            <w:vAlign w:val="bottom"/>
          </w:tcPr>
          <w:p>
            <w:pPr>
              <w:spacing w:after="0"/>
              <w:rPr>
                <w:sz w:val="16"/>
                <w:szCs w:val="16"/>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1"/>
              </w:rPr>
              <w:t>Independent</w:t>
            </w:r>
            <w:r>
              <w:rPr>
                <w:rFonts w:ascii="Arial" w:cs="Arial" w:eastAsia="Arial" w:hAnsi="Arial"/>
                <w:sz w:val="12"/>
                <w:szCs w:val="12"/>
                <w:b w:val="1"/>
                <w:bCs w:val="1"/>
                <w:color w:val="auto"/>
                <w:w w:val="91"/>
              </w:rPr>
              <w:t>(1)</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Financially Literate</w:t>
            </w:r>
            <w:r>
              <w:rPr>
                <w:rFonts w:ascii="Arial" w:cs="Arial" w:eastAsia="Arial" w:hAnsi="Arial"/>
                <w:sz w:val="12"/>
                <w:szCs w:val="12"/>
                <w:b w:val="1"/>
                <w:bCs w:val="1"/>
                <w:color w:val="auto"/>
                <w:w w:val="94"/>
              </w:rPr>
              <w:t>(2)</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1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100" w:hanging="424"/>
        <w:spacing w:after="0" w:line="271"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member of the Audit Committee is independent if he or she has no direct or indirect ‘material relationship’ with us. A material relationship is a relationship which could, in the view of our Board, reasonably interfere with the exercise of a member’s independent judgment. Any of our executive officers, such as the President or Secretary, are deemed to have a material relationship with us.</w:t>
      </w:r>
    </w:p>
    <w:p>
      <w:pPr>
        <w:ind w:left="540" w:right="2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our financial statements.</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Relevant Education and Experience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member of the Audit Committee has experience relevant to his or her responsibilities as an Audit Committee member. See “</w:t>
      </w:r>
      <w:r>
        <w:rPr>
          <w:rFonts w:ascii="Arial" w:cs="Arial" w:eastAsia="Arial" w:hAnsi="Arial"/>
          <w:sz w:val="18"/>
          <w:szCs w:val="18"/>
          <w:i w:val="1"/>
          <w:iCs w:val="1"/>
          <w:color w:val="auto"/>
        </w:rPr>
        <w:t>Director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 Biographies</w:t>
      </w:r>
      <w:r>
        <w:rPr>
          <w:rFonts w:ascii="Arial" w:cs="Arial" w:eastAsia="Arial" w:hAnsi="Arial"/>
          <w:sz w:val="18"/>
          <w:szCs w:val="18"/>
          <w:color w:val="auto"/>
        </w:rPr>
        <w:t>” for a description of the education and experience of each Audit Committee member.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 Oversight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At no time since the commencement of our most recently completed fiscal year was a recommendation of the Audit Committee to nominate or compensate an external auditor not adopted by the Board.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Committee’s Charter</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Board has adopted a written charter for the Audit Committee, which sets out the Audit Committee’s responsibilities. The Audit Committee’s principal duties and responsibilities include assisting the Board in discharging the oversight of: (i) our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Compensation Committee of the Board assists our Board in fulfilling its responsibilities for compensation philosophy and guidelines. The current members of the Compensation Committee include the following three directors: (1) Glen Senk (Chair), (2) Westley Moore and (3) Wendy Berger. For additional details on the Compensation Committee, see “</w:t>
      </w:r>
      <w:r>
        <w:rPr>
          <w:rFonts w:ascii="Arial" w:cs="Arial" w:eastAsia="Arial" w:hAnsi="Arial"/>
          <w:sz w:val="18"/>
          <w:szCs w:val="18"/>
          <w:i w:val="1"/>
          <w:iCs w:val="1"/>
          <w:color w:val="auto"/>
        </w:rPr>
        <w:t>Compensation 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Corporation does not have a nominating committee. Instead, the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Corporation’s business; and (v) whether the nominee will be an independent director. Directors are encouraged to identify potential candidates. Shareholders may recommend director candidates for consideration by the Board by writing to our Corporate Secretary as outlined under the heading “Governance – How may I recommend candidates to serve as directors?” above. An invitation to stand as a nominee for election to the Board will normally be made to a candidate by the Board through the Chairman of the Corporation or his delegate.</w:t>
      </w:r>
    </w:p>
    <w:p>
      <w:pPr>
        <w:spacing w:after="0" w:line="16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Corporation is committed to diversity in all aspects of its business and activities, including with respect to its Board of Directors. The Corporation and the Board believe that diversity and inclusion foster a wide array of perspectives and help build cultures of trust, candor and respect. The Corporation and the Board will continue to support and encourage the recruitment and appointment of diverse candidates to Board positions. In addition to recruiting and considering director candidates, the Board annually reviews the competencies, skills and personal qualities applicable to candidates to be considered for nomination to the Board. The objective of this review is to maintain the composition of the Board in a way that provides, in the judgment of the Board, the best mix of competencies, skills and experience to provide for the overall stewardship of the Corporation.</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has concluded that it is appropriate for the responsibility of vetting and nominating directors to be exercised by the full Board, without the need for a nominating committee. However, our Board will continue to periodically review our leadership structure and may make changes in the future as it deems appropriate.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Qualifications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that each of the members of our Board has the experience, qualifications, attributes and skills that make him or her suitable to serve as our director, in light of our highly regulated cannabis business, our complex operations and large number of employees. See “</w:t>
      </w:r>
      <w:r>
        <w:rPr>
          <w:rFonts w:ascii="Arial" w:cs="Arial" w:eastAsia="Arial" w:hAnsi="Arial"/>
          <w:sz w:val="18"/>
          <w:szCs w:val="18"/>
          <w:i w:val="1"/>
          <w:iCs w:val="1"/>
          <w:color w:val="auto"/>
        </w:rPr>
        <w:t>Director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Biographies</w:t>
      </w:r>
      <w:r>
        <w:rPr>
          <w:rFonts w:ascii="Arial" w:cs="Arial" w:eastAsia="Arial" w:hAnsi="Arial"/>
          <w:sz w:val="18"/>
          <w:szCs w:val="18"/>
          <w:color w:val="auto"/>
        </w:rPr>
        <w:t>” for a description of the education and experience of each director.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Benjamin Kovler </w:t>
      </w:r>
      <w:r>
        <w:rPr>
          <w:rFonts w:ascii="Arial" w:cs="Arial" w:eastAsia="Arial" w:hAnsi="Arial"/>
          <w:sz w:val="18"/>
          <w:szCs w:val="18"/>
          <w:color w:val="auto"/>
        </w:rPr>
        <w:t>serves as our Chief Executive Officer of and has served as a Director of the Board since he founded Green Thumb Industries Inc.</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Mr. Kovler also serves as the Chief Executive Officer of Invest For Kids, and is on the board of the Providence St. Mel School and Academy for Global Citizenship.</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Kovler’s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deep understanding of our company and the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i w:val="1"/>
          <w:iCs w:val="1"/>
          <w:color w:val="auto"/>
        </w:rPr>
        <w:t xml:space="preserve">Anthony Georgiadis </w:t>
      </w:r>
      <w:r>
        <w:rPr>
          <w:rFonts w:ascii="Arial" w:cs="Arial" w:eastAsia="Arial" w:hAnsi="Arial"/>
          <w:sz w:val="17"/>
          <w:szCs w:val="17"/>
          <w:color w:val="auto"/>
        </w:rPr>
        <w:t>serves as our Chief Financial Officer and has served as a Director of the Board since 2016. Mr. Georgiadis was formerly a</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investing associate for CIVC Partners and a mergers and acquisitions analyst for Bowles Hollowell Connor &amp; Co.</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Georgiadis’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deep understanding of the cannabis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financial reporting and analysis expertise.</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i w:val="1"/>
          <w:iCs w:val="1"/>
          <w:color w:val="auto"/>
        </w:rPr>
        <w:t xml:space="preserve">Wendy Berger </w:t>
      </w:r>
      <w:r>
        <w:rPr>
          <w:rFonts w:ascii="Arial" w:cs="Arial" w:eastAsia="Arial" w:hAnsi="Arial"/>
          <w:sz w:val="18"/>
          <w:szCs w:val="18"/>
          <w:color w:val="auto"/>
        </w:rPr>
        <w:t>has served as a Director of the Board since February 2015. Ms. Berger is also a principal of WBS Equities, LLC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Operating Officer of Neoglyphics Media 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Berger’s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deep understanding of real estate planning, development and transactions;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Glen Senk </w:t>
      </w:r>
      <w:r>
        <w:rPr>
          <w:rFonts w:ascii="Arial" w:cs="Arial" w:eastAsia="Arial" w:hAnsi="Arial"/>
          <w:sz w:val="18"/>
          <w:szCs w:val="18"/>
          <w:color w:val="auto"/>
        </w:rPr>
        <w:t>has served as a Director of the Board since June 2018. Mr. Senk previously served as Senior Vice President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Bloomingdale’s and, in 1989, became chief executive of Habitat International Merchandise and Marketing Group. Mr. Senk served as Chief Executive Officer for David Yurman from February 2012 to February 2014 and currently serves as Chairman and Chief Executive Officer of Front Row Partners and board member of Aritzia (TSE: ATZ). Mr. Senk was a Senior Vice President and General Merchandise Manager at Williams-Sonoma, President of Anthropologie and a board member of URBN (NASDAQ: URBN).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Senk’s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deep understanding of our company and the retail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Westley Moore </w:t>
      </w:r>
      <w:r>
        <w:rPr>
          <w:rFonts w:ascii="Arial" w:cs="Arial" w:eastAsia="Arial" w:hAnsi="Arial"/>
          <w:sz w:val="18"/>
          <w:szCs w:val="18"/>
          <w:color w:val="auto"/>
        </w:rPr>
        <w:t>has served as a Director of the Board since July 2018. Mr. Moore was the founder and Chief Executive Officer at BridgeEdU,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Chief Executive Officer at Robin Hood.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Moore’s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deep understanding of social impact and entrepreneurship;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William Gruver </w:t>
      </w:r>
      <w:r>
        <w:rPr>
          <w:rFonts w:ascii="Arial" w:cs="Arial" w:eastAsia="Arial" w:hAnsi="Arial"/>
          <w:sz w:val="18"/>
          <w:szCs w:val="18"/>
          <w:color w:val="auto"/>
        </w:rPr>
        <w:t>has served as a Director of the Board since April 2019. Mr. Gruver currently serves on two additional audit committees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Geisinger Health and Private Client Bank. Mr. Gruver was named the Chief Administrative Officer of Goldman, Sachs &amp; Co.’s equities division during his tenure with Goldman, Sachs &amp; 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Gruver’s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Finance and financial reporting expertise;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320" w:top="459" w:right="5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i w:val="1"/>
          <w:iCs w:val="1"/>
          <w:color w:val="auto"/>
        </w:rPr>
        <w:t xml:space="preserve">Alejandro Yemenidjian </w:t>
      </w:r>
      <w:r>
        <w:rPr>
          <w:rFonts w:ascii="Arial" w:cs="Arial" w:eastAsia="Arial" w:hAnsi="Arial"/>
          <w:sz w:val="16"/>
          <w:szCs w:val="16"/>
          <w:color w:val="auto"/>
        </w:rPr>
        <w:t>has served as a Director of the Board since June 2019 and was a co-founder and Managing Director of Integral Associates,</w:t>
      </w:r>
      <w:r>
        <w:rPr>
          <w:rFonts w:ascii="Arial" w:cs="Arial" w:eastAsia="Arial" w:hAnsi="Arial"/>
          <w:sz w:val="16"/>
          <w:szCs w:val="16"/>
          <w:i w:val="1"/>
          <w:iCs w:val="1"/>
          <w:color w:val="auto"/>
        </w:rPr>
        <w:t xml:space="preserve"> </w:t>
      </w:r>
      <w:r>
        <w:rPr>
          <w:rFonts w:ascii="Arial" w:cs="Arial" w:eastAsia="Arial" w:hAnsi="Arial"/>
          <w:sz w:val="16"/>
          <w:szCs w:val="16"/>
          <w:color w:val="auto"/>
        </w:rPr>
        <w:t>LLC a business we acquired, until his resignation from that role in April 2020. Currently, he serves as Chairman of the Board and Chief Executive Officer of Armenco Holdings, LLC. Previously, Mr. Yemenidjian served on the board and as a director for several businesses such as Tropicana Las Vegas Hotel &amp; Casino, Inc., Metro-Goldwyn-Mayer Inc., MGM Resorts International, Inc., Guess?, Inc., and Regal Entertainment Group.</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Yemenidjian’s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deep understanding of the industry and entrepreneurship;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qualifications bring a broad set of complementary experience to the Board’s discharge of its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 Board Leadership Structure and Risk Oversight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Conflicts of interest may arise as a result of our directors, officers and promoters also holding positions as directors or officers of other companies. Some of the individuals that are our directors and officers have been and will continue to be engaged in the identification and evaluation of assets, businesses and companies on their own behalf and on behalf of other companies, and situations may arise where our directors and officers will be in direct competition with us. Conflicts, if any, will be subject to the procedures and remedies provided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During fiscal 2019, Glen Senk, Wendy Berger and Westley Moore served as members of the Compensation Committee. Wendy Berger has relationships requiring disclosure with respect to related party transactions. See “</w:t>
      </w:r>
      <w:r>
        <w:rPr>
          <w:rFonts w:ascii="Arial" w:cs="Arial" w:eastAsia="Arial" w:hAnsi="Arial"/>
          <w:sz w:val="16"/>
          <w:szCs w:val="16"/>
          <w:i w:val="1"/>
          <w:iCs w:val="1"/>
          <w:color w:val="auto"/>
        </w:rPr>
        <w:t>Transactions with Related Persons</w:t>
      </w:r>
      <w:r>
        <w:rPr>
          <w:rFonts w:ascii="Arial" w:cs="Arial" w:eastAsia="Arial" w:hAnsi="Arial"/>
          <w:sz w:val="16"/>
          <w:szCs w:val="16"/>
          <w:color w:val="auto"/>
        </w:rPr>
        <w:t>” for further details.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None of our executive officers served as a member of the compensation committee (or other board committee performing equivalent functions or, in the absence of any such committee, the entire board of directors) of another entity, one of whose executive officers served as our director or on the Compensation Committee, during fiscal 2019. None of our executive officers served as a director of another entity, one of whose executive officers served on the Compensation Committee, during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Board has adopted a written code of business conduct that applies to our directors, officers and employees, including our principal executive officer, principal financial officer, principal accounting officer or controller, or persons performing similar functions. A copy of the code is posted on our website, www.gtigrows.com. The information on our website is not deemed to be incorporated in this prospectus or to be part of this prospectus.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Board is authorized to review and approve annually all compensation decisions relating to our executive officers. In accordance with reduced disclosure rules applicable to emerging growth companies as set forth in Item 402 of Regulation S-K, this section explains how our compensation program is structured for our Chief Executive Officer and the other executive officers named in the Summary Compensation Table, which we refer to as the named executive officers.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The Board has not adopted any formal policies or procedures to determine the compensation of our directors or executive officers. The compensation of the directors and executive officers is determined by the Board, based on the recommendations of the Compensation Committee. Recommendations of the Compensation Committee are made giving consideration to the objectives discussed below and, if applicable, considering applicable industry data. For details regarding the experience of the members of the Compensation Committee, see “</w:t>
      </w:r>
      <w:r>
        <w:rPr>
          <w:rFonts w:ascii="Arial" w:cs="Arial" w:eastAsia="Arial" w:hAnsi="Arial"/>
          <w:sz w:val="18"/>
          <w:szCs w:val="18"/>
          <w:i w:val="1"/>
          <w:iCs w:val="1"/>
          <w:color w:val="auto"/>
        </w:rPr>
        <w:t>Director and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Biographies</w:t>
      </w:r>
      <w:r>
        <w:rPr>
          <w:rFonts w:ascii="Arial" w:cs="Arial" w:eastAsia="Arial" w:hAnsi="Arial"/>
          <w:sz w:val="18"/>
          <w:szCs w:val="18"/>
          <w:color w:val="auto"/>
        </w:rPr>
        <w:t>” and “</w:t>
      </w:r>
      <w:r>
        <w:rPr>
          <w:rFonts w:ascii="Arial" w:cs="Arial" w:eastAsia="Arial" w:hAnsi="Arial"/>
          <w:sz w:val="18"/>
          <w:szCs w:val="18"/>
          <w:i w:val="1"/>
          <w:iCs w:val="1"/>
          <w:color w:val="auto"/>
        </w:rPr>
        <w:t>Board Qualifications</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role and responsibility of the Compensation Committee is to assist the Board in fulfilling its responsibilities for establishing compensation philosophy and guidelines. Additionally, the Compensation Committee has responsibility for fixing compensation levels for the directors and executive officers and for entering into employment, severance protection, change in control and related agreements and plans for the Chief Executive Officer and other executive officers, provided that any individual agreement with the Chief Executive Officer is subject to Board approval. In addition, the Compensation Committee is charged with reviewing the Green Thumb Industries Inc. 2018 Stock and Incentive Plan, which we refer to as the Stock and Incentive Plan and proposing changes thereto and recommending any other employee benefit plans, incentive awards and perquisites with respect to the directors and executive officers. The independent directors on the Compensation Committee are responsible for approving any equity or incentive awards under the Stock and Incentive Plan. The Compensation Committee is also responsible for reviewing, approving and reporting to the Board annually (or more frequently as required) on our succession plans for our executive officers, and for overseeing our Board annual self-evaluation process.</w:t>
      </w:r>
    </w:p>
    <w:p>
      <w:pPr>
        <w:spacing w:after="0" w:line="19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Compensation Committee endeavors to ensure that the philosophy and operation of our compensation program reinforces our culture and values, creates a balance between risk and reward, attracts, motivates and retains executive officers over the long-term and aligns their interests with those of our shareholders. In addition, the Compensation Committee is to review our annual disclosure regarding executive compensation for inclusion where appropriate in our disclosure documents.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120" w:right="80" w:firstLine="436"/>
        <w:spacing w:after="0" w:line="259"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the fixed portion of each executive officer’s total compensation. It is designed to provide income certainty.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fulfill his or her responsibilities.</w:t>
      </w:r>
    </w:p>
    <w:p>
      <w:pPr>
        <w:spacing w:after="0" w:line="186" w:lineRule="exact"/>
        <w:rPr>
          <w:rFonts w:ascii="Arial" w:cs="Arial" w:eastAsia="Arial" w:hAnsi="Arial"/>
          <w:sz w:val="18"/>
          <w:szCs w:val="18"/>
          <w:color w:val="auto"/>
        </w:rPr>
      </w:pPr>
    </w:p>
    <w:p>
      <w:pPr>
        <w:ind w:left="120" w:firstLine="436"/>
        <w:spacing w:after="0" w:line="311"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Short-Term Incentive Awards. </w:t>
      </w:r>
      <w:r>
        <w:rPr>
          <w:rFonts w:ascii="Arial" w:cs="Arial" w:eastAsia="Arial" w:hAnsi="Arial"/>
          <w:sz w:val="16"/>
          <w:szCs w:val="16"/>
          <w:color w:val="auto"/>
        </w:rPr>
        <w:t>A cash incentive payment or bonus is a short-term incentive that is intended to reward each executive officer for</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individual contribution and performance of personal objectives as well as overall corporate performance. Cash bonuses are designed to motivate executive officers to achieve personal business objectives and to be accountable for our performance, as well as to attract and retain executives.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87"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Incentive Awards. </w:t>
      </w:r>
      <w:r>
        <w:rPr>
          <w:rFonts w:ascii="Arial" w:cs="Arial" w:eastAsia="Arial" w:hAnsi="Arial"/>
          <w:sz w:val="16"/>
          <w:szCs w:val="16"/>
          <w:color w:val="auto"/>
        </w:rPr>
        <w:t>Long-term incentives granted under the Stock and Incentive Plan are intended to align the interests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executive officers with those of the shareholders and to provide a long-term incentive that rewards these parties for their contribution to the creation of shareholder value. In establishing the number of nonqualified stock options, incentive stock options (which we refer to collectively as Options) and restricted stock units (which we refer to as RSUs) to be granted, reference is made to the recommendations made by the Compensation Committee as well as, from time to time, the number of similar awards granted to officers and directors of other publicly-traded companies of similar size in the same business as us. The Compensation Committee also considers previous grants of Options or RSUs to such executive officer and the overall number of Options or RSUs that are outstanding relative to the number of outstanding securities in determining whether to make any new grants of Options or RSUs and the size and terms of any such grants. With respect to executive officers, the Compensation Committee and the Board also consider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 For a more detailed description of the Stock and Incentive Plan, see </w:t>
      </w:r>
      <w:r>
        <w:rPr>
          <w:rFonts w:ascii="Arial" w:cs="Arial" w:eastAsia="Arial" w:hAnsi="Arial"/>
          <w:sz w:val="16"/>
          <w:szCs w:val="16"/>
          <w:i w:val="1"/>
          <w:iCs w:val="1"/>
          <w:color w:val="auto"/>
        </w:rPr>
        <w:t>Equity Compensation Plans</w:t>
      </w:r>
      <w:r>
        <w:rPr>
          <w:rFonts w:ascii="Arial" w:cs="Arial" w:eastAsia="Arial" w:hAnsi="Arial"/>
          <w:sz w:val="16"/>
          <w:szCs w:val="16"/>
          <w:color w:val="auto"/>
        </w:rPr>
        <w: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all compensation paid to or earned by our named executive officers in the last two (2) fiscal years.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Non-Equity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89"/>
              </w:rPr>
              <w:t>Deferred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2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19"/>
              <w:spacing w:after="0" w:line="135"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Salary</w:t>
            </w:r>
          </w:p>
        </w:tc>
        <w:tc>
          <w:tcPr>
            <w:tcW w:w="760" w:type="dxa"/>
            <w:vAlign w:val="bottom"/>
            <w:gridSpan w:val="2"/>
          </w:tcPr>
          <w:p>
            <w:pPr>
              <w:ind w:left="120"/>
              <w:spacing w:after="0" w:line="126" w:lineRule="exact"/>
              <w:rPr>
                <w:sz w:val="20"/>
                <w:szCs w:val="20"/>
                <w:color w:val="auto"/>
              </w:rPr>
            </w:pPr>
            <w:r>
              <w:rPr>
                <w:rFonts w:ascii="Arial" w:cs="Arial" w:eastAsia="Arial" w:hAnsi="Arial"/>
                <w:sz w:val="13"/>
                <w:szCs w:val="13"/>
                <w:b w:val="1"/>
                <w:bCs w:val="1"/>
                <w:color w:val="auto"/>
              </w:rPr>
              <w:t>Bonus</w:t>
            </w:r>
          </w:p>
        </w:tc>
        <w:tc>
          <w:tcPr>
            <w:tcW w:w="8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Awards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4"/>
              </w:rPr>
              <w:t>Compensation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2"/>
              <w:spacing w:after="0" w:line="126" w:lineRule="exact"/>
              <w:rPr>
                <w:sz w:val="20"/>
                <w:szCs w:val="20"/>
                <w:color w:val="auto"/>
              </w:rPr>
            </w:pPr>
            <w:r>
              <w:rPr>
                <w:rFonts w:ascii="Arial" w:cs="Arial" w:eastAsia="Arial" w:hAnsi="Arial"/>
                <w:sz w:val="13"/>
                <w:szCs w:val="13"/>
                <w:b w:val="1"/>
                <w:bCs w:val="1"/>
                <w:color w:val="auto"/>
                <w:w w:val="86"/>
              </w:rPr>
              <w:t>Earnings</w:t>
            </w:r>
          </w:p>
        </w:tc>
        <w:tc>
          <w:tcPr>
            <w:tcW w:w="220" w:type="dxa"/>
            <w:vAlign w:val="bottom"/>
          </w:tcPr>
          <w:p>
            <w:pPr>
              <w:spacing w:after="0"/>
              <w:rPr>
                <w:sz w:val="10"/>
                <w:szCs w:val="10"/>
                <w:color w:val="auto"/>
              </w:rPr>
            </w:pPr>
          </w:p>
        </w:tc>
        <w:tc>
          <w:tcPr>
            <w:tcW w:w="11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Compensation</w:t>
            </w:r>
          </w:p>
        </w:tc>
        <w:tc>
          <w:tcPr>
            <w:tcW w:w="720" w:type="dxa"/>
            <w:vAlign w:val="bottom"/>
            <w:gridSpan w:val="2"/>
          </w:tcPr>
          <w:p>
            <w:pPr>
              <w:ind w:left="20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Principal Position</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Year</w:t>
            </w:r>
            <w:r>
              <w:rPr>
                <w:rFonts w:ascii="Arial" w:cs="Arial" w:eastAsia="Arial" w:hAnsi="Arial"/>
                <w:sz w:val="10"/>
                <w:szCs w:val="10"/>
                <w:b w:val="1"/>
                <w:bCs w:val="1"/>
                <w:color w:val="auto"/>
                <w:w w:val="88"/>
              </w:rPr>
              <w:t>(1)</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8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2019</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$295,000</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$400,000</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ind w:left="20"/>
              <w:spacing w:after="0" w:line="117" w:lineRule="exact"/>
              <w:rPr>
                <w:sz w:val="20"/>
                <w:szCs w:val="20"/>
                <w:color w:val="auto"/>
              </w:rPr>
            </w:pPr>
            <w:r>
              <w:rPr>
                <w:rFonts w:ascii="Arial" w:cs="Arial" w:eastAsia="Arial" w:hAnsi="Arial"/>
                <w:sz w:val="13"/>
                <w:szCs w:val="13"/>
                <w:color w:val="auto"/>
                <w:w w:val="93"/>
              </w:rPr>
              <w:t>1,404,000</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6"/>
              </w:rPr>
              <w:t>1,764,000</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ind w:left="460"/>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52,943</w:t>
            </w:r>
          </w:p>
        </w:tc>
        <w:tc>
          <w:tcPr>
            <w:tcW w:w="360" w:type="dxa"/>
            <w:vAlign w:val="bottom"/>
            <w:tcBorders>
              <w:top w:val="single" w:sz="8" w:color="CCEEFF"/>
            </w:tcBorders>
            <w:shd w:val="clear" w:color="auto" w:fill="CCEEFF"/>
          </w:tcPr>
          <w:p>
            <w:pPr>
              <w:jc w:val="right"/>
              <w:ind w:right="159"/>
              <w:spacing w:after="0" w:line="117" w:lineRule="exact"/>
              <w:rPr>
                <w:sz w:val="20"/>
                <w:szCs w:val="20"/>
                <w:color w:val="auto"/>
              </w:rPr>
            </w:pPr>
            <w:r>
              <w:rPr>
                <w:rFonts w:ascii="Arial" w:cs="Arial" w:eastAsia="Arial" w:hAnsi="Arial"/>
                <w:sz w:val="12"/>
                <w:szCs w:val="12"/>
                <w:color w:val="auto"/>
                <w:w w:val="81"/>
              </w:rPr>
              <w:t>(6)</w:t>
            </w:r>
          </w:p>
        </w:tc>
        <w:tc>
          <w:tcPr>
            <w:tcW w:w="68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$3,915,943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 and Chairman</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$312,185</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$241,400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$1,648,862</w:t>
            </w:r>
          </w:p>
        </w:tc>
        <w:tc>
          <w:tcPr>
            <w:tcW w:w="0" w:type="dxa"/>
            <w:vAlign w:val="bottom"/>
          </w:tcPr>
          <w:p>
            <w:pPr>
              <w:spacing w:after="0"/>
              <w:rPr>
                <w:sz w:val="1"/>
                <w:szCs w:val="1"/>
                <w:color w:val="auto"/>
              </w:rPr>
            </w:pP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w:t>
            </w:r>
          </w:p>
        </w:tc>
        <w:tc>
          <w:tcPr>
            <w:tcW w:w="74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2019</w:t>
            </w:r>
          </w:p>
        </w:tc>
        <w:tc>
          <w:tcPr>
            <w:tcW w:w="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$297,500</w:t>
            </w:r>
          </w:p>
        </w:tc>
        <w:tc>
          <w:tcPr>
            <w:tcW w:w="7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$400,000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1,053,000</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89"/>
              </w:rPr>
              <w:t>1,764,000</w:t>
            </w:r>
          </w:p>
        </w:tc>
        <w:tc>
          <w:tcPr>
            <w:tcW w:w="1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59"/>
              <w:spacing w:after="0" w:line="130" w:lineRule="exact"/>
              <w:rPr>
                <w:sz w:val="20"/>
                <w:szCs w:val="20"/>
                <w:color w:val="auto"/>
              </w:rPr>
            </w:pPr>
            <w:r>
              <w:rPr>
                <w:rFonts w:ascii="Arial" w:cs="Arial" w:eastAsia="Arial" w:hAnsi="Arial"/>
                <w:sz w:val="14"/>
                <w:szCs w:val="14"/>
                <w:color w:val="auto"/>
              </w:rPr>
              <w:t>52,878</w:t>
            </w:r>
            <w:r>
              <w:rPr>
                <w:rFonts w:ascii="Arial" w:cs="Arial" w:eastAsia="Arial" w:hAnsi="Arial"/>
                <w:sz w:val="12"/>
                <w:szCs w:val="12"/>
                <w:color w:val="auto"/>
              </w:rPr>
              <w:t>(6)</w:t>
            </w:r>
          </w:p>
        </w:tc>
        <w:tc>
          <w:tcPr>
            <w:tcW w:w="72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4"/>
              </w:rPr>
              <w:t>$3,567,378</w:t>
            </w:r>
          </w:p>
        </w:tc>
        <w:tc>
          <w:tcPr>
            <w:tcW w:w="0" w:type="dxa"/>
            <w:vAlign w:val="bottom"/>
          </w:tcPr>
          <w:p>
            <w:pPr>
              <w:spacing w:after="0"/>
              <w:rPr>
                <w:sz w:val="1"/>
                <w:szCs w:val="1"/>
                <w:color w:val="auto"/>
              </w:rPr>
            </w:pPr>
          </w:p>
        </w:tc>
      </w:tr>
      <w:tr>
        <w:trPr>
          <w:trHeight w:val="167"/>
        </w:trPr>
        <w:tc>
          <w:tcPr>
            <w:tcW w:w="288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 and Director</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$250,000</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$158,600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$1,503,877</w:t>
            </w:r>
          </w:p>
        </w:tc>
        <w:tc>
          <w:tcPr>
            <w:tcW w:w="0" w:type="dxa"/>
            <w:vAlign w:val="bottom"/>
          </w:tcPr>
          <w:p>
            <w:pPr>
              <w:spacing w:after="0"/>
              <w:rPr>
                <w:sz w:val="1"/>
                <w:szCs w:val="1"/>
                <w:color w:val="auto"/>
              </w:rPr>
            </w:pP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74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2019</w:t>
            </w:r>
          </w:p>
        </w:tc>
        <w:tc>
          <w:tcPr>
            <w:tcW w:w="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$219,563</w:t>
            </w:r>
          </w:p>
        </w:tc>
        <w:tc>
          <w:tcPr>
            <w:tcW w:w="7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$ 75,128</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702,000</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882,000</w:t>
            </w:r>
          </w:p>
        </w:tc>
        <w:tc>
          <w:tcPr>
            <w:tcW w:w="1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rPr>
              <w:t>880</w:t>
            </w:r>
            <w:r>
              <w:rPr>
                <w:rFonts w:ascii="Arial" w:cs="Arial" w:eastAsia="Arial" w:hAnsi="Arial"/>
                <w:sz w:val="12"/>
                <w:szCs w:val="12"/>
                <w:color w:val="auto"/>
              </w:rPr>
              <w:t>(6)</w:t>
            </w:r>
          </w:p>
        </w:tc>
        <w:tc>
          <w:tcPr>
            <w:tcW w:w="7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4"/>
              </w:rPr>
              <w:t>$1,879,571</w:t>
            </w: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$156,250</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$109,300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77,780</w:t>
            </w:r>
            <w:r>
              <w:rPr>
                <w:rFonts w:ascii="Arial" w:cs="Arial" w:eastAsia="Arial" w:hAnsi="Arial"/>
                <w:sz w:val="12"/>
                <w:szCs w:val="12"/>
                <w:color w:val="auto"/>
              </w:rPr>
              <w:t>(8)</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$1,325,807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60" w:hanging="424"/>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2018 compensation amounts reflect aggregate compensation earned from the Corporation and certain subsidiaries thereof for the 12 months ended December 31, 2018, which includes compensation earned during this period prior to the Transaction.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Bonus amounts reflect short-term incentive awards based upon performance in the applicable year and paid in the subsequent year.</w:t>
      </w:r>
    </w:p>
    <w:p>
      <w:pPr>
        <w:spacing w:after="0" w:line="9" w:lineRule="exact"/>
        <w:rPr>
          <w:rFonts w:ascii="Arial" w:cs="Arial" w:eastAsia="Arial" w:hAnsi="Arial"/>
          <w:sz w:val="18"/>
          <w:szCs w:val="18"/>
          <w:color w:val="auto"/>
        </w:rPr>
      </w:pPr>
    </w:p>
    <w:p>
      <w:pPr>
        <w:ind w:left="540" w:right="20" w:hanging="424"/>
        <w:spacing w:after="0" w:line="288"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audited consolidated financial statements for the fiscal year ended December 31, 2018, which are included in elsewhere in this registration statement on Form 10. On April 12, 2019, the named executive officers were awarded RSUs, one-third of each such award vests on each of the first three anniversaries of the grant date, and on July 26, 2019, the named executive officers were awarded Options, one-third of each such award vests on each of the first three anniversaries of the grant date, as follows:</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RSUs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Options</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3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Anthony Georgiadis</w:t>
            </w:r>
          </w:p>
        </w:tc>
        <w:tc>
          <w:tcPr>
            <w:tcW w:w="4720" w:type="dxa"/>
            <w:vAlign w:val="bottom"/>
            <w:gridSpan w:val="3"/>
          </w:tcPr>
          <w:p>
            <w:pPr>
              <w:jc w:val="right"/>
              <w:ind w:right="300"/>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Jennifer Dooley</w:t>
            </w:r>
          </w:p>
        </w:tc>
        <w:tc>
          <w:tcPr>
            <w:tcW w:w="4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r>
      <w:tr>
        <w:trPr>
          <w:trHeight w:val="365"/>
        </w:trPr>
        <w:tc>
          <w:tcPr>
            <w:tcW w:w="2780" w:type="dxa"/>
            <w:vAlign w:val="bottom"/>
          </w:tcPr>
          <w:p>
            <w:pPr>
              <w:spacing w:after="0"/>
              <w:rPr>
                <w:sz w:val="24"/>
                <w:szCs w:val="24"/>
                <w:color w:val="auto"/>
              </w:rPr>
            </w:pPr>
          </w:p>
        </w:tc>
        <w:tc>
          <w:tcPr>
            <w:tcW w:w="3640" w:type="dxa"/>
            <w:vAlign w:val="bottom"/>
          </w:tcPr>
          <w:p>
            <w:pPr>
              <w:jc w:val="right"/>
              <w:ind w:right="2050"/>
              <w:spacing w:after="0"/>
              <w:rPr>
                <w:sz w:val="20"/>
                <w:szCs w:val="20"/>
                <w:color w:val="auto"/>
              </w:rPr>
            </w:pPr>
            <w:r>
              <w:rPr>
                <w:rFonts w:ascii="Arial" w:cs="Arial" w:eastAsia="Arial" w:hAnsi="Arial"/>
                <w:sz w:val="18"/>
                <w:szCs w:val="18"/>
                <w:color w:val="auto"/>
              </w:rPr>
              <w:t>90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84"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Benjamin Kovler, Anthony Georgiadis and Jennifer Dooley each received 50,000 RSUs on August 30, 2018 which had a two-year vesting schedule, with 50% vesting on the first anniversary date of the grant and 50% vesting on the second anniversary date of the grant. Also reflects profits interests in VCP23, LLC (“</w:t>
      </w:r>
      <w:r>
        <w:rPr>
          <w:rFonts w:ascii="Arial" w:cs="Arial" w:eastAsia="Arial" w:hAnsi="Arial"/>
          <w:sz w:val="16"/>
          <w:szCs w:val="16"/>
          <w:b w:val="1"/>
          <w:bCs w:val="1"/>
          <w:color w:val="auto"/>
        </w:rPr>
        <w:t>VCP</w:t>
      </w:r>
      <w:r>
        <w:rPr>
          <w:rFonts w:ascii="Arial" w:cs="Arial" w:eastAsia="Arial" w:hAnsi="Arial"/>
          <w:sz w:val="16"/>
          <w:szCs w:val="16"/>
          <w:color w:val="auto"/>
        </w:rPr>
        <w:t>”) received on January 1, 2018, which had a $0 value at grant and were amended on January 20, 2018. Such profits interests in VCP vested and converted into 17,526 and 26,288 Super Voting Shares of the Company, respectively, upon the closing of the Amalgamation. The “Amalgamation” refers to the Canadian three-cornered amalgamation completed in June 2018 whereby, among other things, VCP and other parties contributed assets to the Corporation in exchange for equity interests in the Corporation, as further described in “Item 1, Business – General Description of the Business” in our Annual Report on Form 10-K for the fiscal year ended December 31, 2019.</w:t>
      </w:r>
    </w:p>
    <w:p>
      <w:pPr>
        <w:spacing w:after="0" w:line="2" w:lineRule="exact"/>
        <w:rPr>
          <w:rFonts w:ascii="Arial" w:cs="Arial" w:eastAsia="Arial" w:hAnsi="Arial"/>
          <w:sz w:val="16"/>
          <w:szCs w:val="16"/>
          <w:color w:val="auto"/>
        </w:rPr>
      </w:pPr>
    </w:p>
    <w:p>
      <w:pPr>
        <w:ind w:left="540" w:right="64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Benjamin Kovler, Anthony Georgiadis and Jennifer Dooley each received 50,000 Options on August 30, 2018, which had a strike price of C$14.64 and a three-year vesting schedule, with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first anniversary date of the grant,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second anniversary date of the grant and the remaining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third anniversary date of the grant.</w:t>
      </w:r>
    </w:p>
    <w:p>
      <w:pPr>
        <w:spacing w:after="0" w:line="2" w:lineRule="exact"/>
        <w:rPr>
          <w:rFonts w:ascii="Arial" w:cs="Arial" w:eastAsia="Arial" w:hAnsi="Arial"/>
          <w:sz w:val="17"/>
          <w:szCs w:val="17"/>
          <w:color w:val="auto"/>
        </w:rPr>
      </w:pPr>
    </w:p>
    <w:p>
      <w:pPr>
        <w:ind w:left="540" w:right="580" w:hanging="424"/>
        <w:spacing w:after="0" w:line="24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included for 2019 include $50,000 in director fees for each of Benjamin Kovler and Anthony Georgiadis, and for each named executive officer, the applicable costs of the Company’s executive lunch program.</w:t>
      </w: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Benjamin Kovler and Anthony Georgiadis each received $25,000 in 2018 for attendance at Board and Board committee meetings.</w:t>
      </w:r>
    </w:p>
    <w:p>
      <w:pPr>
        <w:spacing w:after="0" w:line="9" w:lineRule="exact"/>
        <w:rPr>
          <w:rFonts w:ascii="Arial" w:cs="Arial" w:eastAsia="Arial" w:hAnsi="Arial"/>
          <w:sz w:val="18"/>
          <w:szCs w:val="18"/>
          <w:color w:val="auto"/>
        </w:rPr>
      </w:pPr>
    </w:p>
    <w:p>
      <w:pPr>
        <w:ind w:left="540" w:right="66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Jennifer Dooley received profits interests in VCP on May 14, 2018 with taxable gain of $77,780. Such profits interests in VCP vested and converted into 453 of our Multiple Voting Shares, or 45,300 Subordinate Voting Shares on an as-converted basis, upon the closing of the Amalgamation.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outstanding equity awards for our named executive officers at fiscal 2019-year end.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1885950" cy="386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i w:val="1"/>
          <w:iCs w:val="1"/>
          <w:color w:val="auto"/>
        </w:rPr>
        <w:t>Chief Executive Officer</w:t>
      </w:r>
    </w:p>
    <w:p>
      <w:pPr>
        <w:ind w:left="120"/>
        <w:spacing w:after="0"/>
        <w:rPr>
          <w:sz w:val="20"/>
          <w:szCs w:val="20"/>
          <w:color w:val="auto"/>
        </w:rPr>
      </w:pPr>
      <w:r>
        <w:rPr>
          <w:rFonts w:ascii="Arial" w:cs="Arial" w:eastAsia="Arial" w:hAnsi="Arial"/>
          <w:sz w:val="14"/>
          <w:szCs w:val="14"/>
          <w:i w:val="1"/>
          <w:iCs w:val="1"/>
          <w:color w:val="auto"/>
        </w:rPr>
        <w:t>and Chairman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Anthony Georgiadis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Chief Financial Officer</w:t>
      </w:r>
    </w:p>
    <w:p>
      <w:pPr>
        <w:ind w:left="120"/>
        <w:spacing w:after="0"/>
        <w:rPr>
          <w:sz w:val="20"/>
          <w:szCs w:val="20"/>
          <w:color w:val="auto"/>
        </w:rPr>
      </w:pPr>
      <w:r>
        <w:rPr>
          <w:rFonts w:ascii="Arial" w:cs="Arial" w:eastAsia="Arial" w:hAnsi="Arial"/>
          <w:sz w:val="14"/>
          <w:szCs w:val="14"/>
          <w:i w:val="1"/>
          <w:iCs w:val="1"/>
          <w:color w:val="auto"/>
        </w:rPr>
        <w:t>and Director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Option Awards</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Stock Awards</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8"/>
              </w:rPr>
              <w:t>Equity</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Incentive</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Incentive</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Plan</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Awards:</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Market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Equity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or Payout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Unearned</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Plan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Shares,</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Unearned</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or</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or Units</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Units or</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Units of</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Units or</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Rights</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3"/>
              </w:rPr>
              <w:t>Securities</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Rights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760" w:type="dxa"/>
            <w:vAlign w:val="bottom"/>
          </w:tcPr>
          <w:p>
            <w:pPr>
              <w:jc w:val="right"/>
              <w:ind w:right="12"/>
              <w:spacing w:after="0" w:line="135" w:lineRule="exact"/>
              <w:rPr>
                <w:sz w:val="20"/>
                <w:szCs w:val="20"/>
                <w:color w:val="auto"/>
              </w:rPr>
            </w:pPr>
            <w:r>
              <w:rPr>
                <w:rFonts w:ascii="Arial" w:cs="Arial" w:eastAsia="Arial" w:hAnsi="Arial"/>
                <w:sz w:val="13"/>
                <w:szCs w:val="13"/>
                <w:b w:val="1"/>
                <w:bCs w:val="1"/>
                <w:color w:val="auto"/>
                <w:w w:val="97"/>
              </w:rPr>
              <w:t>Underlying</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Have Not</w:t>
            </w:r>
          </w:p>
        </w:tc>
      </w:tr>
      <w:tr>
        <w:trPr>
          <w:trHeight w:val="135"/>
        </w:trPr>
        <w:tc>
          <w:tcPr>
            <w:tcW w:w="160" w:type="dxa"/>
            <w:vAlign w:val="bottom"/>
          </w:tcPr>
          <w:p>
            <w:pPr>
              <w:spacing w:after="0"/>
              <w:rPr>
                <w:sz w:val="11"/>
                <w:szCs w:val="11"/>
                <w:color w:val="auto"/>
              </w:rPr>
            </w:pPr>
          </w:p>
        </w:tc>
        <w:tc>
          <w:tcPr>
            <w:tcW w:w="1000" w:type="dxa"/>
            <w:vAlign w:val="bottom"/>
            <w:gridSpan w:val="2"/>
          </w:tcPr>
          <w:p>
            <w:pPr>
              <w:jc w:val="right"/>
              <w:ind w:right="459"/>
              <w:spacing w:after="0" w:line="135" w:lineRule="exact"/>
              <w:rPr>
                <w:sz w:val="20"/>
                <w:szCs w:val="20"/>
                <w:color w:val="auto"/>
              </w:rPr>
            </w:pPr>
            <w:r>
              <w:rPr>
                <w:rFonts w:ascii="Arial" w:cs="Arial" w:eastAsia="Arial" w:hAnsi="Arial"/>
                <w:sz w:val="13"/>
                <w:szCs w:val="13"/>
                <w:b w:val="1"/>
                <w:bCs w:val="1"/>
                <w:color w:val="auto"/>
              </w:rPr>
              <w:t>Grant</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Options (#)</w:t>
            </w:r>
          </w:p>
        </w:tc>
        <w:tc>
          <w:tcPr>
            <w:tcW w:w="760" w:type="dxa"/>
            <w:vAlign w:val="bottom"/>
          </w:tcPr>
          <w:p>
            <w:pPr>
              <w:jc w:val="right"/>
              <w:ind w:right="12"/>
              <w:spacing w:after="0" w:line="135" w:lineRule="exact"/>
              <w:rPr>
                <w:sz w:val="20"/>
                <w:szCs w:val="20"/>
                <w:color w:val="auto"/>
              </w:rPr>
            </w:pPr>
            <w:r>
              <w:rPr>
                <w:rFonts w:ascii="Arial" w:cs="Arial" w:eastAsia="Arial" w:hAnsi="Arial"/>
                <w:sz w:val="13"/>
                <w:szCs w:val="13"/>
                <w:b w:val="1"/>
                <w:bCs w:val="1"/>
                <w:color w:val="auto"/>
                <w:w w:val="96"/>
              </w:rPr>
              <w:t>Options (#)</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Vested</w:t>
            </w:r>
          </w:p>
        </w:tc>
      </w:tr>
      <w:tr>
        <w:trPr>
          <w:trHeight w:val="153"/>
        </w:trPr>
        <w:tc>
          <w:tcPr>
            <w:tcW w:w="160" w:type="dxa"/>
            <w:vAlign w:val="bottom"/>
          </w:tcPr>
          <w:p>
            <w:pPr>
              <w:spacing w:after="0"/>
              <w:rPr>
                <w:sz w:val="13"/>
                <w:szCs w:val="13"/>
                <w:color w:val="auto"/>
              </w:rPr>
            </w:pPr>
          </w:p>
        </w:tc>
        <w:tc>
          <w:tcPr>
            <w:tcW w:w="1000" w:type="dxa"/>
            <w:vAlign w:val="bottom"/>
            <w:gridSpan w:val="2"/>
          </w:tcPr>
          <w:p>
            <w:pPr>
              <w:jc w:val="right"/>
              <w:ind w:right="499"/>
              <w:spacing w:after="0"/>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8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(C$)</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Date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40" w:type="dxa"/>
            <w:vAlign w:val="bottom"/>
          </w:tcPr>
          <w:p>
            <w:pPr>
              <w:spacing w:after="0"/>
              <w:rPr>
                <w:sz w:val="13"/>
                <w:szCs w:val="13"/>
                <w:color w:val="auto"/>
              </w:rPr>
            </w:pPr>
          </w:p>
        </w:tc>
      </w:tr>
      <w:tr>
        <w:trPr>
          <w:trHeight w:val="142"/>
        </w:trPr>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Borders>
              <w:top w:val="single" w:sz="8" w:color="CCEEFF"/>
            </w:tcBorders>
            <w:shd w:val="clear" w:color="auto" w:fill="CCEEFF"/>
          </w:tcPr>
          <w:p>
            <w:pPr>
              <w:jc w:val="right"/>
              <w:ind w:right="159"/>
              <w:spacing w:after="0" w:line="124" w:lineRule="exact"/>
              <w:rPr>
                <w:sz w:val="20"/>
                <w:szCs w:val="20"/>
                <w:color w:val="auto"/>
              </w:rPr>
            </w:pPr>
            <w:r>
              <w:rPr>
                <w:rFonts w:ascii="Arial" w:cs="Arial" w:eastAsia="Arial" w:hAnsi="Arial"/>
                <w:sz w:val="12"/>
                <w:szCs w:val="12"/>
                <w:color w:val="auto"/>
                <w:w w:val="81"/>
              </w:rPr>
              <w:t>(2)</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16,666</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33,334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C$14.64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8/30/2028</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30"/>
        </w:trPr>
        <w:tc>
          <w:tcPr>
            <w:tcW w:w="160" w:type="dxa"/>
            <w:vAlign w:val="bottom"/>
          </w:tcPr>
          <w:p>
            <w:pPr>
              <w:spacing w:after="0"/>
              <w:rPr>
                <w:sz w:val="11"/>
                <w:szCs w:val="11"/>
                <w:color w:val="auto"/>
              </w:rPr>
            </w:pPr>
          </w:p>
        </w:tc>
        <w:tc>
          <w:tcPr>
            <w:tcW w:w="100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w w:val="98"/>
              </w:rPr>
              <w:t>8/30/2018</w:t>
            </w:r>
            <w:r>
              <w:rPr>
                <w:rFonts w:ascii="Arial" w:cs="Arial" w:eastAsia="Arial" w:hAnsi="Arial"/>
                <w:sz w:val="12"/>
                <w:szCs w:val="12"/>
                <w:color w:val="auto"/>
                <w:w w:val="98"/>
              </w:rPr>
              <w:t>(3)</w:t>
            </w:r>
          </w:p>
        </w:tc>
        <w:tc>
          <w:tcPr>
            <w:tcW w:w="8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25,000</w:t>
            </w:r>
          </w:p>
        </w:tc>
        <w:tc>
          <w:tcPr>
            <w:tcW w:w="60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5"/>
              </w:rPr>
              <w:t>$246,000</w:t>
            </w:r>
          </w:p>
        </w:tc>
      </w:tr>
      <w:tr>
        <w:trPr>
          <w:trHeight w:val="149"/>
        </w:trPr>
        <w:tc>
          <w:tcPr>
            <w:tcW w:w="160" w:type="dxa"/>
            <w:vAlign w:val="bottom"/>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4/12/2019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(4)</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100,000</w:t>
            </w:r>
          </w:p>
        </w:tc>
        <w:tc>
          <w:tcPr>
            <w:tcW w:w="6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5"/>
              </w:rPr>
              <w:t>$984,000</w:t>
            </w:r>
          </w:p>
        </w:tc>
      </w:tr>
      <w:tr>
        <w:trPr>
          <w:trHeight w:val="167"/>
        </w:trPr>
        <w:tc>
          <w:tcPr>
            <w:tcW w:w="160" w:type="dxa"/>
            <w:vAlign w:val="bottom"/>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7/26/2019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C$12.07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7/26/2024</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r>
      <w:tr>
        <w:trPr>
          <w:trHeight w:val="130"/>
        </w:trPr>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auto"/>
                <w:w w:val="81"/>
              </w:rPr>
              <w:t>(2)</w:t>
            </w:r>
          </w:p>
        </w:tc>
        <w:tc>
          <w:tcPr>
            <w:tcW w:w="8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16,666</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33,334</w:t>
            </w:r>
          </w:p>
        </w:tc>
        <w:tc>
          <w:tcPr>
            <w:tcW w:w="220" w:type="dxa"/>
            <w:vAlign w:val="bottom"/>
          </w:tcPr>
          <w:p>
            <w:pPr>
              <w:spacing w:after="0"/>
              <w:rPr>
                <w:sz w:val="11"/>
                <w:szCs w:val="11"/>
                <w:color w:val="auto"/>
              </w:rPr>
            </w:pPr>
          </w:p>
        </w:tc>
        <w:tc>
          <w:tcPr>
            <w:tcW w:w="88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C$14.64</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w w:val="99"/>
              </w:rPr>
              <w:t>8/30/2028</w:t>
            </w:r>
          </w:p>
        </w:tc>
        <w:tc>
          <w:tcPr>
            <w:tcW w:w="70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w:t>
            </w:r>
          </w:p>
        </w:tc>
      </w:tr>
      <w:tr>
        <w:trPr>
          <w:trHeight w:val="149"/>
        </w:trPr>
        <w:tc>
          <w:tcPr>
            <w:tcW w:w="116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(3)</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25,000</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$246,000</w:t>
            </w:r>
          </w:p>
        </w:tc>
      </w:tr>
      <w:tr>
        <w:trPr>
          <w:trHeight w:val="148"/>
        </w:trPr>
        <w:tc>
          <w:tcPr>
            <w:tcW w:w="116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4/12/2019</w:t>
            </w:r>
            <w:r>
              <w:rPr>
                <w:rFonts w:ascii="Arial" w:cs="Arial" w:eastAsia="Arial" w:hAnsi="Arial"/>
                <w:sz w:val="12"/>
                <w:szCs w:val="12"/>
                <w:color w:val="auto"/>
              </w:rPr>
              <w:t>(4)</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$738,000</w:t>
            </w:r>
          </w:p>
        </w:tc>
      </w:tr>
      <w:tr>
        <w:trPr>
          <w:trHeight w:val="161"/>
        </w:trPr>
        <w:tc>
          <w:tcPr>
            <w:tcW w:w="1160" w:type="dxa"/>
            <w:vAlign w:val="bottom"/>
            <w:gridSpan w:val="3"/>
          </w:tcPr>
          <w:p>
            <w:pPr>
              <w:jc w:val="right"/>
              <w:ind w:right="159"/>
              <w:spacing w:after="0"/>
              <w:rPr>
                <w:sz w:val="20"/>
                <w:szCs w:val="20"/>
                <w:color w:val="auto"/>
              </w:rPr>
            </w:pPr>
            <w:r>
              <w:rPr>
                <w:rFonts w:ascii="Arial" w:cs="Arial" w:eastAsia="Arial" w:hAnsi="Arial"/>
                <w:sz w:val="14"/>
                <w:szCs w:val="14"/>
                <w:color w:val="auto"/>
              </w:rPr>
              <w:t>7/26/2019</w:t>
            </w:r>
            <w:r>
              <w:rPr>
                <w:rFonts w:ascii="Arial" w:cs="Arial" w:eastAsia="Arial" w:hAnsi="Arial"/>
                <w:sz w:val="12"/>
                <w:szCs w:val="12"/>
                <w:color w:val="auto"/>
              </w:rPr>
              <w:t>(5)</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3"/>
                <w:szCs w:val="13"/>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C$12.07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7/26/2024</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2200" w:space="720"/>
            <w:col w:w="82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36"/>
        </w:trPr>
        <w:tc>
          <w:tcPr>
            <w:tcW w:w="288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Jennifer Dooley</w:t>
            </w:r>
          </w:p>
        </w:tc>
        <w:tc>
          <w:tcPr>
            <w:tcW w:w="1100" w:type="dxa"/>
            <w:vAlign w:val="bottom"/>
            <w:gridSpan w:val="2"/>
            <w:shd w:val="clear" w:color="auto" w:fill="CCEEFF"/>
          </w:tcPr>
          <w:p>
            <w:pPr>
              <w:jc w:val="right"/>
              <w:ind w:right="179"/>
              <w:spacing w:after="0" w:line="137"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(2)</w:t>
            </w:r>
          </w:p>
        </w:tc>
        <w:tc>
          <w:tcPr>
            <w:tcW w:w="900" w:type="dxa"/>
            <w:vAlign w:val="bottom"/>
            <w:shd w:val="clear" w:color="auto" w:fill="CCEEFF"/>
          </w:tcPr>
          <w:p>
            <w:pPr>
              <w:jc w:val="right"/>
              <w:ind w:right="188"/>
              <w:spacing w:after="0" w:line="137" w:lineRule="exact"/>
              <w:rPr>
                <w:sz w:val="20"/>
                <w:szCs w:val="20"/>
                <w:color w:val="auto"/>
              </w:rPr>
            </w:pPr>
            <w:r>
              <w:rPr>
                <w:rFonts w:ascii="Arial" w:cs="Arial" w:eastAsia="Arial" w:hAnsi="Arial"/>
                <w:sz w:val="14"/>
                <w:szCs w:val="14"/>
                <w:color w:val="auto"/>
              </w:rPr>
              <w:t>16,666</w:t>
            </w:r>
          </w:p>
        </w:tc>
        <w:tc>
          <w:tcPr>
            <w:tcW w:w="1040" w:type="dxa"/>
            <w:vAlign w:val="bottom"/>
            <w:shd w:val="clear" w:color="auto" w:fill="CCEEFF"/>
          </w:tcPr>
          <w:p>
            <w:pPr>
              <w:jc w:val="right"/>
              <w:ind w:right="248"/>
              <w:spacing w:after="0" w:line="137" w:lineRule="exact"/>
              <w:rPr>
                <w:sz w:val="20"/>
                <w:szCs w:val="20"/>
                <w:color w:val="auto"/>
              </w:rPr>
            </w:pPr>
            <w:r>
              <w:rPr>
                <w:rFonts w:ascii="Arial" w:cs="Arial" w:eastAsia="Arial" w:hAnsi="Arial"/>
                <w:sz w:val="14"/>
                <w:szCs w:val="14"/>
                <w:color w:val="auto"/>
              </w:rPr>
              <w:t>33,334</w:t>
            </w:r>
          </w:p>
        </w:tc>
        <w:tc>
          <w:tcPr>
            <w:tcW w:w="62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C$14.64</w:t>
            </w:r>
          </w:p>
        </w:tc>
        <w:tc>
          <w:tcPr>
            <w:tcW w:w="960" w:type="dxa"/>
            <w:vAlign w:val="bottom"/>
            <w:shd w:val="clear" w:color="auto" w:fill="CCEEFF"/>
          </w:tcPr>
          <w:p>
            <w:pPr>
              <w:jc w:val="right"/>
              <w:ind w:right="168"/>
              <w:spacing w:after="0" w:line="137" w:lineRule="exact"/>
              <w:rPr>
                <w:sz w:val="20"/>
                <w:szCs w:val="20"/>
                <w:color w:val="auto"/>
              </w:rPr>
            </w:pPr>
            <w:r>
              <w:rPr>
                <w:rFonts w:ascii="Arial" w:cs="Arial" w:eastAsia="Arial" w:hAnsi="Arial"/>
                <w:sz w:val="14"/>
                <w:szCs w:val="14"/>
                <w:color w:val="auto"/>
              </w:rPr>
              <w:t>8/30/2028</w:t>
            </w:r>
          </w:p>
        </w:tc>
        <w:tc>
          <w:tcPr>
            <w:tcW w:w="640" w:type="dxa"/>
            <w:vAlign w:val="bottom"/>
            <w:shd w:val="clear" w:color="auto" w:fill="CCEEFF"/>
          </w:tcPr>
          <w:p>
            <w:pPr>
              <w:ind w:left="220"/>
              <w:spacing w:after="0" w:line="13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3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37" w:lineRule="exact"/>
              <w:rPr>
                <w:sz w:val="20"/>
                <w:szCs w:val="20"/>
                <w:color w:val="auto"/>
              </w:rPr>
            </w:pPr>
            <w:r>
              <w:rPr>
                <w:rFonts w:ascii="Arial" w:cs="Arial" w:eastAsia="Arial" w:hAnsi="Arial"/>
                <w:sz w:val="14"/>
                <w:szCs w:val="14"/>
                <w:color w:val="auto"/>
              </w:rPr>
              <w:t>—</w:t>
            </w: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Chief Strategy Officer</w:t>
            </w:r>
          </w:p>
        </w:tc>
        <w:tc>
          <w:tcPr>
            <w:tcW w:w="11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(3)</w:t>
            </w:r>
          </w:p>
        </w:tc>
        <w:tc>
          <w:tcPr>
            <w:tcW w:w="9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$246,000</w:t>
            </w:r>
          </w:p>
        </w:tc>
      </w:tr>
      <w:tr>
        <w:trPr>
          <w:trHeight w:val="149"/>
        </w:trPr>
        <w:tc>
          <w:tcPr>
            <w:tcW w:w="28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4/12/2019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1"/>
              </w:rPr>
              <w:t>(4)</w:t>
            </w:r>
          </w:p>
        </w:tc>
        <w:tc>
          <w:tcPr>
            <w:tcW w:w="9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$492,000</w:t>
            </w:r>
          </w:p>
        </w:tc>
      </w:tr>
      <w:tr>
        <w:trPr>
          <w:trHeight w:val="167"/>
        </w:trPr>
        <w:tc>
          <w:tcPr>
            <w:tcW w:w="28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1"/>
              </w:rPr>
              <w:t>(5)</w:t>
            </w:r>
          </w:p>
        </w:tc>
        <w:tc>
          <w:tcPr>
            <w:tcW w:w="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150,000</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C$12.07</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7/26/2024</w:t>
            </w:r>
          </w:p>
        </w:tc>
        <w:tc>
          <w:tcPr>
            <w:tcW w:w="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16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closing price of C$12.79 of a subordinate voting share on the Canadian Stock Exchange on December 31, 2019, or US$9.84 (based on the exchange rate for such date as reported in the Wall Street Journal).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 award that vests in one-third increments on each of the first three anniversaries of the grant date.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that vests in 50% increments on each of the first two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that vests in one-third increments on each of the first three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 award that vests in one-third increments on each of the first three anniversaries of the date of grant.</w:t>
      </w:r>
    </w:p>
    <w:p>
      <w:pPr>
        <w:spacing w:after="0" w:line="3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Retirement Benefit Plans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Effective August 1, 2019, each named executive officer is eligible to participate in the Vision Management Services, LLC 401(k) Plan, a tax-qualified, defined contribution retirement plan. The Vision Management Services, LLC 401(k) Plan is generally available to eligible employees of our operating subsidiary, Vision Management Services, LLC, and other subsidiaries that have elected to participate in the Vision Management Services, LLC 401(k) Plan. Participants in the Vision Management Services, LLC 401(k) Plan are eligible to make before-tax contributions and Roth contributions and, if Vision Management Services, LLC elects, to receive discretionary matching and/or profit-sharing contributions.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Except as described below, we do not have any contract, agreement, plan or arrangement that provides for payments to a named executive officer at, following or in connection with a termination (whether voluntary, involuntary or constructive), resignation, retirement, a change of control or a change in a named executive officer’s responsibilities. The services of each of Benjamin Kovler, Anthony Georgiadis and Jennifer Dooley are provided on an at-will basis.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restricted stock unit and stock option awards granted pursuant to the Stock and Incentive Plan, as amended, provide for full vesting in the event the awardee is terminated without cause (as defined in the applicable award agreements) within 12 months following a change of control (as defined in the applicable award agreements). Options that are vested due to such a termination are exercisable for the duration of the option’s original term. Further, we, acting through our Board or our Compensation Committee, have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all compensation paid to or earned by each of our non-employee directors during fiscal year 2019 other than the two named executive officers who also serve as directors.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36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Fees Earned or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w:t>
            </w: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Option</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Earnings</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William Gruver</w:t>
            </w:r>
            <w:r>
              <w:rPr>
                <w:rFonts w:ascii="Arial" w:cs="Arial" w:eastAsia="Arial" w:hAnsi="Arial"/>
                <w:sz w:val="15"/>
                <w:szCs w:val="15"/>
                <w:color w:val="auto"/>
              </w:rPr>
              <w:t>(1)</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243,286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268,286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Senk</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Yemenidjian</w:t>
            </w:r>
            <w:r>
              <w:rPr>
                <w:rFonts w:ascii="Arial" w:cs="Arial" w:eastAsia="Arial" w:hAnsi="Arial"/>
                <w:sz w:val="15"/>
                <w:szCs w:val="15"/>
                <w:color w:val="auto"/>
              </w:rPr>
              <w:t>(2)</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227,737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20" w:hanging="424"/>
        <w:spacing w:after="0" w:line="255"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William Gruver was appointed to the Board in April 2019. As a new member of the Board, he was granted 21,839 RSUs for his duties on the Board on June 29, 2019, which vest on the first anniversary date of the grant, 3,640 of which were granted for his service as Chair of the Audit Committee.</w:t>
      </w:r>
    </w:p>
    <w:p>
      <w:pPr>
        <w:spacing w:after="0" w:line="2"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Alejandro Yemenidjian joined the Board on in June 2019. As a new member of the Board, he was granted 18,199 RSUs for his duties on the Board on June 29, 2019, which vest on the first anniversary date of the grant. Mr. Yemenidjian also served as the Managing Director, Integral Associates from June 29, 2019 to April 6, 2020, for which he received salary of $138,456 during fiscal 2019.</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following table sets forth the expected beneficial ownership of the Corporation’s securities June 26, 2020 for (i) each member of the Board of Directors, (ii) each named executive officer (as defined below), (iii) each person known to the Corporation and expected to be the beneficial owner of more than 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412, Chicago, Illinois 60654.</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60" w:type="dxa"/>
            <w:vAlign w:val="bottom"/>
            <w:gridSpan w:val="4"/>
          </w:tcPr>
          <w:p>
            <w:pPr>
              <w:jc w:val="center"/>
              <w:ind w:right="278"/>
              <w:spacing w:after="0"/>
              <w:rPr>
                <w:sz w:val="20"/>
                <w:szCs w:val="20"/>
                <w:color w:val="auto"/>
              </w:rPr>
            </w:pPr>
            <w:r>
              <w:rPr>
                <w:rFonts w:ascii="Arial" w:cs="Arial" w:eastAsia="Arial" w:hAnsi="Arial"/>
                <w:sz w:val="14"/>
                <w:szCs w:val="14"/>
                <w:b w:val="1"/>
                <w:bCs w:val="1"/>
                <w:color w:val="auto"/>
                <w:w w:val="92"/>
              </w:rPr>
              <w:t>Subordinate</w:t>
            </w: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Multiple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Super</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3"/>
            <w:vMerge w:val="restart"/>
          </w:tcPr>
          <w:p>
            <w:pPr>
              <w:jc w:val="right"/>
              <w:ind w:right="389"/>
              <w:spacing w:after="0"/>
              <w:rPr>
                <w:sz w:val="20"/>
                <w:szCs w:val="20"/>
                <w:color w:val="auto"/>
              </w:rPr>
            </w:pPr>
            <w:r>
              <w:rPr>
                <w:rFonts w:ascii="Arial" w:cs="Arial" w:eastAsia="Arial" w:hAnsi="Arial"/>
                <w:sz w:val="14"/>
                <w:szCs w:val="14"/>
                <w:b w:val="1"/>
                <w:bCs w:val="1"/>
                <w:color w:val="auto"/>
              </w:rPr>
              <w:t>Total(2)</w:t>
            </w:r>
          </w:p>
        </w:tc>
        <w:tc>
          <w:tcPr>
            <w:tcW w:w="340" w:type="dxa"/>
            <w:vAlign w:val="bottom"/>
            <w:vMerge w:val="restart"/>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Voting(2)</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Voting Shares(1)</w:t>
            </w:r>
          </w:p>
        </w:tc>
        <w:tc>
          <w:tcPr>
            <w:tcW w:w="36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4"/>
                <w:szCs w:val="14"/>
                <w:b w:val="1"/>
                <w:bCs w:val="1"/>
                <w:color w:val="auto"/>
              </w:rPr>
              <w:t>Voting Shares</w:t>
            </w:r>
          </w:p>
        </w:tc>
        <w:tc>
          <w:tcPr>
            <w:tcW w:w="36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Voting Shares</w:t>
            </w:r>
          </w:p>
        </w:tc>
        <w:tc>
          <w:tcPr>
            <w:tcW w:w="36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298"/>
              <w:spacing w:after="0"/>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80" w:type="dxa"/>
            <w:vAlign w:val="bottom"/>
            <w:gridSpan w:val="2"/>
            <w:vMerge w:val="restart"/>
          </w:tcPr>
          <w:p>
            <w:pPr>
              <w:jc w:val="center"/>
              <w:ind w:right="13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Position and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2"/>
              </w:rPr>
              <w:t>Subordinate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78"/>
              <w:spacing w:after="0" w:line="145" w:lineRule="exact"/>
              <w:rPr>
                <w:sz w:val="20"/>
                <w:szCs w:val="20"/>
                <w:color w:val="auto"/>
              </w:rPr>
            </w:pPr>
            <w:r>
              <w:rPr>
                <w:rFonts w:ascii="Arial" w:cs="Arial" w:eastAsia="Arial" w:hAnsi="Arial"/>
                <w:sz w:val="14"/>
                <w:szCs w:val="14"/>
                <w:b w:val="1"/>
                <w:bCs w:val="1"/>
                <w:color w:val="auto"/>
                <w:w w:val="98"/>
              </w:rPr>
              <w:t>Multiple</w:t>
            </w: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Super</w:t>
            </w: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18"/>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Address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b w:val="1"/>
                <w:bCs w:val="1"/>
                <w:color w:val="auto"/>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w:t>
            </w:r>
          </w:p>
        </w:tc>
        <w:tc>
          <w:tcPr>
            <w:tcW w:w="18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Owned</w:t>
            </w:r>
          </w:p>
        </w:tc>
        <w:tc>
          <w:tcPr>
            <w:tcW w:w="112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Owned</w:t>
            </w:r>
          </w:p>
        </w:tc>
        <w:tc>
          <w:tcPr>
            <w:tcW w:w="90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w w:val="98"/>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278"/>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08"/>
        </w:trPr>
        <w:tc>
          <w:tcPr>
            <w:tcW w:w="29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Benjamin Kovler(4),</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249,415</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ind w:left="520"/>
              <w:spacing w:after="0" w:line="109" w:lineRule="exact"/>
              <w:rPr>
                <w:sz w:val="20"/>
                <w:szCs w:val="20"/>
                <w:color w:val="auto"/>
              </w:rPr>
            </w:pPr>
            <w:r>
              <w:rPr>
                <w:rFonts w:ascii="Arial" w:cs="Arial" w:eastAsia="Arial" w:hAnsi="Arial"/>
                <w:sz w:val="12"/>
                <w:szCs w:val="12"/>
                <w:color w:val="auto"/>
                <w:w w:val="93"/>
              </w:rPr>
              <w:t>0.16</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49,448</w:t>
            </w: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39.02</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238,059</w:t>
            </w:r>
          </w:p>
        </w:tc>
        <w:tc>
          <w:tcPr>
            <w:tcW w:w="2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61.30</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29,000,115</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13.84</w:t>
            </w:r>
          </w:p>
        </w:tc>
        <w:tc>
          <w:tcPr>
            <w:tcW w:w="340" w:type="dxa"/>
            <w:vAlign w:val="bottom"/>
            <w:tcBorders>
              <w:top w:val="single" w:sz="8" w:color="CCEEFF"/>
            </w:tcBorders>
            <w:shd w:val="clear" w:color="auto" w:fill="CCEEFF"/>
          </w:tcPr>
          <w:p>
            <w:pPr>
              <w:jc w:val="right"/>
              <w:ind w:right="158"/>
              <w:spacing w:after="0" w:line="109" w:lineRule="exact"/>
              <w:rPr>
                <w:sz w:val="20"/>
                <w:szCs w:val="20"/>
                <w:color w:val="auto"/>
              </w:rPr>
            </w:pPr>
            <w:r>
              <w:rPr>
                <w:rFonts w:ascii="Arial" w:cs="Arial" w:eastAsia="Arial" w:hAnsi="Arial"/>
                <w:sz w:val="12"/>
                <w:szCs w:val="12"/>
                <w:color w:val="auto"/>
                <w:w w:val="93"/>
              </w:rPr>
              <w:t>%</w:t>
            </w: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43.51</w:t>
            </w:r>
          </w:p>
        </w:tc>
        <w:tc>
          <w:tcPr>
            <w:tcW w:w="200" w:type="dxa"/>
            <w:vAlign w:val="bottom"/>
            <w:tcBorders>
              <w:top w:val="single" w:sz="8" w:color="CCEEFF"/>
            </w:tcBorders>
            <w:shd w:val="clear" w:color="auto" w:fill="CCEEFF"/>
          </w:tcPr>
          <w:p>
            <w:pPr>
              <w:jc w:val="right"/>
              <w:ind w:right="18"/>
              <w:spacing w:after="0" w:line="109"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Chairman and Chief Executive Officer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Georgiadis(5),</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176,234</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0.11%</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40,604</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11.74%</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4,736,634</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2.26%</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 and Chief Financial Officer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Wendy Berger(6),</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2,241,772</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1.42%</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2,241,772</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Glen Senk,</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289,503</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0.18%</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289,503</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Westley Moore,</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151,000</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0.07%</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151,000</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0.07%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William Gruver,</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44,479</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0.03%</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1,589</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0.41%</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203,379</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0.10%</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Alejandro Yemenidjian,</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3,990,189</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2.52%</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3,990,189</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1.90%</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Jennifer Dooley,</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457,056</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0.29%</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453</w:t>
            </w:r>
          </w:p>
        </w:tc>
        <w:tc>
          <w:tcPr>
            <w:tcW w:w="90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0.36%</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502,244</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0.24%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Board directors and named executive</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7,559,648</w:t>
            </w:r>
          </w:p>
        </w:tc>
        <w:tc>
          <w:tcPr>
            <w:tcW w:w="11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4.81%</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49,901</w:t>
            </w:r>
          </w:p>
        </w:tc>
        <w:tc>
          <w:tcPr>
            <w:tcW w:w="90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39.38%</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285,252</w:t>
            </w:r>
          </w:p>
        </w:tc>
        <w:tc>
          <w:tcPr>
            <w:tcW w:w="76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73.45%</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41,114,836</w:t>
            </w:r>
          </w:p>
        </w:tc>
        <w:tc>
          <w:tcPr>
            <w:tcW w:w="80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19.62%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53.27%</w:t>
            </w: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officers as a group</w:t>
            </w:r>
          </w:p>
        </w:tc>
        <w:tc>
          <w:tcPr>
            <w:tcW w:w="9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HLR REMS Holdings 2016 LLC(6)</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27,704</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21.86%</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2,770,400</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1.32%</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Kadens</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285,186</w:t>
            </w:r>
          </w:p>
        </w:tc>
        <w:tc>
          <w:tcPr>
            <w:tcW w:w="11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0.18%</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76,841</w:t>
            </w:r>
          </w:p>
        </w:tc>
        <w:tc>
          <w:tcPr>
            <w:tcW w:w="7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19.79%</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7,969,286</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3.80%</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20" w:hanging="424"/>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Subordinate Voting Shares subject to stock options that are or become exercisable within 60 days of June 26, 2020, and shares underlying restricted stock units that are scheduled to vest within 60 days of June 26, 2020, and shares underlying warrants exercisable within 60 days of June 26, 2020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RSUs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116,666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88"/>
              </w:rPr>
              <w:t>6,256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Anthony Georgiadis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116,666</w:t>
            </w:r>
          </w:p>
        </w:tc>
        <w:tc>
          <w:tcPr>
            <w:tcW w:w="4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132"/>
              <w:spacing w:after="0"/>
              <w:rPr>
                <w:sz w:val="20"/>
                <w:szCs w:val="20"/>
                <w:color w:val="auto"/>
              </w:rPr>
            </w:pPr>
            <w:r>
              <w:rPr>
                <w:rFonts w:ascii="Arial" w:cs="Arial" w:eastAsia="Arial" w:hAnsi="Arial"/>
                <w:sz w:val="18"/>
                <w:szCs w:val="18"/>
                <w:color w:val="auto"/>
                <w:w w:val="88"/>
              </w:rPr>
              <w:t>7,590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Wendy Berger</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75,500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Glen Senk</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75,500</w:t>
            </w:r>
          </w:p>
        </w:tc>
        <w:tc>
          <w:tcPr>
            <w:tcW w:w="420" w:type="dxa"/>
            <w:vAlign w:val="bottom"/>
          </w:tcPr>
          <w:p>
            <w:pPr>
              <w:spacing w:after="0"/>
              <w:rPr>
                <w:sz w:val="18"/>
                <w:szCs w:val="18"/>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Westley Moore</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75,500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William Gruver</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21,839</w:t>
            </w:r>
          </w:p>
        </w:tc>
        <w:tc>
          <w:tcPr>
            <w:tcW w:w="420" w:type="dxa"/>
            <w:vAlign w:val="bottom"/>
          </w:tcPr>
          <w:p>
            <w:pPr>
              <w:spacing w:after="0"/>
              <w:rPr>
                <w:sz w:val="18"/>
                <w:szCs w:val="18"/>
                <w:color w:val="auto"/>
              </w:rPr>
            </w:pPr>
          </w:p>
        </w:tc>
        <w:tc>
          <w:tcPr>
            <w:tcW w:w="620" w:type="dxa"/>
            <w:vAlign w:val="bottom"/>
          </w:tcPr>
          <w:p>
            <w:pPr>
              <w:jc w:val="center"/>
              <w:ind w:left="132"/>
              <w:spacing w:after="0"/>
              <w:rPr>
                <w:sz w:val="20"/>
                <w:szCs w:val="20"/>
                <w:color w:val="auto"/>
              </w:rPr>
            </w:pPr>
            <w:r>
              <w:rPr>
                <w:rFonts w:ascii="Arial" w:cs="Arial" w:eastAsia="Arial" w:hAnsi="Arial"/>
                <w:sz w:val="18"/>
                <w:szCs w:val="18"/>
                <w:color w:val="auto"/>
                <w:w w:val="88"/>
              </w:rPr>
              <w:t>5,925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18,199</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Jennifer Dooley</w:t>
            </w:r>
          </w:p>
        </w:tc>
        <w:tc>
          <w:tcPr>
            <w:tcW w:w="660" w:type="dxa"/>
            <w:vAlign w:val="bottom"/>
          </w:tcPr>
          <w:p>
            <w:pPr>
              <w:jc w:val="right"/>
              <w:spacing w:after="0"/>
              <w:rPr>
                <w:sz w:val="20"/>
                <w:szCs w:val="20"/>
                <w:color w:val="auto"/>
              </w:rPr>
            </w:pPr>
            <w:r>
              <w:rPr>
                <w:rFonts w:ascii="Arial" w:cs="Arial" w:eastAsia="Arial" w:hAnsi="Arial"/>
                <w:sz w:val="18"/>
                <w:szCs w:val="18"/>
                <w:color w:val="auto"/>
              </w:rPr>
              <w:t>66,666</w:t>
            </w:r>
          </w:p>
        </w:tc>
        <w:tc>
          <w:tcPr>
            <w:tcW w:w="42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The warrants to purchase Subordinate Voting Shares reported for Mr. Kovler are held by KP Capital, LLC. 5,925 of the warrants to purchase Subordinate Voting Shares reported for Mr. Georgiadis and Mr. Gruver are held by ABG LLC, and 1,665 of the warrants to purchase Subordinate Voting Shares reported for Mr. Georgiadis are held by Three One Four Holdings LLC.</w:t>
      </w:r>
    </w:p>
    <w:p>
      <w:pPr>
        <w:spacing w:after="0" w:line="89"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share values are on an as-converted basis.</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voting percentages differ from the beneficial ownership percentages in the total capital stock because GTI’s classes of securities have different voting rights.</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142 Subordinate Voting Shares and 340 Super Voting Shares held by Mr. Kovler’s children;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84,581 Subordinate Voting Shares, 49,448 Multiple Voting Shares and 54,805 Super Voting Shares held by RCP23 LLC;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46 Subordinate Voting Shares and 80,302 Super Voting Shares held by Outsiders Capital LLC.</w:t>
      </w:r>
    </w:p>
    <w:p>
      <w:pPr>
        <w:spacing w:after="0" w:line="130" w:lineRule="exact"/>
        <w:rPr>
          <w:rFonts w:ascii="Arial" w:cs="Arial" w:eastAsia="Arial" w:hAnsi="Arial"/>
          <w:sz w:val="18"/>
          <w:szCs w:val="18"/>
          <w:color w:val="auto"/>
        </w:rPr>
      </w:pPr>
    </w:p>
    <w:p>
      <w:pPr>
        <w:ind w:left="540" w:right="8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16,715 Subordinate Voting Shares and 1,589 Super Voting Shares held by ABG LLC that are beneficially owned both by Mr. Georgiadis and Mr. Gruver.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7220 Arrowood Road, Bethesda, Maryland 28107.</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CERTAIN RELATIONSHIPS AND RELATED TRANSACTIONS, DIRECTOR INDEPENDENCE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of our subsidiaries are or will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Green Thumb Industries Inc., any shareholder owning more than 5% of any class of our voting securities or an immediate family member, as defined in the Related Party Transactions Policy, of any such person.</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Related Party Transactions Policy, any potential related party transaction that requires approval will be reviewed by the Audit Committee,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us and our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Lease Agreements. </w:t>
      </w:r>
      <w:r>
        <w:rPr>
          <w:rFonts w:ascii="Arial" w:cs="Arial" w:eastAsia="Arial" w:hAnsi="Arial"/>
          <w:sz w:val="18"/>
          <w:szCs w:val="18"/>
          <w:color w:val="auto"/>
        </w:rPr>
        <w:t>Since 2017, we have entered into several related party transactions with respect to lease agreements as follows:</w:t>
      </w:r>
    </w:p>
    <w:p>
      <w:pPr>
        <w:spacing w:after="0" w:line="131" w:lineRule="exact"/>
        <w:rPr>
          <w:sz w:val="20"/>
          <w:szCs w:val="20"/>
          <w:color w:val="auto"/>
        </w:rPr>
      </w:pPr>
    </w:p>
    <w:p>
      <w:pPr>
        <w:ind w:left="1080" w:hanging="424"/>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$55,700, $53,500, $221,000 and $220,500 for the three months ended March 31, 2020 and the years ended December 31, 2017, 2018 and 2019, respectively. Our director, Wendy Berger, is a principal of WBS Equities, LLC, which is the Manager of Mosaic Real Estate, LLC. Additionally, Mosaic Real Estate, LLC is owned in part by Ms. Berger (through a revocable trust), Benjamin Kovler, our Chief Executive Officer and director (through a wholly-owned entity), and Anthony Georgiadis, our Chief Financial Officer and director (through a wholly-owned entity). The amount of each entity’s interest in such rent payments totaled approximately $176,100, $106,200 and $60,700, respectively.</w:t>
      </w:r>
    </w:p>
    <w:p>
      <w:pPr>
        <w:spacing w:after="0" w:line="97"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$17,400, $25,500, $231,000 and $235,600 for the three months ended March 31, 2020 and the years ended December 31, 2017, 2018 and 2019, respectively. Ms. Berger is a principal of WBS Equities, LLC, which is the Manager of Mosaic Real Estate Sparks, LLC. Additionally, Mosaic Real Estate Sparks, LLC is owned in part by Ms. Berger (through a revocable trust) and Mr. Georgiadis (through a wholly-owned entity). The amount of each entity’s interest in such rent payments totaled approximately $188,100 and $31,400, respectively. We have an option to purchase the building at a pre-determined price.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June 12, 2020, Mosaic Real Estate Joliet, LLC sold a building located at 2903 Colorado Avenue, Joliet, Illinois to a wholly-owned subsidiary of the Corporation, which, until that date it had leased to 3C Compassionate Care Center, LLC, which operates a dispensary in the building. The purchase price was approximately $1.8 million, including transaction costs, and was completed following the Corporation’s exercise of a purchase option for the property. The lease commenced on January 23, 2019 for a 15-year term, and rent payments were approximately $55,500 for the three months ended March 31, 2020 and $205,600 for the year ended December 31, 2019. Ms. Berger was a principal of South Creek 15, LLC, which is the Manager of Mosaic Real Estate Joliet, LLC, until she resigned from that position on May 20, 2020. Additionally, Mosaic Real Estate Joliet, LLC is owned in part by Ms. Berger (through a revocable trust). The amount of such revocable trust’s interest in such rent payments and purchase price totaled approximately $22,200 and $153,500, respectively.</w:t>
      </w:r>
    </w:p>
    <w:p>
      <w:pPr>
        <w:spacing w:after="0" w:line="101" w:lineRule="exact"/>
        <w:rPr>
          <w:rFonts w:ascii="Arial" w:cs="Arial" w:eastAsia="Arial" w:hAnsi="Arial"/>
          <w:sz w:val="18"/>
          <w:szCs w:val="18"/>
          <w:color w:val="auto"/>
        </w:rPr>
      </w:pPr>
    </w:p>
    <w:p>
      <w:pPr>
        <w:ind w:left="1080" w:right="180" w:hanging="424"/>
        <w:spacing w:after="0" w:line="27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Mosaic Real Estate Ocala, LLC owns a building located at 5401 Northwest 44</w:t>
      </w:r>
      <w:r>
        <w:rPr>
          <w:rFonts w:ascii="Arial" w:cs="Arial" w:eastAsia="Arial" w:hAnsi="Arial"/>
          <w:sz w:val="14"/>
          <w:szCs w:val="14"/>
          <w:color w:val="auto"/>
        </w:rPr>
        <w:t>th</w:t>
      </w:r>
      <w:r>
        <w:rPr>
          <w:rFonts w:ascii="Arial" w:cs="Arial" w:eastAsia="Arial" w:hAnsi="Arial"/>
          <w:sz w:val="17"/>
          <w:szCs w:val="17"/>
          <w:color w:val="auto"/>
        </w:rPr>
        <w:t xml:space="preserve"> Avenue, Ocala, Florida and leased to GTI Florida, LLC, which anticipates operating a cultivation and processing facility in the building. The lease commenced on March 19, 2019 for a 15-year term, and rent payments were approximately $131,200 for the three months ended March 31, 2020 and $409,000 for the year ended December 31, 2019. Ms. Berger is a Co-Manager of Mosaic Real Estate Ocala, LLC. Additionally, Mosaic Real Estate Ocala, LLC is owned in part by Ms. Berger (through a revocable trust). The amount of such revocable trust’s interest in such rent payments totaled approximately $56,600. We have an option to purchase the building at a pre-determined price.</w:t>
      </w:r>
    </w:p>
    <w:p>
      <w:pPr>
        <w:spacing w:after="0" w:line="83"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Durango Teco Partners, LLC owns a building located at 6410 South Durango Drive, Las Vegas, Nevada and leased to Essence Henderson, LLC, a subsidiary of Integral Associates, LLC, which anticipates operating an Essence dispensary in the building. Essence Henderson, LLC will pay $17,500 per month for rent during the first year, and the monthly rent will be increased each year thereafter by 2.5% for the remainder of the 10-year term. Our director, Alejandro Yemenidjian, owns 50% of Armenco Capital LLC, which owns 50% of Durango Teco Partners, LLC. Rent payments were approximately $24,600 and $55,800 for the three months ended March 31, 2020 and from the date of acquisition through December 31, 2019, respectively.</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the three months ended March 31, 2020 and 2019, the Company recorded lease expense of $222,339 and $21,754, respectively, associated with these lease arrangements.</w:t>
      </w:r>
    </w:p>
    <w:p>
      <w:pPr>
        <w:spacing w:after="0" w:line="170"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i w:val="1"/>
          <w:iCs w:val="1"/>
          <w:color w:val="auto"/>
        </w:rPr>
        <w:t xml:space="preserve">Springbig, Inc. </w:t>
      </w:r>
      <w:r>
        <w:rPr>
          <w:rFonts w:ascii="Arial" w:cs="Arial" w:eastAsia="Arial" w:hAnsi="Arial"/>
          <w:sz w:val="17"/>
          <w:szCs w:val="17"/>
          <w:color w:val="auto"/>
        </w:rPr>
        <w:t>In June 2019, GTI Core, LLC entered into an agreement with Springbig, Inc. for Springbig Inc.’s loyalty and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platform for retail organization. Payments to Springbig Inc. totaled approximately $123,700, $2,800, $35,400 and $155,300 for the three months ended March 31, 2020 and the years ended December 31, 2017, 2018 and 2019, respectively. Springbig Inc. is owned in part by Mr. Kovler, Mr. Georgiadis and our director, William Gruver. Mr. Kovler is also a director of Springbig Inc.</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Employment</w:t>
      </w:r>
      <w:r>
        <w:rPr>
          <w:rFonts w:ascii="Arial" w:cs="Arial" w:eastAsia="Arial" w:hAnsi="Arial"/>
          <w:sz w:val="18"/>
          <w:szCs w:val="18"/>
          <w:color w:val="auto"/>
        </w:rPr>
        <w:t>. Alejandro Yemenidjian, a director of the corporation, is the father of Armen Yemenidjian, who served as our President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April 2020. Alejandro Yemenidjian was also employed as our Managing Director of Integral Associates from June 29, 2019 until his resignation from that role on April 6, 2020. In addition to his compensation for his role on our Board, with respect to his employment he received salary of $138,456 in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Promoters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person or company has been at any time during the past five fiscal years a promoter of Green Thumb Industries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we believe that the final outcome of these proceedings will not have a material adverse effect, individually or in the aggregate, on our results of operations or financial condition.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00"/>
          </w:cols>
          <w:pgMar w:left="320" w:top="459" w:right="6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PRICE AND RELATED STOCKHOLDER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Subordinate Voting Shares are traded on the Canadian Securities Exchange under the symbol “GTII.” During fiscal 2018, the common shares of Bayswater Uranium Corporation traded on the TSX Venture Exchange under the symbol “BYU.H.”</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sets forth trading information for our Subordinate Voting Shares for the periods indicated (from June 13, 2018, the date of their initial trading on the Canadian Securities Exchange), as quoted on the Canadian Securities Exchange.</w:t>
      </w:r>
      <w:r>
        <w:rPr>
          <w:rFonts w:ascii="Arial" w:cs="Arial" w:eastAsia="Arial" w:hAnsi="Arial"/>
          <w:sz w:val="15"/>
          <w:szCs w:val="15"/>
          <w:color w:val="auto"/>
        </w:rPr>
        <w:t>(1)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3"/>
          </w:tcPr>
          <w:p>
            <w:pPr>
              <w:ind w:left="1500"/>
              <w:spacing w:after="0"/>
              <w:rPr>
                <w:sz w:val="20"/>
                <w:szCs w:val="20"/>
                <w:color w:val="auto"/>
              </w:rPr>
            </w:pPr>
            <w:r>
              <w:rPr>
                <w:rFonts w:ascii="Arial" w:cs="Arial" w:eastAsia="Arial" w:hAnsi="Arial"/>
                <w:sz w:val="14"/>
                <w:szCs w:val="14"/>
                <w:b w:val="1"/>
                <w:bCs w:val="1"/>
                <w:color w:val="auto"/>
                <w:w w:val="93"/>
              </w:rPr>
              <w:t>Trading Price</w:t>
            </w: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rPr>
              <w:t>Trading Price</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40" w:type="dxa"/>
            <w:vAlign w:val="bottom"/>
            <w:gridSpan w:val="6"/>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(C$)</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First Quarter (March 31, 2020)</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5.69</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13.51</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25,072,866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First Quarter (March 31,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22,190,482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 (June 30,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20,904,219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Third Quarter (September 30,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10.55</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14.67</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25,325,632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18,498,123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4"/>
          </w:tcPr>
          <w:p>
            <w:pPr>
              <w:spacing w:after="0" w:line="176" w:lineRule="exact"/>
              <w:rPr>
                <w:sz w:val="20"/>
                <w:szCs w:val="20"/>
                <w:color w:val="auto"/>
              </w:rPr>
            </w:pPr>
            <w:r>
              <w:rPr>
                <w:rFonts w:ascii="Arial" w:cs="Arial" w:eastAsia="Arial" w:hAnsi="Arial"/>
                <w:sz w:val="18"/>
                <w:szCs w:val="18"/>
                <w:color w:val="auto"/>
              </w:rPr>
              <w:t>Year Ended December 31, 2018</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12,829,887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Third Quarter (September 30,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13,462,742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13, 2018—June 30,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following table sets forth trading information for the pre-Transaction common shares of Bayswater Uranium Corporation for the periods indicated (until June 12, 2018, the date of their delisting on the TSX Venture Exchange), as quoted on the TSX Venture Exchange.</w:t>
      </w:r>
      <w:r>
        <w:rPr>
          <w:rFonts w:ascii="Arial" w:cs="Arial" w:eastAsia="Arial" w:hAnsi="Arial"/>
          <w:sz w:val="14"/>
          <w:szCs w:val="14"/>
          <w:color w:val="auto"/>
        </w:rPr>
        <w:t>(1)</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Low</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3"/>
          </w:tcPr>
          <w:p>
            <w:pPr>
              <w:ind w:left="164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6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3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840" w:type="dxa"/>
            <w:vAlign w:val="bottom"/>
            <w:gridSpan w:val="6"/>
            <w:vMerge w:val="continue"/>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16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Bayswater Uranium Corporation common shares were halted from trading in connection with the Transaction and subsequently delisted from the TSX Venture Exchange on June 12, 2018.</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Subordinate Voting Shares are also traded on the OTCQX Best Market under the symbol “GTBIF.”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Best Market), as quoted on the OTCQX Best Market.</w:t>
      </w:r>
      <w:r>
        <w:rPr>
          <w:rFonts w:ascii="Arial" w:cs="Arial" w:eastAsia="Arial" w:hAnsi="Arial"/>
          <w:sz w:val="15"/>
          <w:szCs w:val="15"/>
          <w:color w:val="auto"/>
        </w:rPr>
        <w:t>(1)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3"/>
          </w:tcPr>
          <w:p>
            <w:pPr>
              <w:ind w:left="144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9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Trading Price</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4080" w:type="dxa"/>
            <w:vAlign w:val="bottom"/>
            <w:gridSpan w:val="4"/>
            <w:vMerge w:val="continue"/>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First Quarter (March 31, 2020)</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10.33</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23,749,100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First Quarter (March 31, 2019)</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15.60</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15,697,374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2019)</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15,817,344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Third Quarter (September 30, 2019)</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7.99</w:t>
            </w:r>
          </w:p>
        </w:tc>
        <w:tc>
          <w:tcPr>
            <w:tcW w:w="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11.47</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17,225,728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2019)</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15,167,168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3"/>
          </w:tcPr>
          <w:p>
            <w:pPr>
              <w:spacing w:after="0" w:line="176" w:lineRule="exact"/>
              <w:rPr>
                <w:sz w:val="20"/>
                <w:szCs w:val="20"/>
                <w:color w:val="auto"/>
              </w:rPr>
            </w:pPr>
            <w:r>
              <w:rPr>
                <w:rFonts w:ascii="Arial" w:cs="Arial" w:eastAsia="Arial" w:hAnsi="Arial"/>
                <w:sz w:val="18"/>
                <w:szCs w:val="18"/>
                <w:color w:val="auto"/>
              </w:rPr>
              <w:t>Year Ended December 31, 2018</w:t>
            </w: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13,570,767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July 9, 2018—September 30, 2018</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6.57</w:t>
            </w:r>
          </w:p>
        </w:tc>
        <w:tc>
          <w:tcPr>
            <w:tcW w:w="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23.16</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16,519,410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1, 2020, there are 705 holders of record of our Subordinate Voting Shares.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not declared distributions on Subordinate Voting Shares in the past. We currently intend to reinvest all future earnings to finance the development and growth of our business.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shareholders and the Board approved the Stock and Incentive Plan on June 11, 2018, and the Board further amended the Stock and Incentive Plan effective August 30, 2019. The granting of awards under the Stock and Incentive Plan is intended to promote our interests and the interests of our shareholders by aiding us in attracting and retaining persons capable of assuring our future success, to offer such persons incentives to put forth maximum efforts for the success of our business and to compensate such persons through various stock and cash-based arrangements and provide them with opportunities for stock ownership, thereby aligning the interests of such persons with our shareholders. Eligible participants under the Stock and Incentive Plan include non-employee directors, officers (including the named executive officers), employees, and our consultants and advisors. The Stock and Incentive Plan will be administered by the Board or a committee thereof appointed by the Board (which we refer to as the Stock and Incentive Plan Committee).</w:t>
      </w:r>
    </w:p>
    <w:p>
      <w:pPr>
        <w:spacing w:after="0" w:line="192"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Pursuant to the Stock and Incentive Plan, we may issue equity-based compensation (denominated in Subordinate Voting Shares) in the form of Options, stock appreciation rights, restricted stock awards, RSUs, performance shares, performance units and dividend equivalent awards to eligible participants. The Stock and Incentive Plan Committee or its permitted delegates has the power and discretionary authority to determine the amount, terms and conditions of the Stock and Incentive Plan awards, including, without limitation, (i) the exercise price of any Options or stock appreciation rights, (ii) the method of payment for shares purchased pursuant to any award, (iii) the method for satisfying any tax withholding obligation arising in connection with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any award, including by net exercise or the withholding or delivery of shares, (iv) the timing, terms and conditions of the exercisability, vesting or payout of any award or any shares acquired pursuant thereto, (v) 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non-employee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securities authorized for issuance under the Stock and Incentive Plan as of the three months ended March 31, 2020.</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color w:val="auto"/>
                <w:w w:val="95"/>
              </w:rPr>
              <w:t>Number of securities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to be issued upon</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0"/>
              </w:rPr>
              <w:t>Weighted-average</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exercise of</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4"/>
              </w:rPr>
              <w:t>exercise price of</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for future issuance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880" w:type="dxa"/>
            <w:vAlign w:val="bottom"/>
            <w:vMerge w:val="restart"/>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outstanding options,</w:t>
            </w:r>
          </w:p>
        </w:tc>
        <w:tc>
          <w:tcPr>
            <w:tcW w:w="1960" w:type="dxa"/>
            <w:vAlign w:val="bottom"/>
            <w:gridSpan w:val="3"/>
          </w:tcPr>
          <w:p>
            <w:pPr>
              <w:spacing w:after="0" w:line="149" w:lineRule="exact"/>
              <w:rPr>
                <w:sz w:val="20"/>
                <w:szCs w:val="20"/>
                <w:color w:val="auto"/>
              </w:rPr>
            </w:pPr>
            <w:r>
              <w:rPr>
                <w:rFonts w:ascii="Arial" w:cs="Arial" w:eastAsia="Arial" w:hAnsi="Arial"/>
                <w:sz w:val="14"/>
                <w:szCs w:val="14"/>
                <w:color w:val="auto"/>
              </w:rPr>
              <w:t>outstanding options,</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under equity</w:t>
            </w: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020" w:type="dxa"/>
            <w:vAlign w:val="bottom"/>
            <w:gridSpan w:val="2"/>
          </w:tcPr>
          <w:p>
            <w:pPr>
              <w:jc w:val="center"/>
              <w:ind w:right="800"/>
              <w:spacing w:after="0" w:line="154" w:lineRule="exact"/>
              <w:rPr>
                <w:sz w:val="20"/>
                <w:szCs w:val="20"/>
                <w:color w:val="auto"/>
              </w:rPr>
            </w:pPr>
            <w:r>
              <w:rPr>
                <w:rFonts w:ascii="Arial" w:cs="Arial" w:eastAsia="Arial" w:hAnsi="Arial"/>
                <w:sz w:val="14"/>
                <w:szCs w:val="14"/>
                <w:color w:val="auto"/>
                <w:w w:val="94"/>
              </w:rPr>
              <w:t>warrant and rights</w:t>
            </w:r>
          </w:p>
        </w:tc>
        <w:tc>
          <w:tcPr>
            <w:tcW w:w="1960" w:type="dxa"/>
            <w:vAlign w:val="bottom"/>
            <w:gridSpan w:val="3"/>
          </w:tcPr>
          <w:p>
            <w:pPr>
              <w:jc w:val="center"/>
              <w:ind w:right="800"/>
              <w:spacing w:after="0" w:line="154" w:lineRule="exact"/>
              <w:rPr>
                <w:sz w:val="20"/>
                <w:szCs w:val="20"/>
                <w:color w:val="auto"/>
              </w:rPr>
            </w:pPr>
            <w:r>
              <w:rPr>
                <w:rFonts w:ascii="Arial" w:cs="Arial" w:eastAsia="Arial" w:hAnsi="Arial"/>
                <w:sz w:val="14"/>
                <w:szCs w:val="14"/>
                <w:color w:val="auto"/>
                <w:w w:val="94"/>
              </w:rPr>
              <w:t>warrants and rights</w:t>
            </w:r>
          </w:p>
        </w:tc>
        <w:tc>
          <w:tcPr>
            <w:tcW w:w="128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b w:val="1"/>
                <w:bCs w:val="1"/>
                <w:color w:val="auto"/>
              </w:rPr>
              <w:t>(1)</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5,974,938</w:t>
            </w: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11.69</w:t>
            </w: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13,178,361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5,974,938</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11.69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13,178,361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540" w:right="60" w:hanging="424"/>
        <w:spacing w:after="0" w:line="25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maximum number of Subordinate Voting Shares issuable under the Stock and Incentive Plan of the Corporation as of December 31, 2019 was 21,887,565, representing 10% of the number of the issued and outstanding Subordinate Voting Shares (including, for these purposes, the number of Subordinate Voting Shares underlying the Multiple Voting Shares and the Super Voting Shares on an “as if converted” basis), which we refer to as the Outstanding Share Number.</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As of March 31, 2020, the following Awards were outstanding under the Stock and Incentive Plan: (i) a total of 5,974,938 Options, representing approximately 3% of the then Outstanding Share Number; and (ii) a total of 1,477,898 RSUs, representing approximately 1% of the then Outstanding Share Number. As of March 31, 2020, an aggregate of 13,178,361 Subordinate Voting Shares remained available for issuance under the Stock and Incentive Plan, representing approximately 6% of the then Outstanding Share Number.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we use,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COVID-19 Risk. </w:t>
      </w:r>
      <w:r>
        <w:rPr>
          <w:rFonts w:ascii="Arial" w:cs="Arial" w:eastAsia="Arial" w:hAnsi="Arial"/>
          <w:sz w:val="16"/>
          <w:szCs w:val="16"/>
          <w:color w:val="auto"/>
        </w:rPr>
        <w:t>We are monitoring COVID-19 closely, and although operations have not been materially affected by the COVID-19 outbreak to</w:t>
      </w:r>
      <w:r>
        <w:rPr>
          <w:rFonts w:ascii="Arial" w:cs="Arial" w:eastAsia="Arial" w:hAnsi="Arial"/>
          <w:sz w:val="16"/>
          <w:szCs w:val="16"/>
          <w:i w:val="1"/>
          <w:iCs w:val="1"/>
          <w:color w:val="auto"/>
        </w:rPr>
        <w:t xml:space="preserve"> </w:t>
      </w:r>
      <w:r>
        <w:rPr>
          <w:rFonts w:ascii="Arial" w:cs="Arial" w:eastAsia="Arial" w:hAnsi="Arial"/>
          <w:sz w:val="16"/>
          <w:szCs w:val="16"/>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for Massachusetts, where cannabis has been deemed essential only for medical patients).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are authorized to issue an unlimited number of Subordinate Voting Shares (which are being registered by the registration statement of which this prospectus is a part), an unlimited number of Multiple Voting Shares and an unlimited number of Super Voting Shares.</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of June 26, 2020, our issued and outstanding capital consisted of: (i) 158,058,533 Subordinate Voting Shares; (ii) 12,671,200 Multiple Voting Shares (on an as converted basis); and (iii) 38,833,600 Super Voting Shares (on an as converted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number of equity shares assuming all are converted into Subordinate Voting Shares would be 209,563,533.</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Articles, which are attached to the registration statement of which this prospectus is a part, provide further information regarding our securities and qualify the summary under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in its entirety.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(formerly post-consolidation common shares of Bayswater Uranium Corporation)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Reclassification</w:t>
      </w:r>
      <w:r>
        <w:rPr>
          <w:rFonts w:ascii="Arial" w:cs="Arial" w:eastAsia="Arial" w:hAnsi="Arial"/>
          <w:sz w:val="16"/>
          <w:szCs w:val="16"/>
          <w:color w:val="auto"/>
        </w:rPr>
        <w:t>. Each post-consolidation common share held by one of our shareholders has been reclassified into one Subordinate Voting Share.</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Notice and Voting Rights</w:t>
      </w:r>
      <w:r>
        <w:rPr>
          <w:rFonts w:ascii="Arial" w:cs="Arial" w:eastAsia="Arial" w:hAnsi="Arial"/>
          <w:sz w:val="18"/>
          <w:szCs w:val="18"/>
          <w:color w:val="auto"/>
        </w:rPr>
        <w:t>. Holders of Subordinate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Subordinate Voting Shares are entitled to one vote in respect of each Subordinate Voting Share held.</w:t>
      </w:r>
    </w:p>
    <w:p>
      <w:pPr>
        <w:spacing w:after="0" w:line="184"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i w:val="1"/>
          <w:iCs w:val="1"/>
          <w:color w:val="auto"/>
        </w:rPr>
        <w:t>Class Rights</w:t>
      </w:r>
      <w:r>
        <w:rPr>
          <w:rFonts w:ascii="Arial" w:cs="Arial" w:eastAsia="Arial" w:hAnsi="Arial"/>
          <w:sz w:val="18"/>
          <w:szCs w:val="18"/>
          <w:color w:val="auto"/>
        </w:rPr>
        <w:t>. As long as any Subordinate Voting Shares remain outstanding, we will not, without the consent of the holders of the Subordinate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the Green Thumb Industries Inc.</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In the event that an offer is made to purchase Multiple Voting Shares and the offer is one which is required,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Industries Inc. or on the part of the holder, into Subordinate Voting Shares at the Conversion Ratio then in effect.</w:t>
      </w:r>
    </w:p>
    <w:p>
      <w:pPr>
        <w:spacing w:after="0" w:line="187"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Holders of Subordinate Voting Shares are entitled to receive, as and when declared by our directors, dividends in cash or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4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Multiple Voting Shares are entitled to notice of and to attend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Class Rights. </w:t>
      </w:r>
      <w:r>
        <w:rPr>
          <w:rFonts w:ascii="Arial" w:cs="Arial" w:eastAsia="Arial" w:hAnsi="Arial"/>
          <w:sz w:val="18"/>
          <w:szCs w:val="18"/>
          <w:color w:val="auto"/>
        </w:rPr>
        <w:t>As long as any Multiple Voting Shares remain outstanding, the Resulting Issuer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The Multiple Voting Shares each have a restricted right to convert into 100 Subordinate Voting Shares, subject to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Securities Exchange Act of 1934, as amended,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7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6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Multiple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7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Super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Class Rights. </w:t>
      </w:r>
      <w:r>
        <w:rPr>
          <w:rFonts w:ascii="Arial" w:cs="Arial" w:eastAsia="Arial" w:hAnsi="Arial"/>
          <w:sz w:val="17"/>
          <w:szCs w:val="17"/>
          <w:color w:val="auto"/>
        </w:rPr>
        <w:t>As long as any Super Voting Shares remain outstanding, the Resulting Issue will not, without the consent of the holders of the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77" w:lineRule="exact"/>
        <w:rPr>
          <w:sz w:val="20"/>
          <w:szCs w:val="20"/>
          <w:color w:val="auto"/>
        </w:rPr>
      </w:pPr>
    </w:p>
    <w:p>
      <w:pPr>
        <w:jc w:val="both"/>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Each Super Voting Share has a right to convert into 1 Multiple Voting Share subject to customary adjustments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changes.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Conversion at the Option of Green Thumb Industries Inc. </w:t>
      </w:r>
      <w:r>
        <w:rPr>
          <w:rFonts w:ascii="Arial" w:cs="Arial" w:eastAsia="Arial" w:hAnsi="Arial"/>
          <w:sz w:val="16"/>
          <w:szCs w:val="16"/>
          <w:color w:val="auto"/>
        </w:rPr>
        <w:t>We have the right to convert all or some of the Super Voting Shares from a holder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Super Voting Shares into an equal number of Multiple Voting Shares subject to customary adjustments for certain corporate changes:</w:t>
      </w:r>
    </w:p>
    <w:p>
      <w:pPr>
        <w:spacing w:after="0" w:line="116" w:lineRule="exact"/>
        <w:rPr>
          <w:sz w:val="20"/>
          <w:szCs w:val="20"/>
          <w:color w:val="auto"/>
        </w:rPr>
      </w:pPr>
    </w:p>
    <w:p>
      <w:pPr>
        <w:ind w:left="1080" w:right="120" w:hanging="532"/>
        <w:spacing w:after="0" w:line="275"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81"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77"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We are not required to convert Super Voting Shares on a prorated basis among the holders of Super Voting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There are no transfer restrictions for the Super Voting Shares, subject to conversion rights at our option (see “</w:t>
      </w:r>
      <w:r>
        <w:rPr>
          <w:rFonts w:ascii="Arial" w:cs="Arial" w:eastAsia="Arial" w:hAnsi="Arial"/>
          <w:sz w:val="18"/>
          <w:szCs w:val="18"/>
          <w:i w:val="1"/>
          <w:iCs w:val="1"/>
          <w:color w:val="auto"/>
        </w:rPr>
        <w:t>Conversion at the Option of Green Thumb Industries Inc.</w:t>
      </w:r>
      <w:r>
        <w:rPr>
          <w:rFonts w:ascii="Arial" w:cs="Arial" w:eastAsia="Arial" w:hAnsi="Arial"/>
          <w:sz w:val="18"/>
          <w:szCs w:val="18"/>
          <w:color w:val="auto"/>
        </w:rPr>
        <w:t>” above).</w:t>
      </w:r>
    </w:p>
    <w:p>
      <w:pPr>
        <w:spacing w:after="0" w:line="17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Super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 unless,</w:t>
      </w:r>
      <w:r>
        <w:rPr>
          <w:rFonts w:ascii="Arial" w:cs="Arial" w:eastAsia="Arial" w:hAnsi="Arial"/>
          <w:sz w:val="17"/>
          <w:szCs w:val="17"/>
          <w:i w:val="1"/>
          <w:iCs w:val="1"/>
          <w:color w:val="auto"/>
        </w:rPr>
        <w:t xml:space="preserve"> </w:t>
      </w:r>
      <w:r>
        <w:rPr>
          <w:rFonts w:ascii="Arial" w:cs="Arial" w:eastAsia="Arial" w:hAnsi="Arial"/>
          <w:sz w:val="17"/>
          <w:szCs w:val="17"/>
          <w:color w:val="auto"/>
        </w:rPr>
        <w:t>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Subordinate Voting Shares is Odyssey Trust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Future sales of our common shares, including shares issued upon the exercise of outstanding options, RSUs, or warrants, in the public market after this offering, or the perception that those sales may occur, could cause the prevailing market price for our common shares to fall or impair our ability to raise equity capital in the future. As described below, only a portion of our Subordinate Voting Shares will be available for sale in the public market for a period of time after completion of this offering due to contractual and legal restrictions on resale described below. Future sales of our Subordinate Voting Shares in the public market either before (to the extent permitted) or after restrictions lapse, or the perception that those sales may occur, could adversely affect the prevailing market price of our common shares at such time and our ability to raise equity capital at a time and price we deem appropriate.</w:t>
      </w:r>
    </w:p>
    <w:p>
      <w:pPr>
        <w:spacing w:after="0" w:line="164"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As of June 26, 2020, we have 158,058,533 Subordinate Voting Shares issued and outstanding. Upon completion of this offering, we will have [•] shares of common stock issued and outstanding. All of the Subordinate Voting Shares expected to be sold in this offering will be freely tradable without restriction or further registration under the Securities Act, unless held by our “affiliates,” as that term is defined in Rule 144 under the Securities Act.</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remaining [•] outstanding Subordinate Voting Shares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the provisions of Rules 144 or 701, the Subordinate Voting Shares that will be deemed “restricted securities” will be available for sale in the public market following the completion of this offering as follows:</w:t>
      </w:r>
    </w:p>
    <w:p>
      <w:pPr>
        <w:spacing w:after="0" w:line="84"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7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issue common stock from time to time for a variety of corporate purposes, including in capital-raising activities through future public offerings or private placements, in connection with exercise of stock options, vesting of restricted stock units and other issuances relating to our employee benefit plans and as consideration for future acquisitions, investments or other purposes. The number of Subordinate Voting Shares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Subordinate Voting Shares will have the right, under certain circumstances, to cause us to register any resale of such shares to the public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Exchange Act, for at least 90 days, a person (or persons whose common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complying with any of the requirements of Rule 144 (subject to the lock-up agreement referred to below, if applicable). In general, under Rule 144, as currently in effect, once we have been subject to the public company reporting requirements of the Exchange Act for at least 90 days, our “affiliates,” as defined in Rule 144, who have beneficially owned the common shares proposed to be sold for at least six months are entitled to sell in the public market, upon expiration of any applicable lock-up agreements and within any three-month period, a number of those Subordinate Voting Shares that does not exceed the greater of:</w:t>
      </w:r>
    </w:p>
    <w:p>
      <w:pPr>
        <w:spacing w:after="0" w:line="93" w:lineRule="exact"/>
        <w:rPr>
          <w:sz w:val="20"/>
          <w:szCs w:val="20"/>
          <w:color w:val="auto"/>
        </w:rPr>
      </w:pPr>
    </w:p>
    <w:p>
      <w:pPr>
        <w:ind w:left="1080" w:right="54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 of the number of Subordinate Voting Shares then outstanding, which will equal approximately [•] Subordinate Voting Shares immediately after this offering (calculated on the basis of the assumptions described above and assuming no exercise of outstanding options or warrants); or</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NYSE during the four calendar weeks preceding the filing of a notice on Form 144 with respect to such sale.</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our restricted securities who have entered into lock-up agreements as referenced below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Subordinate Voting Shares from us in connection with a written compensatory stock or option plan or other written agreement in compliance with Rule 701 under the Securities Act before the effective date of the registration statement of which this prospectus is a part (to the extent such Subordinate Voting Shares are not subject to a lock-up agreement) is entitled to rely on Rule 701 to resell such Subordinate Voting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Subordinate Voting Shares without complying with the minimum holding period or public information requirements of Rule 144, and persons who are our “affiliates” may resell those Subordinate Voting Shares without compliance with Rule 144’s minimum holding period requirements (subject to the terms of the lock-up agreement referred to below, if applicable).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our directors and officers and substantially all of the holders of five percent or more of our equity securities have agreed, subject to certain exceptions, not to offer, sell or transfer any of our shares of common stock or securities convertible into or exchangeable or exercisable for our Subordinate Voting Shares, for 180 days after the date of this prospectus without first obtaining the written consent of the underwriter, after the date of this prospectus. These agreements are described in the section of this prospectus captioned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17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underwriter has advised us that they have no present intent or arrangement to release any shares of Subordinate Voting Shares subject to a lock-up, and will consider the release of any lock-up on a case-by-case basis. There are no existing agreements between the underwriter and any of our shareholders who have or will execute a lock-up agreement, providing consent to the sale of common stock prior to the expiration of the lock-up period.</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Following the lock-up periods set forth in the agreements described above, and assuming the underwriter does not release any parties from these agreements and that there is no extension of the lock-up period, all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Subordinate Voting Shares that are restricted securities or are held by our affiliates as of the date of this prospectus will be eligible for sale in the public market in compliance with Rule 144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19, 2020, we filed with the SEC a registration statement under the Securities Act covering the Subordinate Voting Shares that we may issue upon exercise of outstanding options under our Stock and Incentive Plan and the Subordinate Voting Shares that we may issue pursuant to future awards under our Stock and Incentive Plan. Subordinate Voting Shares registered under such registration statement will be available for sale in the open market, subject to Rule 144 volume limitations.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6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(BRITISH COLUMBIA) AND THE DELAWARE GENERAL CORPORATION LAW</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corporate affairs are governed by our articles of association and the provisions of applicable laws of British Columbia, including the Business Corporations Act (British Columbia), or the BCBCA. The BCBCA differs from the various state laws applicable to U.S. corporations and their shareholders. The following table provides a summary of the material differences between the provisions of the BCBCA and the Delaware General Corporation Law, or the DGCL.</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i w:val="1"/>
                <w:iCs w:val="1"/>
                <w:color w:val="auto"/>
              </w:rPr>
              <w:t>Authorized Share Capital</w:t>
            </w:r>
          </w:p>
        </w:tc>
        <w:tc>
          <w:tcPr>
            <w:tcW w:w="460" w:type="dxa"/>
            <w:vAlign w:val="bottom"/>
          </w:tcPr>
          <w:p>
            <w:pPr>
              <w:spacing w:after="0"/>
              <w:rPr>
                <w:sz w:val="16"/>
                <w:szCs w:val="16"/>
                <w:color w:val="auto"/>
              </w:rPr>
            </w:pPr>
          </w:p>
        </w:tc>
        <w:tc>
          <w:tcPr>
            <w:tcW w:w="41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BCBCA</w:t>
            </w: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As permitted by the BCBCA and our articles, our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authorized share capital consists of (i) an unlimited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0"/>
              </w:rPr>
              <w:t>number of common shares without par value, with special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rights and restrictions attached and (ii) an unlimited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number of preferred shares without par value, with</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special rights and restrictions attached.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Dividends</w:t>
      </w:r>
      <w:r>
        <w:rPr>
          <w:sz w:val="20"/>
          <w:szCs w:val="20"/>
          <w:color w:val="auto"/>
        </w:rPr>
        <w:tab/>
      </w:r>
      <w:r>
        <w:rPr>
          <w:rFonts w:ascii="Arial" w:cs="Arial" w:eastAsia="Arial" w:hAnsi="Arial"/>
          <w:sz w:val="17"/>
          <w:szCs w:val="17"/>
          <w:color w:val="auto"/>
        </w:rPr>
        <w:t>Under the BCBCA and our articles, dividends may be</w:t>
      </w:r>
    </w:p>
    <w:p>
      <w:pPr>
        <w:spacing w:after="0" w:line="35" w:lineRule="exact"/>
        <w:rPr>
          <w:sz w:val="20"/>
          <w:szCs w:val="20"/>
          <w:color w:val="auto"/>
        </w:rPr>
      </w:pPr>
    </w:p>
    <w:p>
      <w:pPr>
        <w:ind w:left="2880" w:right="40"/>
        <w:spacing w:after="0" w:line="253" w:lineRule="auto"/>
        <w:rPr>
          <w:sz w:val="20"/>
          <w:szCs w:val="20"/>
          <w:color w:val="auto"/>
        </w:rPr>
      </w:pPr>
      <w:r>
        <w:rPr>
          <w:rFonts w:ascii="Arial" w:cs="Arial" w:eastAsia="Arial" w:hAnsi="Arial"/>
          <w:sz w:val="18"/>
          <w:szCs w:val="18"/>
          <w:color w:val="auto"/>
        </w:rPr>
        <w:t>declared at the discretion of the board of directors. Any dividends declared shall be subject to the rights, if any, of shareholders holding shares with special rights as to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Shareholder Action by Written</w:t>
      </w:r>
      <w:r>
        <w:rPr>
          <w:sz w:val="20"/>
          <w:szCs w:val="20"/>
          <w:color w:val="auto"/>
        </w:rPr>
        <w:tab/>
      </w:r>
      <w:r>
        <w:rPr>
          <w:rFonts w:ascii="Arial" w:cs="Arial" w:eastAsia="Arial" w:hAnsi="Arial"/>
          <w:sz w:val="16"/>
          <w:szCs w:val="16"/>
          <w:color w:val="auto"/>
        </w:rPr>
        <w:t>Under the BCBCA and our articles, shareholder action</w:t>
      </w:r>
    </w:p>
    <w:p>
      <w:pPr>
        <w:spacing w:after="0" w:line="23" w:lineRule="exact"/>
        <w:rPr>
          <w:sz w:val="20"/>
          <w:szCs w:val="20"/>
          <w:color w:val="auto"/>
        </w:rPr>
      </w:pPr>
    </w:p>
    <w:p>
      <w:pPr>
        <w:ind w:left="2880" w:hanging="2759"/>
        <w:spacing w:after="0" w:line="277" w:lineRule="auto"/>
        <w:tabs>
          <w:tab w:leader="none" w:pos="2860" w:val="left"/>
        </w:tabs>
        <w:rPr>
          <w:sz w:val="20"/>
          <w:szCs w:val="20"/>
          <w:color w:val="auto"/>
        </w:rPr>
      </w:pPr>
      <w:r>
        <w:rPr>
          <w:rFonts w:ascii="Arial" w:cs="Arial" w:eastAsia="Arial" w:hAnsi="Arial"/>
          <w:sz w:val="17"/>
          <w:szCs w:val="17"/>
          <w:i w:val="1"/>
          <w:iCs w:val="1"/>
          <w:color w:val="auto"/>
        </w:rPr>
        <w:t>Consent</w:t>
      </w:r>
      <w:r>
        <w:rPr>
          <w:sz w:val="20"/>
          <w:szCs w:val="20"/>
          <w:color w:val="auto"/>
        </w:rPr>
        <w:tab/>
      </w:r>
      <w:r>
        <w:rPr>
          <w:rFonts w:ascii="Arial" w:cs="Arial" w:eastAsia="Arial" w:hAnsi="Arial"/>
          <w:sz w:val="17"/>
          <w:szCs w:val="17"/>
          <w:color w:val="auto"/>
        </w:rPr>
        <w:t>without a meeting may be taken by written resolution signed by all of the shareholders who would be entitled to vote on the relevant issue at a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DGCL, a corporations certificate of incorporation must specify the number of shares of each class of stock and their par value, or include a statement that such shares are without par value. The certificate of incorporation must also set forth the designations, powers, preferences, rights, qualifications, limitations and restrictions of each class of shares, if any. Under the DGCL, a corporations certificate of incorporation give the board of directors the authority to issue preferred stock in one or more series, with such designations and special rights and restrictions as determined by the board of directors.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DGCL generally provides that, subject to certain restrictions, the directors of a corporation may declare and pay dividends upon the shares of its capital stock either out of the corporations surplus or, if there is no such surplus out of its net profits for the fiscal year in which the dividend is declared and/or the preceding fiscal year. Further, the holders of preferred or special stock of any class or series may be entitled to receive dividends at such rates, on such conditions and at such times as stated in the certificate of incorporation.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DGCL, any action required or permitted to be taken at a stockholder meeting may be taken without a</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meeting if consents in writing are signed by the holders of outstanding stock having at least the minimum number of votes necessary to authorize or take such action at a meeting at which all shares entitled to vote thereon were</w:t>
      </w:r>
    </w:p>
    <w:p>
      <w:pPr>
        <w:sectPr>
          <w:pgSz w:w="11900" w:h="16838" w:orient="portrait"/>
          <w:cols w:equalWidth="0" w:num="2">
            <w:col w:w="7060" w:space="220"/>
            <w:col w:w="3840"/>
          </w:cols>
          <w:pgMar w:left="320" w:top="459" w:right="4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Election of Directors</w:t>
      </w:r>
      <w:r>
        <w:rPr>
          <w:sz w:val="20"/>
          <w:szCs w:val="20"/>
          <w:color w:val="auto"/>
        </w:rPr>
        <w:tab/>
      </w:r>
      <w:r>
        <w:rPr>
          <w:rFonts w:ascii="Arial" w:cs="Arial" w:eastAsia="Arial" w:hAnsi="Arial"/>
          <w:sz w:val="16"/>
          <w:szCs w:val="16"/>
          <w:color w:val="auto"/>
        </w:rPr>
        <w:t>The BCBCA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Removal of Directors</w:t>
      </w:r>
      <w:r>
        <w:rPr>
          <w:sz w:val="20"/>
          <w:szCs w:val="20"/>
          <w:color w:val="auto"/>
        </w:rPr>
        <w:tab/>
      </w:r>
      <w:r>
        <w:rPr>
          <w:rFonts w:ascii="Arial" w:cs="Arial" w:eastAsia="Arial" w:hAnsi="Arial"/>
          <w:sz w:val="16"/>
          <w:szCs w:val="16"/>
          <w:color w:val="auto"/>
        </w:rPr>
        <w:t>As permitted under the BCBCA, our articles provide that</w:t>
      </w:r>
    </w:p>
    <w:p>
      <w:pPr>
        <w:spacing w:after="0" w:line="23" w:lineRule="exact"/>
        <w:rPr>
          <w:sz w:val="20"/>
          <w:szCs w:val="20"/>
          <w:color w:val="auto"/>
        </w:rPr>
      </w:pPr>
    </w:p>
    <w:p>
      <w:pPr>
        <w:ind w:left="2880"/>
        <w:spacing w:after="0" w:line="270" w:lineRule="auto"/>
        <w:rPr>
          <w:sz w:val="20"/>
          <w:szCs w:val="20"/>
          <w:color w:val="auto"/>
        </w:rPr>
      </w:pPr>
      <w:r>
        <w:rPr>
          <w:rFonts w:ascii="Arial" w:cs="Arial" w:eastAsia="Arial" w:hAnsi="Arial"/>
          <w:sz w:val="17"/>
          <w:szCs w:val="17"/>
          <w:color w:val="auto"/>
        </w:rPr>
        <w:t>a director may be removed before the expiration of their term by a special resolution of shareholders. Our articles also provide that the directors may remove any director before the expiration of their term if the director is convicted of an indictable offence or if the director ceases to be qualified to act as a director.</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Required Vote for Certain</w:t>
      </w:r>
      <w:r>
        <w:rPr>
          <w:sz w:val="20"/>
          <w:szCs w:val="20"/>
          <w:color w:val="auto"/>
        </w:rPr>
        <w:tab/>
      </w:r>
      <w:r>
        <w:rPr>
          <w:rFonts w:ascii="Arial" w:cs="Arial" w:eastAsia="Arial" w:hAnsi="Arial"/>
          <w:sz w:val="16"/>
          <w:szCs w:val="16"/>
          <w:color w:val="auto"/>
        </w:rPr>
        <w:t>Under the BCBCA, certain extraordinary corporate</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Transactions</w:t>
      </w:r>
      <w:r>
        <w:rPr>
          <w:sz w:val="20"/>
          <w:szCs w:val="20"/>
          <w:color w:val="auto"/>
        </w:rPr>
        <w:tab/>
      </w:r>
      <w:r>
        <w:rPr>
          <w:rFonts w:ascii="Arial" w:cs="Arial" w:eastAsia="Arial" w:hAnsi="Arial"/>
          <w:sz w:val="17"/>
          <w:szCs w:val="17"/>
          <w:color w:val="auto"/>
        </w:rPr>
        <w:t>actions, such as continuances, certain amalgamations,</w:t>
      </w:r>
    </w:p>
    <w:p>
      <w:pPr>
        <w:spacing w:after="0" w:line="21" w:lineRule="exact"/>
        <w:rPr>
          <w:sz w:val="20"/>
          <w:szCs w:val="20"/>
          <w:color w:val="auto"/>
        </w:rPr>
      </w:pPr>
    </w:p>
    <w:p>
      <w:pPr>
        <w:ind w:left="2880" w:right="80"/>
        <w:spacing w:after="0" w:line="271" w:lineRule="auto"/>
        <w:rPr>
          <w:sz w:val="20"/>
          <w:szCs w:val="20"/>
          <w:color w:val="auto"/>
        </w:rPr>
      </w:pPr>
      <w:r>
        <w:rPr>
          <w:rFonts w:ascii="Arial" w:cs="Arial" w:eastAsia="Arial" w:hAnsi="Arial"/>
          <w:sz w:val="17"/>
          <w:szCs w:val="17"/>
          <w:color w:val="auto"/>
        </w:rPr>
        <w:t>sales, leases or other dispositions of all, or substantially all of, the property of a corporation (other than in the ordinary course of business), liquidations, dissolutions and certain arrangements, are required to be approved by special resolution of shareholders.</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Amendment of Organizing</w:t>
      </w:r>
      <w:r>
        <w:rPr>
          <w:sz w:val="20"/>
          <w:szCs w:val="20"/>
          <w:color w:val="auto"/>
        </w:rPr>
        <w:tab/>
      </w:r>
      <w:r>
        <w:rPr>
          <w:rFonts w:ascii="Arial" w:cs="Arial" w:eastAsia="Arial" w:hAnsi="Arial"/>
          <w:sz w:val="16"/>
          <w:szCs w:val="16"/>
          <w:color w:val="auto"/>
        </w:rPr>
        <w:t>As permitted by the BCBCA, under our articles, any</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Documents</w:t>
      </w:r>
      <w:r>
        <w:rPr>
          <w:sz w:val="20"/>
          <w:szCs w:val="20"/>
          <w:color w:val="auto"/>
        </w:rPr>
        <w:tab/>
      </w:r>
      <w:r>
        <w:rPr>
          <w:rFonts w:ascii="Arial" w:cs="Arial" w:eastAsia="Arial" w:hAnsi="Arial"/>
          <w:sz w:val="17"/>
          <w:szCs w:val="17"/>
          <w:color w:val="auto"/>
        </w:rPr>
        <w:t>amendment to the notice of articles or articles generally</w:t>
      </w:r>
    </w:p>
    <w:p>
      <w:pPr>
        <w:spacing w:after="0" w:line="21" w:lineRule="exact"/>
        <w:rPr>
          <w:sz w:val="20"/>
          <w:szCs w:val="20"/>
          <w:color w:val="auto"/>
        </w:rPr>
      </w:pPr>
    </w:p>
    <w:p>
      <w:pPr>
        <w:ind w:left="2880" w:right="100"/>
        <w:spacing w:after="0" w:line="269" w:lineRule="auto"/>
        <w:rPr>
          <w:sz w:val="20"/>
          <w:szCs w:val="20"/>
          <w:color w:val="auto"/>
        </w:rPr>
      </w:pPr>
      <w:r>
        <w:rPr>
          <w:rFonts w:ascii="Arial" w:cs="Arial" w:eastAsia="Arial" w:hAnsi="Arial"/>
          <w:sz w:val="17"/>
          <w:szCs w:val="17"/>
          <w:color w:val="auto"/>
        </w:rPr>
        <w:t>requires approval by an ordinary or special resolution of the shareholders. In the event that an amendment to the articles would prejudice or interfere with a right or special right attached to issued shares of a class or series of shares, such amendment must be approved separately by the holders of the class or series of shares being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present and voted, unless otherwise provided in the certificate of incorporation. Typically, public company certificates of incorporation prohibit actions by written consent of the stockholders.</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DGCL, stockholders are not entitled to cumulative voting in the election of directors unless provided for in the corporation’s certificate of incorporation.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DGCL any director may be removed, with or without cause, by the affirmative vote of a majority of the shares then entitled to vote at an election of directors, unless the board is classified, cumulative voting is permitted by the certificate of incorporation or the certificate of incorporation provides otherwise.</w:t>
      </w:r>
    </w:p>
    <w:p>
      <w:pPr>
        <w:spacing w:after="0" w:line="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DGCL, certain mergers, consolidation, sale, lease, exchange or other disposition of all, or substantially all, the property and assets of a corporation or dissolution of the corporation requires the approval of a majority of the outstanding voting stock of the corporation entitled to vote thereon.</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DGCL provides that a corporation may amend its certificate of incorporation if its board of directors has adopted such amendment, followed by the affirmative vote of a majority of the outstanding voting stock and a majority of the outstanding shares of each class entitled to vote on the amendment as a class. In the event the amendment would alter the aggregate number of authorized shares of a class of stock, their par value, or the powers, preferences or special rights of the shares of a class so as to affect them adversely, the holders of the outstanding shares of the class are entitled to vote as a class upon a proposed amendment,</w:t>
      </w:r>
    </w:p>
    <w:p>
      <w:pPr>
        <w:sectPr>
          <w:pgSz w:w="11900" w:h="16838" w:orient="portrait"/>
          <w:cols w:equalWidth="0" w:num="2">
            <w:col w:w="7060" w:space="220"/>
            <w:col w:w="384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tcBorders>
              <w:bottom w:val="single" w:sz="8" w:color="auto"/>
            </w:tcBorders>
          </w:tcPr>
          <w:p>
            <w:pPr>
              <w:jc w:val="right"/>
              <w:ind w:right="1768"/>
              <w:spacing w:after="0"/>
              <w:rPr>
                <w:sz w:val="20"/>
                <w:szCs w:val="20"/>
                <w:color w:val="auto"/>
              </w:rPr>
            </w:pPr>
            <w:r>
              <w:rPr>
                <w:rFonts w:ascii="Arial" w:cs="Arial" w:eastAsia="Arial" w:hAnsi="Arial"/>
                <w:sz w:val="14"/>
                <w:szCs w:val="14"/>
                <w:b w:val="1"/>
                <w:bCs w:val="1"/>
                <w:color w:val="auto"/>
              </w:rPr>
              <w:t>BCBCA</w:t>
            </w:r>
          </w:p>
        </w:tc>
      </w:tr>
      <w:tr>
        <w:trPr>
          <w:trHeight w:val="735"/>
        </w:trPr>
        <w:tc>
          <w:tcPr>
            <w:tcW w:w="2580" w:type="dxa"/>
            <w:vAlign w:val="bottom"/>
          </w:tcPr>
          <w:p>
            <w:pPr>
              <w:spacing w:after="0"/>
              <w:rPr>
                <w:sz w:val="20"/>
                <w:szCs w:val="20"/>
                <w:color w:val="auto"/>
              </w:rPr>
            </w:pPr>
            <w:r>
              <w:rPr>
                <w:rFonts w:ascii="Arial" w:cs="Arial" w:eastAsia="Arial" w:hAnsi="Arial"/>
                <w:sz w:val="18"/>
                <w:szCs w:val="18"/>
                <w:i w:val="1"/>
                <w:iCs w:val="1"/>
                <w:color w:val="auto"/>
              </w:rPr>
              <w:t>Quorum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As permitted under the BCBCA, our articles provide that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7"/>
              </w:rPr>
              <w:t>a quorum for general meetings of shareholders is two</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8"/>
              </w:rPr>
              <w:t>persons present and being, or representing by proxy,</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shareholders holding in the aggregate not less than 5% of</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8"/>
              </w:rPr>
              <w:t>the issued shares entitled to be voted at the meeting.</w:t>
            </w:r>
          </w:p>
        </w:tc>
      </w:tr>
      <w:tr>
        <w:trPr>
          <w:trHeight w:val="526"/>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Shareholder Access to Corporate</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6"/>
              </w:rPr>
              <w:t>Under the BCBCA, specified books and records of the</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Records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corporation must be available for inspection by any of our</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shareholders at the registered and records office.</w:t>
            </w:r>
          </w:p>
        </w:tc>
      </w:tr>
      <w:tr>
        <w:trPr>
          <w:trHeight w:val="742"/>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Annual Meetings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Our articles provide that an annual general meeting must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be held at least once in each calendar year, and not more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6"/>
              </w:rPr>
              <w:t>than 15 months after the last annual reference date, 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such time and place as may be determined by the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directors. An annual meeting of shareholders may be held</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6"/>
              </w:rPr>
              <w:t>at a location outside British Columbia if the location for</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the meeting is approved by a directors’ resolution.</w:t>
            </w:r>
          </w:p>
        </w:tc>
      </w:tr>
      <w:tr>
        <w:trPr>
          <w:trHeight w:val="958"/>
        </w:trPr>
        <w:tc>
          <w:tcPr>
            <w:tcW w:w="2580" w:type="dxa"/>
            <w:vAlign w:val="bottom"/>
          </w:tcPr>
          <w:p>
            <w:pPr>
              <w:spacing w:after="0"/>
              <w:rPr>
                <w:sz w:val="20"/>
                <w:szCs w:val="20"/>
                <w:color w:val="auto"/>
              </w:rPr>
            </w:pPr>
            <w:r>
              <w:rPr>
                <w:rFonts w:ascii="Arial" w:cs="Arial" w:eastAsia="Arial" w:hAnsi="Arial"/>
                <w:sz w:val="18"/>
                <w:szCs w:val="18"/>
                <w:i w:val="1"/>
                <w:iCs w:val="1"/>
                <w:color w:val="auto"/>
                <w:w w:val="95"/>
              </w:rPr>
              <w:t>Special Meetings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Under the BCBCA, the holders of not less than 5% of the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2"/>
              </w:rPr>
              <w:t>issued shares of a corporation that carry the right to vote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at a general meeting may requisition the directors to call a</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meeting of shareholders.</w:t>
            </w:r>
          </w:p>
        </w:tc>
      </w:tr>
      <w:tr>
        <w:trPr>
          <w:trHeight w:val="742"/>
        </w:trPr>
        <w:tc>
          <w:tcPr>
            <w:tcW w:w="2580" w:type="dxa"/>
            <w:vAlign w:val="bottom"/>
          </w:tcPr>
          <w:p>
            <w:pPr>
              <w:spacing w:after="0"/>
              <w:rPr>
                <w:sz w:val="20"/>
                <w:szCs w:val="20"/>
                <w:color w:val="auto"/>
              </w:rPr>
            </w:pPr>
            <w:r>
              <w:rPr>
                <w:rFonts w:ascii="Arial" w:cs="Arial" w:eastAsia="Arial" w:hAnsi="Arial"/>
                <w:sz w:val="18"/>
                <w:szCs w:val="18"/>
                <w:i w:val="1"/>
                <w:iCs w:val="1"/>
                <w:color w:val="auto"/>
              </w:rPr>
              <w:t>Anti-takeover Provisions and</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2"/>
              </w:rPr>
              <w:t>As permitted by the BCBCA, our articles provide that our</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Interested Shareholder</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board of directors may fix the number of preferred shares</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Transactions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in, and determine the designation of the shares of, each</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89"/>
              </w:rPr>
              <w:t>series and create, define and attach rights and restrictions</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8"/>
              </w:rPr>
              <w:t>to the preferred shares without shareholder approval.</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Neither the BCBCA nor our articles restrict us from</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adopting a shareholder rights plan.</w:t>
            </w:r>
          </w:p>
        </w:tc>
      </w:tr>
      <w:tr>
        <w:trPr>
          <w:trHeight w:val="796"/>
        </w:trPr>
        <w:tc>
          <w:tcPr>
            <w:tcW w:w="2580" w:type="dxa"/>
            <w:vAlign w:val="bottom"/>
          </w:tcPr>
          <w:p>
            <w:pPr>
              <w:spacing w:after="0"/>
              <w:rPr>
                <w:sz w:val="24"/>
                <w:szCs w:val="24"/>
                <w:color w:val="auto"/>
              </w:rPr>
            </w:pPr>
          </w:p>
        </w:tc>
        <w:tc>
          <w:tcPr>
            <w:tcW w:w="4360" w:type="dxa"/>
            <w:vAlign w:val="bottom"/>
            <w:gridSpan w:val="2"/>
          </w:tcPr>
          <w:p>
            <w:pPr>
              <w:jc w:val="right"/>
              <w:ind w:right="1228"/>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560"/>
        <w:spacing w:after="0" w:line="274" w:lineRule="auto"/>
        <w:rPr>
          <w:sz w:val="20"/>
          <w:szCs w:val="20"/>
          <w:color w:val="auto"/>
        </w:rPr>
      </w:pPr>
      <w:r>
        <w:rPr>
          <w:rFonts w:ascii="Arial" w:cs="Arial" w:eastAsia="Arial" w:hAnsi="Arial"/>
          <w:sz w:val="18"/>
          <w:szCs w:val="18"/>
          <w:color w:val="auto"/>
        </w:rPr>
        <w:t>whether or not entitled to vote thereon by the certificate of incorporation.</w:t>
      </w:r>
    </w:p>
    <w:p>
      <w:pPr>
        <w:spacing w:after="0" w:line="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Under the DGCL, unless otherwise provided in the certificate of incorporation, with respect to any matter, a quorum for a meeting of stockholders requires the holders of a majority of the shares entitled to vote are represented at the meeting in person or by proxy.</w:t>
      </w:r>
    </w:p>
    <w:p>
      <w:pPr>
        <w:spacing w:after="0" w:line="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the DGCL, a stockholder of record has the right to inspect the books and records of the corporation, provided that such inspection is for a proper purpose which is reasonably related to such stockholders interest as a stockholder.</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DGCL, a corporation must hold an annual meeting of stockholders in a place designated by the certificate of incorporation or bylaws, whether inside or outside of Delaware, or, if not so designated, as determined by the board of directors and on a date and at a time designated in the bylaws, except as otherwise provided by law. Written notice of every meeting of stockholders must be given to each stockholder of record not less than 10 nor more than 60 days before the date of the meeting.</w:t>
      </w:r>
    </w:p>
    <w:p>
      <w:pPr>
        <w:spacing w:after="0" w:line="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DGCL, special meetings of stockholders may be called by the board of directors or by such person or persons as may be authorized by the certificate of incorporation or the bylaws. Typically public company certificates of incorporation do not authorize shareholders to call special meetings.</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DGCL, a certificate of incorporation may provide the board of directors with the ability to designate the terms of and issue a new class or series of preferred stock, and to issue a stockholder rights plan. Delaware corporations are subject to Delaware’s business combination statute. In general, such statute prohibits a corporation from engaging in any business combination transactions with an interested</w:t>
      </w:r>
    </w:p>
    <w:p>
      <w:pPr>
        <w:sectPr>
          <w:pgSz w:w="11900" w:h="16838" w:orient="portrait"/>
          <w:cols w:equalWidth="0" w:num="2">
            <w:col w:w="7060" w:space="220"/>
            <w:col w:w="382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BCBCA does not restrict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80" w:hanging="2766"/>
        <w:spacing w:after="0" w:line="269" w:lineRule="auto"/>
        <w:tabs>
          <w:tab w:leader="none" w:pos="2860" w:val="left"/>
        </w:tabs>
        <w:rPr>
          <w:sz w:val="20"/>
          <w:szCs w:val="20"/>
          <w:color w:val="auto"/>
        </w:rPr>
      </w:pPr>
      <w:r>
        <w:rPr>
          <w:rFonts w:ascii="Arial" w:cs="Arial" w:eastAsia="Arial" w:hAnsi="Arial"/>
          <w:sz w:val="18"/>
          <w:szCs w:val="18"/>
          <w:i w:val="1"/>
          <w:iCs w:val="1"/>
          <w:color w:val="auto"/>
        </w:rPr>
        <w:t>Interested Director Transactions</w:t>
      </w:r>
      <w:r>
        <w:rPr>
          <w:sz w:val="20"/>
          <w:szCs w:val="20"/>
          <w:color w:val="auto"/>
        </w:rPr>
        <w:tab/>
      </w:r>
      <w:r>
        <w:rPr>
          <w:rFonts w:ascii="Arial" w:cs="Arial" w:eastAsia="Arial" w:hAnsi="Arial"/>
          <w:sz w:val="17"/>
          <w:szCs w:val="17"/>
          <w:color w:val="auto"/>
        </w:rPr>
        <w:t>Under the BCBCA and our articles, a director who has a conflict of interest in any transaction must promptly disclose the nature and extent of the conflict and may not vote on any board resolutions to approve such transaction unless all directors of the corporation are interested, in which case any or all of them may vote. Excluded directors will, however, count for purposes of quorum. A director is liable to account to the corporation for any profit that accrues to the director under or as a result of the interested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Directors and Officers Liability</w:t>
      </w:r>
      <w:r>
        <w:rPr>
          <w:sz w:val="20"/>
          <w:szCs w:val="20"/>
          <w:color w:val="auto"/>
        </w:rPr>
        <w:tab/>
      </w:r>
      <w:r>
        <w:rPr>
          <w:rFonts w:ascii="Arial" w:cs="Arial" w:eastAsia="Arial" w:hAnsi="Arial"/>
          <w:sz w:val="16"/>
          <w:szCs w:val="16"/>
          <w:color w:val="auto"/>
        </w:rPr>
        <w:t>Our articles provide that we must indemnify a director,</w:t>
      </w:r>
    </w:p>
    <w:p>
      <w:pPr>
        <w:spacing w:after="0" w:line="23" w:lineRule="exact"/>
        <w:rPr>
          <w:sz w:val="20"/>
          <w:szCs w:val="20"/>
          <w:color w:val="auto"/>
        </w:rPr>
      </w:pPr>
    </w:p>
    <w:p>
      <w:pPr>
        <w:ind w:left="2880" w:right="40" w:hanging="2766"/>
        <w:spacing w:after="0" w:line="267" w:lineRule="auto"/>
        <w:tabs>
          <w:tab w:leader="none" w:pos="2860" w:val="left"/>
        </w:tabs>
        <w:rPr>
          <w:sz w:val="20"/>
          <w:szCs w:val="20"/>
          <w:color w:val="auto"/>
        </w:rPr>
      </w:pPr>
      <w:r>
        <w:rPr>
          <w:rFonts w:ascii="Arial" w:cs="Arial" w:eastAsia="Arial" w:hAnsi="Arial"/>
          <w:sz w:val="18"/>
          <w:szCs w:val="18"/>
          <w:i w:val="1"/>
          <w:iCs w:val="1"/>
          <w:color w:val="auto"/>
        </w:rPr>
        <w:t>and Indemnification</w:t>
      </w:r>
      <w:r>
        <w:rPr>
          <w:sz w:val="20"/>
          <w:szCs w:val="20"/>
          <w:color w:val="auto"/>
        </w:rPr>
        <w:tab/>
      </w:r>
      <w:r>
        <w:rPr>
          <w:rFonts w:ascii="Arial" w:cs="Arial" w:eastAsia="Arial" w:hAnsi="Arial"/>
          <w:sz w:val="17"/>
          <w:szCs w:val="17"/>
          <w:color w:val="auto"/>
        </w:rPr>
        <w:t>former director or alternative director and his or her heirs and legal personal representatives, as set out in the BCBCA, against all eligible penalties to which such person is or may be liable, and we must, after the final disposition of an eligible proceeding, pay the expenses actually and reasonably incurred by such person in respect of that proceeding. Each director and alternate director is deemed to have contracted with us on the terms of the indemnity contained in our articles. In addition, we may indemnify any other person in accordance with the BCBCA.</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stockholder for a period of three years after the time that the stockholder became an interested stockholder, unless approved by the board of directors beforehand or upon satisfaction of other criteria.</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DGCL, a transaction in which a director of the corporation has a conflict of interest is not void or voidable solely because of the directors conflict, solely because the director is present at or participates in the meeting of the board of directors or committee which authorizes the transaction or solely because any such directors vote is counted for such purpose, if (a) the material facts of the conflict of interest are known to or disclosed to the board of directors or the committee and the board of directors or committee in good faith authorizes the transaction by a majority of the votes of the disinterested directors, (b) the material facts of the conflict of interest are known or disclosed to the stockholders of the corporation and the transaction is approved in good faith by the stockholders, or (c) the board of directors can demonstrate that the transaction is fair as to the corporation as of the time it is approved by the board of directors, committee or stockholders.</w:t>
      </w:r>
    </w:p>
    <w:p>
      <w:pPr>
        <w:spacing w:after="0" w:line="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DGCL, a corporation has the power to indemnify any person who was, is or is threatened to be made a party to any threatened, pending or completed action, suit or proceeding, whether civil, criminal, administrative or investigative, or any person who was, is or is threatened to be made a party to any threatened, pending or completed action or suit by or in the right of the corporation to procure a judgment in its favor, in each case by reason of the fact that the person is or was a director, office, employee or agent of the corporation, against expenses, judgments, fines and amounts paid in</w:t>
      </w:r>
    </w:p>
    <w:p>
      <w:pPr>
        <w:sectPr>
          <w:pgSz w:w="11900" w:h="16838" w:orient="portrait"/>
          <w:cols w:equalWidth="0" w:num="2">
            <w:col w:w="7040" w:space="240"/>
            <w:col w:w="386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Oppression Remedy</w:t>
      </w:r>
      <w:r>
        <w:rPr>
          <w:sz w:val="20"/>
          <w:szCs w:val="20"/>
          <w:color w:val="auto"/>
        </w:rPr>
        <w:tab/>
      </w:r>
      <w:r>
        <w:rPr>
          <w:rFonts w:ascii="Arial" w:cs="Arial" w:eastAsia="Arial" w:hAnsi="Arial"/>
          <w:sz w:val="16"/>
          <w:szCs w:val="16"/>
          <w:color w:val="auto"/>
        </w:rPr>
        <w:t>The BCBCA provides an oppression remedy that enables</w:t>
      </w:r>
    </w:p>
    <w:p>
      <w:pPr>
        <w:spacing w:after="0" w:line="23" w:lineRule="exact"/>
        <w:rPr>
          <w:sz w:val="20"/>
          <w:szCs w:val="20"/>
          <w:color w:val="auto"/>
        </w:rPr>
      </w:pPr>
    </w:p>
    <w:p>
      <w:pPr>
        <w:ind w:left="2880"/>
        <w:spacing w:after="0" w:line="287" w:lineRule="auto"/>
        <w:rPr>
          <w:sz w:val="20"/>
          <w:szCs w:val="20"/>
          <w:color w:val="auto"/>
        </w:rPr>
      </w:pPr>
      <w:r>
        <w:rPr>
          <w:rFonts w:ascii="Arial" w:cs="Arial" w:eastAsia="Arial" w:hAnsi="Arial"/>
          <w:sz w:val="16"/>
          <w:szCs w:val="16"/>
          <w:color w:val="auto"/>
        </w:rPr>
        <w:t>a court to make any order, whether interim or final, to rectify matters that are oppressive or unfairly prejudicial to any shareholder, which includes a beneficial shareholder or any other person who, in the courts discretion, is a proper person to make such an application. The oppression remedy provides the court with very broad and flexible powers to intervene in corporate affairs to protect shareholders and other applicants.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settlement actually and reasonably incurred by the person in connection with such action, suit or proceeding if the person acted in good faith and in a manner the person reasonably believed to be in or not opposed to the best interest of the corporation, and subject to certain other limitations.</w:t>
      </w:r>
    </w:p>
    <w:p>
      <w:pPr>
        <w:spacing w:after="0" w:line="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DGCL does not expressly provide for a similar remedy.</w:t>
      </w:r>
    </w:p>
    <w:p>
      <w:pPr>
        <w:sectPr>
          <w:pgSz w:w="11900" w:h="16838" w:orient="portrait"/>
          <w:cols w:equalWidth="0" w:num="2">
            <w:col w:w="7060" w:space="220"/>
            <w:col w:w="3760"/>
          </w:cols>
          <w:pgMar w:left="320" w:top="459"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CANADIAN FEDERAL INCOME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is a general summary, as of the date hereof, of the principal Canadian federal income tax considerations under the Tax Act generally applicable to an investor who acquires Subordinate Voting Shares pursuant to this offering. This summary only applies to an investor who is a beneficial owner of Subordinate Voting Shares acquired pursuant to this offering and who, for purposes of the Tax Act, and at all relevant times, (i) holds the Subordinate Voting Shares as capital property and (ii) deals at arm’s length and is not affiliated with Green Thumb Industries Inc. or any of the underwriters dealers or agents of this offering, which we refer to as a Holder. Generally, the Subordinate Voting Shares will be considered to be capital property to a Holder unless they are held or acquired in the course of carrying on a business of trading in or dealing in securities or as part of an adventure or concern in the nature of trade.</w:t>
      </w:r>
    </w:p>
    <w:p>
      <w:pPr>
        <w:spacing w:after="0" w:line="19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 xml:space="preserve">This summary is based upon (i) the facts set out in this prospectus, (ii) the provisions of the Tax Act and the regulations thereunder, which we refer to as Regulations throughout this section, in force as of the date hereof; (iii) all specific proposals to amend the Tax Act publicly announced by or on behalf of the Minister of Finance (Canada) prior to the date hereof, which we refer to as Tax Proposals throughout this section; (iv) an understanding of the current published administrative policies and assessing practices of the Canada Revenue Agency and (v) the </w:t>
      </w:r>
      <w:r>
        <w:rPr>
          <w:rFonts w:ascii="Arial" w:cs="Arial" w:eastAsia="Arial" w:hAnsi="Arial"/>
          <w:sz w:val="17"/>
          <w:szCs w:val="17"/>
          <w:i w:val="1"/>
          <w:iCs w:val="1"/>
          <w:color w:val="auto"/>
        </w:rPr>
        <w:t>Canada—United States Tax</w:t>
      </w:r>
      <w:r>
        <w:rPr>
          <w:rFonts w:ascii="Arial" w:cs="Arial" w:eastAsia="Arial" w:hAnsi="Arial"/>
          <w:sz w:val="17"/>
          <w:szCs w:val="17"/>
          <w:color w:val="auto"/>
        </w:rPr>
        <w:t xml:space="preserve"> </w:t>
      </w:r>
      <w:r>
        <w:rPr>
          <w:rFonts w:ascii="Arial" w:cs="Arial" w:eastAsia="Arial" w:hAnsi="Arial"/>
          <w:sz w:val="17"/>
          <w:szCs w:val="17"/>
          <w:i w:val="1"/>
          <w:iCs w:val="1"/>
          <w:color w:val="auto"/>
        </w:rPr>
        <w:t>Convention (1980)</w:t>
      </w:r>
      <w:r>
        <w:rPr>
          <w:rFonts w:ascii="Arial" w:cs="Arial" w:eastAsia="Arial" w:hAnsi="Arial"/>
          <w:sz w:val="17"/>
          <w:szCs w:val="17"/>
          <w:color w:val="auto"/>
        </w:rPr>
        <w:t>, as amended. No assurance can be made that the Tax Proposals will be enacted in the form proposed or at all. This summary is not</w:t>
      </w:r>
      <w:r>
        <w:rPr>
          <w:rFonts w:ascii="Arial" w:cs="Arial" w:eastAsia="Arial" w:hAnsi="Arial"/>
          <w:sz w:val="17"/>
          <w:szCs w:val="17"/>
          <w:i w:val="1"/>
          <w:iCs w:val="1"/>
          <w:color w:val="auto"/>
        </w:rPr>
        <w:t xml:space="preserve"> </w:t>
      </w:r>
      <w:r>
        <w:rPr>
          <w:rFonts w:ascii="Arial" w:cs="Arial" w:eastAsia="Arial" w:hAnsi="Arial"/>
          <w:sz w:val="17"/>
          <w:szCs w:val="17"/>
          <w:color w:val="auto"/>
        </w:rPr>
        <w:t>exhaustive of all possible Canadian federal income tax considerations and, except as mentioned above, does not take into account or anticipate any changes in law or administrative policy or assessing practice, whether by legislative, regulatory, administrative or judicial decision or action, nor does it take into account provincial, or foreign income tax legislation or considerations, which may differ significantly from the Canadian federal income tax considerations discussed herein.</w:t>
      </w:r>
    </w:p>
    <w:p>
      <w:pPr>
        <w:spacing w:after="0" w:line="17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CONCERNING THE TAX CONSEQUENCES TO ANY PARTICULAR HOLDER OR PROSPECTIVE HOLDER ARE MADE. THIS SUMMARY DOES NOT ADDRESS THE DEDUCTIBILITY OF INTEREST ON ANY FUNDS BORROWED BY A HOLDER TO PURCHASE SUBORDINATE VOTING SHARES. ACCORDINGLY, PROSPECTIVE HOLDERS SHOULD CONSULT THEIR OWN TAX ADVISORS WITH RESPECT TO AN INVESTMENT IN SUBORDINATE VOTING SHARES PURUSANT TO THIS OFFERING HAVING REGARD TO THEIR PARTICULAR CIRCUMSTANCES.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Resident in Canada</w:t>
      </w:r>
    </w:p>
    <w:p>
      <w:pPr>
        <w:spacing w:after="0" w:line="121"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This portion of the summary applies to a Holder who, for purposes of the Tax Act and at all relevant times, is or is deemed to be a resident of Canada, which we refer to as a Resident Holder throughout this section. This summary is not applicable to a Resident Holder: (a) that is a “financial institution,” as defined in the Tax Act for purposes of the mark-to-market rules, (b) that is a “specified financial institution” as defined in the Tax Act,</w:t>
      </w:r>
    </w:p>
    <w:p>
      <w:pPr>
        <w:spacing w:after="0" w:line="2" w:lineRule="exact"/>
        <w:rPr>
          <w:sz w:val="20"/>
          <w:szCs w:val="20"/>
          <w:color w:val="auto"/>
        </w:rPr>
      </w:pPr>
    </w:p>
    <w:p>
      <w:pPr>
        <w:ind w:left="120" w:right="40" w:hanging="4"/>
        <w:spacing w:after="0" w:line="251" w:lineRule="auto"/>
        <w:tabs>
          <w:tab w:leader="none" w:pos="3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interest in which would be a “tax shelter investment” as defined in the Tax Act, (d) which has made an election under the Tax Act to determine its Canadian tax results in a foreign currency, (e) that has entered into a “derivative forward agreement”, as defined in the Tax Act, in respect of the Subordinate Voting Shares, or (f) that would receive dividends on the Subordinate Voting Shares are part of a “dividend rental arrangement”, as defined in the Tax Act. This summary does not address the possible application of the “foreign affiliate dumping” rules that may be applicable to a Resident Holder that is a corporation resident in Canada (for the purposes of the Tax Act) and is, or becomes, or does not deal at arm’s length with a corporation resident in Canada that is, or that becomes, as part of a transaction or event or series of transactions or events that includes the acquisition of the Subordinate Voting Shares, controlled by a non-resident corporation, individual, trust or a group of any combination of non-resident individuals, trusts, and/or corporations who do not deal with each other at arm’s length for purposes of the rules in section 212.3 of the Tax Act. Any such Resident Holder to which this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summary does not apply or to which the foreign affiliate dumping rules may apply should consult its own tax advisor with respect to the tax consequences of this offering.</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Resident Holder whose Subordinate Voting Shares do not otherwise qualify as capital property may in certain circumstances make an irrevocable election in accordance with subsection 39(4) of the Tax Act to have such Resident Holder’s Subordinate Voting Shares and every other “Canadian security” (as defined in the Tax Act) owned by such Resident Holder in the taxation year of the election and in all subsequent taxation years deemed to be capital property. Resident Holders should consult their own tax advisors with respect to whether the election is available and advisable in their particular circumstances.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purposes of the Tax Act, all amounts relating to the acquisition, holding or disposition of Subordinate Voting Shares (including dividends, adjusted cost base and proceeds of disposition) must generally be expressed in Canadian dollars based on exchange rates as determined in accordance with the Tax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Dividends received or deemed to be received by a Resident Holder on the Subordinate Voting Shares will be included in computing the Resident Holder’s income pursuant to the Tax Act. If the Resident Holder is an individual (other than certain trusts), such dividends will be subject to the “gross-up” and “dividend tax credit” rules normally applicable to taxable dividends received from taxable Canadian corporations. Such dividends will also be subject to the enhanced gross-up and dividend tax credit provisions where we provide notice to the recipient designating the dividend as an “eligible dividend” pursuant to the Tax Act. There may be limitations on our ability to designate dividends as “eligible dividends”. In the case of a Resident Holder that is a corporation, the amount of any such taxable dividend that is included in its income for a taxation year will generally be deductible in computing its taxable income for that taxation year. In certain circumstances, subsection 55(2) of the Tax Act will treat a dividend as proceeds of disposition or a capital gain. Resident Holders that are corporations are advised to obtain their own tax advice having regard to their particular circumstances.</w:t>
      </w:r>
    </w:p>
    <w:p>
      <w:pPr>
        <w:spacing w:after="0" w:line="19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Resident Holder that is a “private corporation” or a “subject corporation”, as defined in the Tax Act, generally will be liable to pay a refundable tax under Part IV of the Tax Act on dividends received or deemed to be received on the Subordinate Voting Shares to the extent that such dividends are deductible in computing the Resident Holder’s taxable income. Resident Holders to whom these rules may be relevant should consult their own tax advisors.</w:t>
      </w:r>
    </w:p>
    <w:p>
      <w:pPr>
        <w:spacing w:after="0" w:line="187"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Dividends received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14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 Resident Holder will generally be subject to United States withholding tax on dividends received on the Subordinate Voting Shares (see “</w:t>
      </w:r>
      <w:r>
        <w:rPr>
          <w:rFonts w:ascii="Arial" w:cs="Arial" w:eastAsia="Arial" w:hAnsi="Arial"/>
          <w:sz w:val="17"/>
          <w:szCs w:val="17"/>
          <w:i w:val="1"/>
          <w:iCs w:val="1"/>
          <w:color w:val="auto"/>
        </w:rPr>
        <w:t>Material U.S. Federal Income Tax Consequences—Tax Classification of the Company as a U.S. Domestic Corporation</w:t>
      </w:r>
      <w:r>
        <w:rPr>
          <w:rFonts w:ascii="Arial" w:cs="Arial" w:eastAsia="Arial" w:hAnsi="Arial"/>
          <w:sz w:val="17"/>
          <w:szCs w:val="17"/>
          <w:color w:val="auto"/>
        </w:rPr>
        <w:t>”). Any United States withholding tax paid by or on behalf of a Resident Holder in respect of dividends received on the Subordinate Voting Shares by a Resident Holder may be eligible for foreign tax credit or deduction treatment where applicable under the Tax Act. Generally, a foreign tax credit in respect of a tax paid to a particular foreign country is limited to the Canadian tax otherwise payable in respect of income sourced in that country. Dividends received on the Subordinate Voting Shares by a Resident Holder may not be treated as income sourced in the United States for these purposes. Resident Holders should consult their own tax advisors with respect to the availability of any foreign tax credits or deductions under the Tax Act in respect of any United States withholding tax applicable to dividends on the Subordinate Voting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a disposition or deemed disposition of a Subordinate Voting Share, a capital gain (or loss) will generally be realized by a Resident Holder to the extent that the proceeds of disposition are greater (or less) than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aggregate of the adjusted cost base of such Subordinate Voting Share to the Resident Holder immediately before the disposition and any reasonable costs of disposition. The adjusted cost base to a Resident Holder of a Subordinate Voting Share acquired pursuant to this offering will be determined in accordance with the Tax Act by averaging the cost to the Resident Holder of such Subordinate Voting Share with the adjusted cost base of all other Subordinate Voting Shares held by the Resident Holder as capital property. Such capital gain (or capital loss) will be subject to the treatment described below under “</w:t>
      </w:r>
      <w:r>
        <w:rPr>
          <w:rFonts w:ascii="Arial" w:cs="Arial" w:eastAsia="Arial" w:hAnsi="Arial"/>
          <w:sz w:val="17"/>
          <w:szCs w:val="17"/>
          <w:i w:val="1"/>
          <w:iCs w:val="1"/>
          <w:color w:val="auto"/>
        </w:rPr>
        <w:t>Holders Resident in Canada — Taxation of Capital Gains and Capital Losses</w:t>
      </w:r>
      <w:r>
        <w:rPr>
          <w:rFonts w:ascii="Arial" w:cs="Arial" w:eastAsia="Arial" w:hAnsi="Arial"/>
          <w:sz w:val="17"/>
          <w:szCs w:val="17"/>
          <w:color w:val="auto"/>
        </w:rPr>
        <w:t>”. The disposition or deemed disposition of a Subordinate Voting Share may, in certain circumstances, also be subject to U.S. federal income tax withholding (see “</w:t>
      </w:r>
      <w:r>
        <w:rPr>
          <w:rFonts w:ascii="Arial" w:cs="Arial" w:eastAsia="Arial" w:hAnsi="Arial"/>
          <w:sz w:val="17"/>
          <w:szCs w:val="17"/>
          <w:i w:val="1"/>
          <w:iCs w:val="1"/>
          <w:color w:val="auto"/>
        </w:rPr>
        <w:t>Material 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Consequences – Tax Considerations for Non-U.S. Holders – Sale or Redemption</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 and Capital Losses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Resident Holder will generally be required to include in computing its income for the taxation year of disposition one-half of the amount of any capital gain, which we refer to as taxable capital gain throughout this section, realized in such year. Subject to and in accordance with the provisions of the Tax Act, a Resident Holder will be required to deduct one-half of the amount of any capital loss, which we refer to as an allowable capital loss throughout this section, against taxable capital gains realized in the taxation year of disposition. Allowable capital losses in excess of taxable capital gains for the taxation year of disposition may be carried back and deducted in any of the three preceding taxation years or carried forward and deducted in any subsequent taxation year against net taxable capital gains realized in such years, to the extent and under the circumstances specified in the Tax Act.</w:t>
      </w:r>
    </w:p>
    <w:p>
      <w:pPr>
        <w:spacing w:after="0" w:line="19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amount of any capital loss realized on the disposition or deemed disposition of a Subordinate Voting Share by a Resident Holder that is a corporation may, in certain circumstances, be reduced by the amount of dividends received or deemed to have been received by it on such Subordinate Voting Shares to the extent and under the circumstances specified in the Tax Act. Similar rules may apply where a Resident Holder that is a corporation is a member of a partnership or a beneficiary of a trust that owns Subordinate Voting Shares or where a partnership or trust, of which a corporation is a member or a beneficiary, is a member of a partnership or a beneficiary of a trust that owns Subordinate Voting Shares. Resident Holders to whom these rules may be relevant should consult their own tax advisors.</w:t>
      </w:r>
    </w:p>
    <w:p>
      <w:pPr>
        <w:spacing w:after="0" w:line="178"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A Resident Holder that is throughout the relevant taxation year a “Canadian-controlled private corporation” (as defined in the Tax Act) may be liable to pay a refundable tax on its “aggregate investment income” (as defined in the Tax Act) for the year, which will include taxable capital gains.</w:t>
      </w:r>
    </w:p>
    <w:p>
      <w:pPr>
        <w:spacing w:after="0" w:line="12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Taxable capital gains realized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Non-Resident Holders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portion of the summary applies to a Holder who, at all relevant times, for purposes of the Tax Act and any relevant income tax treaty or convention: (i) is neither resident nor deemed to be resident in Canada; (ii) does not, and is not deemed to, use or hold the Subordinate Voting Shares in carrying on a business in Canada, which we refer to as a Non-Resident Holder throughout this section. In addition, this discussion does not apply to a Non-Resident Holder that is an “authorized foreign bank” (as defined in the Tax Act) or a “foreign affiliate” (as defined in the Tax Act) of a person resident in Canada. Special rules, which are not discussed in this summary, may apply to a Non-Resident Holder that is an insurer that carries on an insurance business in Canada and elsewhere. Such Non-Resident Holders should consult their own tax advisors.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Dividends paid or credited or deemed to be paid or credited to a Non-Resident Holder on the Subordinate Voting Shares will be subject to Canadian withholding tax. The Tax Act imposes withholding tax at a rate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 xml:space="preserve">25% on the gross amount of the dividend, although such rate may be reduced by virtue of an applicable tax treaty. For example, under the </w:t>
      </w:r>
      <w:r>
        <w:rPr>
          <w:rFonts w:ascii="Arial" w:cs="Arial" w:eastAsia="Arial" w:hAnsi="Arial"/>
          <w:sz w:val="16"/>
          <w:szCs w:val="16"/>
          <w:i w:val="1"/>
          <w:iCs w:val="1"/>
          <w:color w:val="auto"/>
        </w:rPr>
        <w:t>Canada—</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Tax Convention (1980)</w:t>
      </w:r>
      <w:r>
        <w:rPr>
          <w:rFonts w:ascii="Arial" w:cs="Arial" w:eastAsia="Arial" w:hAnsi="Arial"/>
          <w:sz w:val="16"/>
          <w:szCs w:val="16"/>
          <w:color w:val="auto"/>
        </w:rPr>
        <w:t>, as amended, where dividends on the Subordinate Voting Shares are considered to be paid to a Non-Resident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 that is the beneficial owner of the dividends and is a resident of the United States for the purposes of, and is entitled to all of the benefits of, the </w:t>
      </w:r>
      <w:r>
        <w:rPr>
          <w:rFonts w:ascii="Arial" w:cs="Arial" w:eastAsia="Arial" w:hAnsi="Arial"/>
          <w:sz w:val="16"/>
          <w:szCs w:val="16"/>
          <w:i w:val="1"/>
          <w:iCs w:val="1"/>
          <w:color w:val="auto"/>
        </w:rPr>
        <w:t>Canada—United States Tax Convention (1980)</w:t>
      </w:r>
      <w:r>
        <w:rPr>
          <w:rFonts w:ascii="Arial" w:cs="Arial" w:eastAsia="Arial" w:hAnsi="Arial"/>
          <w:sz w:val="16"/>
          <w:szCs w:val="16"/>
          <w:color w:val="auto"/>
        </w:rPr>
        <w:t>, as amended, the applicable rate of Canadian withholding tax is generally reduced to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Non-Resident Holder who disposes of, or is deemed to have disposed of, a Subordinate Voting Share will not be subject to income tax under the Tax Act unless the Subordinate Voting Share is, or is deemed to be, “taxable Canadian property” (as defined in the Tax Act) of the Non-Resident Holder at the time of disposition and the Non-Resident Holder is not entitled to relief under an applicable income tax treaty or convention between Canada and the country of residence of the Non-Resident Holder.</w:t>
      </w:r>
    </w:p>
    <w:p>
      <w:pPr>
        <w:spacing w:after="0" w:line="187"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Generally, provided that the Subordinate Voting Shares are, at the time of disposition, listed on a “designated stock exchange” (which currently includes the Canadian Securities Exchange), the Subordinate Voting Shares will not constitute taxable Canadian property of a Non-Resident Holder unless, at any time during the 60-month period immediately preceding the disposition the following two conditions were met concurrently: (i) 25% or more of the issued shares of any class or series of our capital stock were owned by one or any combination of (a) the Non-Resident Holder, (b) persons with whom the Non-Resident Holder did not deal at arm’s length (for the purposes of the Tax Act) and (c) partnerships in which the Non-Resident Holder or a person described in (b) holds a membership interest directly or indirectly through one or more partnerships; and (ii) more than 50% of the fair market value of such shares was derived, directly or indirectly, from one or any combination of: (a) real or immovable property situated in Canada,</w:t>
      </w:r>
    </w:p>
    <w:p>
      <w:pPr>
        <w:spacing w:after="0" w:line="2" w:lineRule="exact"/>
        <w:rPr>
          <w:sz w:val="20"/>
          <w:szCs w:val="20"/>
          <w:color w:val="auto"/>
        </w:rPr>
      </w:pPr>
    </w:p>
    <w:p>
      <w:pPr>
        <w:ind w:left="120" w:right="500" w:hanging="4"/>
        <w:spacing w:after="0" w:line="260" w:lineRule="auto"/>
        <w:tabs>
          <w:tab w:leader="none" w:pos="3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Canadian resource property (as defined in the Tax Act), (c) timber resource property (as defined in the Tax Act) or (d) options in respect of, or interests in any of, the foregoing property, whether or not such property exists.</w:t>
      </w:r>
    </w:p>
    <w:p>
      <w:pPr>
        <w:spacing w:after="0" w:line="18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Notwithstanding the foregoing, the Subordinate Voting Shares may otherwise be deemed to be taxable Canadian property to a Non-Resident Holder for purposes of the Tax Act in certain circumstances. Non-Resident Holders for whom the Subordinate Voting Shares are, or may be, taxable Canadian property should consult their own tax advisors.</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the event that a Subordinate Voting Share constitutes taxable Canadian property of a Non-Resident Holder and any capital gain that would be realized on the disposition thereof is not exempt from tax under the Tax Act pursuant to an applicable income tax treaty or convention, the income tax consequences discussed above for Resident Holders under “</w:t>
      </w:r>
      <w:r>
        <w:rPr>
          <w:rFonts w:ascii="Arial" w:cs="Arial" w:eastAsia="Arial" w:hAnsi="Arial"/>
          <w:sz w:val="17"/>
          <w:szCs w:val="17"/>
          <w:i w:val="1"/>
          <w:iCs w:val="1"/>
          <w:color w:val="auto"/>
        </w:rPr>
        <w:t>Holders Resident in Canada — Taxation of Capital Gains and Capital Losses</w:t>
      </w:r>
      <w:r>
        <w:rPr>
          <w:rFonts w:ascii="Arial" w:cs="Arial" w:eastAsia="Arial" w:hAnsi="Arial"/>
          <w:sz w:val="17"/>
          <w:szCs w:val="17"/>
          <w:color w:val="auto"/>
        </w:rPr>
        <w:t>” will generally apply to the Non-Resident Holder. Non-Resident Holders should consult their own tax advisors in this regard.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following is a summary of the material U.S. federal income tax consequences to holders of the acquisition, ownership and disposition of Subordinate Voting Shares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IRS, all as in effect as of the date of this prospectus.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limited to U.S. holders who purchase Subordinate Voting Shares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expatriates;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holding our Subordinate Voting Shares as part of a hedging or conversion transaction or straddle, or a constructive sale, or other risk reduction strategy or integrated investment.</w:t>
      </w:r>
    </w:p>
    <w:p>
      <w:pPr>
        <w:spacing w:after="0" w:line="166"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U.S. Holder and Non-U.S. Holder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U.S. holder is any U.S. person that is a beneficial owner of our Subordinate Voting Shares. A U.S. person, for U.S. federal income tax purposes, is any of the following:</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purposes of this discussion, a non-U.S. holder is any beneficial owner of our Subordinate Voting Shares that is not a “U.S. person” nor a partnership (including any entity or arrangement treated as a partnership) for U.S. federal income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an entity or arrangement that is classified as a partnership for U.S. federal income tax purposes holds our Subordinate Voting Shares,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federal income tax treatment of a partner in the partnership will generally depend on the status of the partner and the activities of the partnership.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Partnerships holding our Subordinate Voting Shares and the partners in such partnerships are urged to consult their tax advisors about the particular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consequences to them of holding and disposing of our Subordinate Voting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Classification of the Company as a U.S. Domestic Corporation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and expected to continue to be a Canadian corporation as of the date of this Registration Statement Form S-1. We are treated as a Canadian resident company under the Tax Act (Canada) and are subject to Canadian income taxes.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also treated as a U.S. corporation subject to U.S. federal income tax pursuant to Section 7874 of the Code and are also subject to U.S. federal income tax on our worldwide income. As a result, we are subject to taxation both in Canada and the United States. A number of material U.S. federal income tax consequences may result from our classification under Section 7874 of the Code, and this summary is not intended to describe all such U.S. federal income tax consequences. Section 7874 of the Code and the Treasury Regulations promulgated thereunder do not address all the possible tax consequences that arise from our treatment as a U.S. domestic corporation for U.S. federal income tax purposes. Accordingly, there may be additional or unforeseen U.S. federal income tax consequences that are not discussed in this summary. Each shareholder should seek tax advice, based on such shareholder’s particular circumstances, from an independent tax advisor.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for 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Subordinate Voting Shares,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Subordinate Voting Shares,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—Sale or Redemption</w:t>
      </w:r>
      <w:r>
        <w:rPr>
          <w:rFonts w:ascii="Arial" w:cs="Arial" w:eastAsia="Arial" w:hAnsi="Arial"/>
          <w:sz w:val="18"/>
          <w:szCs w:val="18"/>
          <w:color w:val="auto"/>
        </w:rPr>
        <w:t>”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U.S. Holder will generally recognize capital gain or loss on a sale, exchange, redemption (other than a redemption that is treated as a distribution) or other disposition of our Subordinate Voting Shares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Tax Credits and Limitations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a result of Green Thumb Industries Inc. being subject to tax both as a U.S. domestic corporation and as a Canadian corporation, a U.S. Holder may pay, through withholding, Canadian tax, as well as U.S. federal income tax, with respect to any dividends paid on Subordinate Voting Shares. For U.S. federal income tax purposes, a U.S. Holder may elect for any taxable year to receive either a credit or a deduction for all foreign income taxes paid by the holder during the year. Complex limitations apply to foreign tax credits, including a general limitation that the credit cannot exceed the proportionate share of a taxpayer’s U.S. federal income tax that the taxpayer’s foreign source taxable income bears to the taxpayer’s worldwide taxable income. In applying this limitation, items of income and deduction are classified as either foreign source or U.S. source. The status of the Company as a U.S. domestic corporation for U.S. federal income tax purposes is expect to cause any dividends paid by the Company to be treated as U.S. source rather than foreign source income for this purpose. As a result, a foreign tax credit may be unavailable for any Canadian tax paid on dividends received from the Company. Similarly, to the extent a sale or disposition of Subordinate Voting Shares by a U.S. Holder results in Canadian tax payable by the U.S. Holder (for example, because the Unit Shares or Warrants constitute taxable Canadian property within the meaning of the Tax Act), a U.S. foreign tax credit may be unavailable to the U.S. Holder for such Canadian tax. In the case of Canadian withholding on a dividend or in connection with a sale or redemption, a U.S. Holder should be able to instead take a deduction for the U.S. Holder’s Canadian tax paid, provided that the U.S. Holder has not made an election to credit other foreign taxes during the same taxable year. The foreign tax credit rules are complex, and each U.S. Holder should consult its own tax advisor regarding these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amount of any distribution paid to a U.S. Holder in foreign currency, or the amount of proceeds paid in foreign currency on the sale, exchange or other taxable disposition of Subordinate Voting Shares,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Subordinate Voting Shares payable to a U.S. Holder that is not an exempt recipient, such as a corporation. Certain U.S. Holders may be subject to backup withholding with respect to the payment of dividends and certain payments of proceeds on the sale or redemption of Subordinate Voting Shares unless such U.S. Holders provide proof of an applicable exemption or a correct taxpayer identification number (usually with an IRS Form W-9), and otherwise comply with applicable requirements of the backup withholding rules.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—Gain On Sale</w:t>
      </w:r>
      <w:r>
        <w:rPr>
          <w:rFonts w:ascii="Arial" w:cs="Arial" w:eastAsia="Arial" w:hAnsi="Arial"/>
          <w:sz w:val="18"/>
          <w:szCs w:val="18"/>
          <w:color w:val="auto"/>
        </w:rPr>
        <w:t xml:space="preserve"> </w:t>
      </w:r>
      <w:r>
        <w:rPr>
          <w:rFonts w:ascii="Arial" w:cs="Arial" w:eastAsia="Arial" w:hAnsi="Arial"/>
          <w:sz w:val="18"/>
          <w:szCs w:val="18"/>
          <w:i w:val="1"/>
          <w:iCs w:val="1"/>
          <w:color w:val="auto"/>
        </w:rPr>
        <w:t>or Redemption</w:t>
      </w:r>
      <w:r>
        <w:rPr>
          <w:rFonts w:ascii="Arial" w:cs="Arial" w:eastAsia="Arial" w:hAnsi="Arial"/>
          <w:sz w:val="18"/>
          <w:szCs w:val="18"/>
          <w:color w:val="auto"/>
        </w:rPr>
        <w:t>” below.</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the discussion below regarding effectively connected income, backup withholding and Sections 1471 through 1474 of the Code, which we refer to as FATCA, any dividend income paid to a non-U.S. holder of our Subordinate Voting Shares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However, any such effectively connected dividends paid on our Subordinate Voting Shares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r>
        <w:rPr>
          <w:rFonts w:ascii="Arial" w:cs="Arial" w:eastAsia="Arial" w:hAnsi="Arial"/>
          <w:sz w:val="16"/>
          <w:szCs w:val="16"/>
          <w:i w:val="1"/>
          <w:iCs w:val="1"/>
          <w:color w:val="auto"/>
        </w:rPr>
        <w: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Subordinate Voting Shares, unless:</w:t>
      </w:r>
    </w:p>
    <w:p>
      <w:pPr>
        <w:spacing w:after="0" w:line="76" w:lineRule="exact"/>
        <w:rPr>
          <w:sz w:val="20"/>
          <w:szCs w:val="20"/>
          <w:color w:val="auto"/>
        </w:rPr>
      </w:pPr>
    </w:p>
    <w:p>
      <w:pPr>
        <w:ind w:left="1080" w:right="46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for U.S. federal income tax purposes at any time within the shorter of the five-year period preceding the disposition or the non-U.S. holder’s holding period for our Subordinate Voting Shares, and our Subordinate Voting Shares are not regularly traded on an established securities market during the calendar year in which the sale or other disposition occurs.</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Subordinate Voting Shares will not be subject to U.S. federal income tax on transfers of United States real property holding corporation shares if the Subordinate Voting Shares are “regularly traded,” as defined by applicable Treasury Regulations, on an established securities market, and such Non-U.S. holder owned, actually and constructively, 5% or less of the Subordinate Voting Shares throughout the shorter of, the five-year period ending on the date of the sale or other taxable disposition or, the Non-U.S. holder’s holding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Subordinate Voting Shares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Subordinate Voting Shares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on Foreign Entities or Accounts</w:t>
      </w:r>
    </w:p>
    <w:p>
      <w:pPr>
        <w:spacing w:after="0" w:line="117"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Subject to the recently proposed Treasury Regulations described below, FATCA applies to dividends paid on our Subordinate Voting Shares and to gross proceeds from sales or other dispositions of our common stock. The Treasury Department recently proposed regulations which state that taxpayers may rely on the proposed regulations until final regulations are issued, and which eliminate FATCA federal withholding tax of 30% applicable to the gross proceeds of a sale or other disposition of our Subordinate Voting Shares. Prospective investors are encouraged to consult with their own tax advisors regarding the possible implications of this legislation on their investment in our Subordinate Voting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offer and sell Subordinate Voting Shares to or through one or more underwriters, dealers and agents in Canada on the Canadian Securities Exchange. These securities may also be traded in the United States on the OTCQX Best Market. An amendment to the registration statement of which this prospectus is a part will describe in detail the plan of distribution for the offering of these securities. We will name any underwriters, dealers and agents who are used to sell these securities and describe their compensation in such amendment.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securities being offered by this prospectus and certain legal matters in connection with this offering relating to Canadian law will be passed upon for us by Dentons Canada LLP. Certain legal matters in connection with this offering relating to U.S. law will be passed upon for us by Jenner &amp; Block LLP.</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consolidated and combined financial statements as of December 31, 2018 and for the year ended December 31, 2018 have been included in this prospectus in reliance upon the report of MNP LLP, independent registered public accounting firm, included elsewhere herein, and upon the authority of said firm as experts in accounting and auditing.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consolidated and combined financial statements as of December 31, 2019 and 2017 and for each of the years ended December 31, 2019 and</w:t>
      </w:r>
    </w:p>
    <w:p>
      <w:pPr>
        <w:spacing w:after="0" w:line="46"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2017 have been included in this prospectus in reliance upon the reports of Macias Gini &amp; O’Connell LLP, independent registered public accounting firm, included elsewhere herein, and given on the authority of said firm as experts in accounting and auditing.</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DISCLOSURE OF SEC POSITION 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1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the registration statement of which this prospectus is a part.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This prospectus is part of a registration statement on Form S-1 that we have filed under the Securities Act with the SEC. This prospectus, which constitutes a part of that registration statement, does not contain all of the information included in the registration statement and the exhibits and schedules filed as part of the registration statement. For further information with respect to us and our securities, we refer you to the registration statement and the exhibits and schedules filed as part of the registration statement. Statements contained in this prospectus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to the contents of any document are not necessarily complete. If a document has been filed as an exhibit to the registration statement, we refer you to the copies of the document that has been filed. Each statement in this prospectus relating to a document filed as an exhibit is qualified in all respects by the filed exhibit.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320" w:top="459" w:right="5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Appendix A</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6"/>
          </w:tcPr>
          <w:p>
            <w:pPr>
              <w:jc w:val="center"/>
              <w:ind w:left="815"/>
              <w:spacing w:after="0"/>
              <w:rPr>
                <w:sz w:val="20"/>
                <w:szCs w:val="20"/>
                <w:color w:val="auto"/>
              </w:rPr>
            </w:pPr>
            <w:r>
              <w:rPr>
                <w:rFonts w:ascii="Arial" w:cs="Arial" w:eastAsia="Arial" w:hAnsi="Arial"/>
                <w:sz w:val="18"/>
                <w:szCs w:val="18"/>
                <w:b w:val="1"/>
                <w:bCs w:val="1"/>
                <w:color w:val="auto"/>
                <w:w w:val="90"/>
              </w:rPr>
              <w:t>List of Licenses of Green Thumb Industries Inc.</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20" w:type="dxa"/>
            <w:vAlign w:val="bottom"/>
            <w:gridSpan w:val="3"/>
          </w:tcPr>
          <w:p>
            <w:pPr>
              <w:jc w:val="center"/>
              <w:ind w:right="160"/>
              <w:spacing w:after="0"/>
              <w:rPr>
                <w:sz w:val="20"/>
                <w:szCs w:val="20"/>
                <w:color w:val="auto"/>
              </w:rPr>
            </w:pPr>
            <w:r>
              <w:rPr>
                <w:rFonts w:ascii="Arial" w:cs="Arial" w:eastAsia="Arial" w:hAnsi="Arial"/>
                <w:sz w:val="18"/>
                <w:szCs w:val="18"/>
                <w:i w:val="1"/>
                <w:iCs w:val="1"/>
                <w:color w:val="auto"/>
                <w:w w:val="91"/>
              </w:rPr>
              <w:t>Licenses in the State of California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tcPr>
          <w:p>
            <w:pPr>
              <w:spacing w:after="0"/>
              <w:rPr>
                <w:sz w:val="24"/>
                <w:szCs w:val="24"/>
                <w:color w:val="auto"/>
              </w:rPr>
            </w:pPr>
          </w:p>
        </w:tc>
        <w:tc>
          <w:tcPr>
            <w:tcW w:w="2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3"/>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ind w:left="6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ESSENCE CC, LLC</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Customer Number 508318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5"/>
              <w:spacing w:after="0" w:line="195" w:lineRule="exact"/>
              <w:rPr>
                <w:sz w:val="20"/>
                <w:szCs w:val="20"/>
                <w:color w:val="auto"/>
              </w:rPr>
            </w:pPr>
            <w:r>
              <w:rPr>
                <w:rFonts w:ascii="Arial" w:cs="Arial" w:eastAsia="Arial" w:hAnsi="Arial"/>
                <w:sz w:val="18"/>
                <w:szCs w:val="18"/>
                <w:color w:val="auto"/>
                <w:w w:val="94"/>
              </w:rPr>
              <w:t>Culver City, CA</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152"/>
              <w:spacing w:after="0" w:line="195" w:lineRule="exact"/>
              <w:rPr>
                <w:sz w:val="20"/>
                <w:szCs w:val="20"/>
                <w:color w:val="auto"/>
              </w:rPr>
            </w:pPr>
            <w:r>
              <w:rPr>
                <w:rFonts w:ascii="Arial" w:cs="Arial" w:eastAsia="Arial" w:hAnsi="Arial"/>
                <w:sz w:val="18"/>
                <w:szCs w:val="18"/>
                <w:color w:val="auto"/>
                <w:w w:val="91"/>
              </w:rPr>
              <w:t>Medicinal Dispensary,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Licenses</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ESSENCE WEHO, LLC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West Hollywood, CA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Adult Use Retail Store,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Home Delivery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and Consumption</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23"/>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Culver City, CA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Distribution and Delivery</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rPr>
              <w:t>CALIFORNIA,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Pasadena, CA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Medicinal Dispensary,</w:t>
            </w:r>
          </w:p>
        </w:tc>
        <w:tc>
          <w:tcPr>
            <w:tcW w:w="0" w:type="dxa"/>
            <w:vAlign w:val="bottom"/>
          </w:tcPr>
          <w:p>
            <w:pPr>
              <w:spacing w:after="0"/>
              <w:rPr>
                <w:sz w:val="1"/>
                <w:szCs w:val="1"/>
                <w:color w:val="auto"/>
              </w:rPr>
            </w:pPr>
          </w:p>
        </w:tc>
      </w:tr>
      <w:tr>
        <w:trPr>
          <w:trHeight w:val="216"/>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DENA, LLC</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20" w:type="dxa"/>
            <w:vAlign w:val="bottom"/>
            <w:gridSpan w:val="3"/>
          </w:tcPr>
          <w:p>
            <w:pPr>
              <w:jc w:val="center"/>
              <w:ind w:right="60"/>
              <w:spacing w:after="0"/>
              <w:rPr>
                <w:sz w:val="20"/>
                <w:szCs w:val="20"/>
                <w:color w:val="auto"/>
              </w:rPr>
            </w:pPr>
            <w:r>
              <w:rPr>
                <w:rFonts w:ascii="Arial" w:cs="Arial" w:eastAsia="Arial" w:hAnsi="Arial"/>
                <w:sz w:val="18"/>
                <w:szCs w:val="18"/>
                <w:i w:val="1"/>
                <w:iCs w:val="1"/>
                <w:color w:val="auto"/>
                <w:w w:val="89"/>
              </w:rPr>
              <w:t>Licenses in the State of Connecticut</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tcPr>
          <w:p>
            <w:pPr>
              <w:spacing w:after="0"/>
              <w:rPr>
                <w:sz w:val="24"/>
                <w:szCs w:val="24"/>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3"/>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8"/>
              </w:rPr>
              <w:t>ADVANCED GROW LABS, LLC</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MMPR.0000001</w:t>
            </w:r>
          </w:p>
        </w:tc>
        <w:tc>
          <w:tcPr>
            <w:tcW w:w="120" w:type="dxa"/>
            <w:vAlign w:val="bottom"/>
          </w:tcPr>
          <w:p>
            <w:pPr>
              <w:spacing w:after="0"/>
              <w:rPr>
                <w:sz w:val="16"/>
                <w:szCs w:val="16"/>
                <w:color w:val="auto"/>
              </w:rPr>
            </w:pPr>
          </w:p>
        </w:tc>
        <w:tc>
          <w:tcPr>
            <w:tcW w:w="23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0"/>
              </w:rPr>
              <w:t>West Haven, CT</w:t>
            </w: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w w:val="95"/>
              </w:rPr>
              <w:t>02/06/2021</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MMDF.0000002</w:t>
            </w:r>
          </w:p>
        </w:tc>
        <w:tc>
          <w:tcPr>
            <w:tcW w:w="120" w:type="dxa"/>
            <w:vAlign w:val="bottom"/>
          </w:tcPr>
          <w:p>
            <w:pPr>
              <w:spacing w:after="0"/>
              <w:rPr>
                <w:sz w:val="24"/>
                <w:szCs w:val="24"/>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93"/>
              </w:rPr>
              <w:t>Branford, CT</w:t>
            </w:r>
          </w:p>
        </w:tc>
        <w:tc>
          <w:tcPr>
            <w:tcW w:w="1300" w:type="dxa"/>
            <w:vAlign w:val="bottom"/>
            <w:gridSpan w:val="5"/>
          </w:tcPr>
          <w:p>
            <w:pPr>
              <w:ind w:left="420"/>
              <w:spacing w:after="0"/>
              <w:rPr>
                <w:sz w:val="20"/>
                <w:szCs w:val="20"/>
                <w:color w:val="auto"/>
              </w:rPr>
            </w:pPr>
            <w:r>
              <w:rPr>
                <w:rFonts w:ascii="Arial" w:cs="Arial" w:eastAsia="Arial" w:hAnsi="Arial"/>
                <w:sz w:val="18"/>
                <w:szCs w:val="18"/>
                <w:color w:val="auto"/>
                <w:w w:val="95"/>
              </w:rPr>
              <w:t>04/10/2021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CONNECTICUT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MMDF.0000029</w:t>
            </w:r>
          </w:p>
        </w:tc>
        <w:tc>
          <w:tcPr>
            <w:tcW w:w="120" w:type="dxa"/>
            <w:vAlign w:val="bottom"/>
          </w:tcPr>
          <w:p>
            <w:pPr>
              <w:spacing w:after="0"/>
              <w:rPr>
                <w:sz w:val="24"/>
                <w:szCs w:val="24"/>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90"/>
              </w:rPr>
              <w:t>Westport, CT</w:t>
            </w:r>
          </w:p>
        </w:tc>
        <w:tc>
          <w:tcPr>
            <w:tcW w:w="1300" w:type="dxa"/>
            <w:vAlign w:val="bottom"/>
            <w:gridSpan w:val="5"/>
          </w:tcPr>
          <w:p>
            <w:pPr>
              <w:ind w:left="420"/>
              <w:spacing w:after="0"/>
              <w:rPr>
                <w:sz w:val="20"/>
                <w:szCs w:val="20"/>
                <w:color w:val="auto"/>
              </w:rPr>
            </w:pPr>
            <w:r>
              <w:rPr>
                <w:rFonts w:ascii="Arial" w:cs="Arial" w:eastAsia="Arial" w:hAnsi="Arial"/>
                <w:sz w:val="18"/>
                <w:szCs w:val="18"/>
                <w:color w:val="auto"/>
                <w:w w:val="95"/>
              </w:rPr>
              <w:t>12/17/2020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WESTPORT,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540"/>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rPr>
              <w:t>Licenses in the State of Florida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tcPr>
          <w:p>
            <w:pPr>
              <w:spacing w:after="0"/>
              <w:rPr>
                <w:sz w:val="24"/>
                <w:szCs w:val="24"/>
                <w:color w:val="auto"/>
              </w:rPr>
            </w:pPr>
          </w:p>
        </w:tc>
        <w:tc>
          <w:tcPr>
            <w:tcW w:w="23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City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3"/>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KSGNF, LLC</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center"/>
              <w:ind w:right="15"/>
              <w:spacing w:after="0" w:line="195" w:lineRule="exact"/>
              <w:rPr>
                <w:sz w:val="20"/>
                <w:szCs w:val="20"/>
                <w:color w:val="auto"/>
              </w:rPr>
            </w:pPr>
            <w:r>
              <w:rPr>
                <w:rFonts w:ascii="Arial" w:cs="Arial" w:eastAsia="Arial" w:hAnsi="Arial"/>
                <w:sz w:val="18"/>
                <w:szCs w:val="18"/>
                <w:color w:val="auto"/>
                <w:w w:val="99"/>
              </w:rPr>
              <w:t>MMTC</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89"/>
              </w:rPr>
              <w:t>Homestead, FL</w:t>
            </w: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100" w:type="dxa"/>
            <w:vAlign w:val="bottom"/>
            <w:tcBorders>
              <w:top w:val="single" w:sz="8" w:color="auto"/>
            </w:tcBorders>
            <w:gridSpan w:val="2"/>
          </w:tcPr>
          <w:p>
            <w:pPr>
              <w:jc w:val="center"/>
              <w:ind w:left="22"/>
              <w:spacing w:after="0" w:line="195" w:lineRule="exact"/>
              <w:rPr>
                <w:sz w:val="20"/>
                <w:szCs w:val="20"/>
                <w:color w:val="auto"/>
              </w:rPr>
            </w:pPr>
            <w:r>
              <w:rPr>
                <w:rFonts w:ascii="Arial" w:cs="Arial" w:eastAsia="Arial" w:hAnsi="Arial"/>
                <w:sz w:val="18"/>
                <w:szCs w:val="18"/>
                <w:color w:val="auto"/>
                <w:w w:val="94"/>
              </w:rPr>
              <w:t>02/28/2020*</w:t>
            </w:r>
          </w:p>
        </w:tc>
        <w:tc>
          <w:tcPr>
            <w:tcW w:w="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0"/>
              </w:rPr>
              <w:t>License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Operate a Medical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Marijuana Treatment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Center</w:t>
            </w:r>
          </w:p>
        </w:tc>
        <w:tc>
          <w:tcPr>
            <w:tcW w:w="0" w:type="dxa"/>
            <w:vAlign w:val="bottom"/>
          </w:tcPr>
          <w:p>
            <w:pPr>
              <w:spacing w:after="0"/>
              <w:rPr>
                <w:sz w:val="1"/>
                <w:szCs w:val="1"/>
                <w:color w:val="auto"/>
              </w:rPr>
            </w:pPr>
          </w:p>
        </w:tc>
      </w:tr>
      <w:tr>
        <w:trPr>
          <w:trHeight w:val="364"/>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2"/>
          </w:tcPr>
          <w:p>
            <w:pPr>
              <w:jc w:val="right"/>
              <w:ind w:right="17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Illinois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NH MEDICINAL</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DISP.000042</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Effingham, IL</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08/22/2020*</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Effingham,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00" w:type="dxa"/>
            <w:vAlign w:val="bottom"/>
          </w:tcPr>
          <w:p>
            <w:pPr>
              <w:spacing w:after="0"/>
              <w:rPr>
                <w:sz w:val="24"/>
                <w:szCs w:val="2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03/09/2021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1503060648-EA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03/21/2021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00" w:type="dxa"/>
            <w:vAlign w:val="bottom"/>
          </w:tcPr>
          <w:p>
            <w:pPr>
              <w:spacing w:after="0"/>
              <w:rPr>
                <w:sz w:val="24"/>
                <w:szCs w:val="2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03/09/2021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1503060649-EA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03/21/2021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1204-324</w:t>
            </w:r>
          </w:p>
        </w:tc>
        <w:tc>
          <w:tcPr>
            <w:tcW w:w="100" w:type="dxa"/>
            <w:vAlign w:val="bottom"/>
          </w:tcPr>
          <w:p>
            <w:pPr>
              <w:spacing w:after="0"/>
              <w:rPr>
                <w:sz w:val="24"/>
                <w:szCs w:val="2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Rock Island,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12/31/2020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Industrial Hemp Processor</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rPr>
              <w:t>IL</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9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09/17/2020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Provisional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DISP.000027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DISP.000011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11/19/2020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AUDO.000055</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Niles,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9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83"/>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Quincy,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6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Maryland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6"/>
              </w:rPr>
              <w:t>Holding Entity</w:t>
            </w: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14"/>
                <w:szCs w:val="1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760" w:type="dxa"/>
            <w:vAlign w:val="bottom"/>
            <w:gridSpan w:val="4"/>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CHESAPEAKE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center"/>
              <w:ind w:right="373"/>
              <w:spacing w:after="0" w:line="195" w:lineRule="exact"/>
              <w:rPr>
                <w:sz w:val="20"/>
                <w:szCs w:val="20"/>
                <w:color w:val="auto"/>
              </w:rPr>
            </w:pPr>
            <w:r>
              <w:rPr>
                <w:rFonts w:ascii="Arial" w:cs="Arial" w:eastAsia="Arial" w:hAnsi="Arial"/>
                <w:sz w:val="18"/>
                <w:szCs w:val="18"/>
                <w:color w:val="auto"/>
                <w:w w:val="91"/>
              </w:rPr>
              <w:t>P-17-00005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33"/>
              <w:spacing w:after="0" w:line="195" w:lineRule="exact"/>
              <w:rPr>
                <w:sz w:val="20"/>
                <w:szCs w:val="20"/>
                <w:color w:val="auto"/>
              </w:rPr>
            </w:pPr>
            <w:r>
              <w:rPr>
                <w:rFonts w:ascii="Arial" w:cs="Arial" w:eastAsia="Arial" w:hAnsi="Arial"/>
                <w:sz w:val="18"/>
                <w:szCs w:val="18"/>
                <w:color w:val="auto"/>
                <w:w w:val="95"/>
              </w:rPr>
              <w:t>Centreville, MD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08/28/2023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580"/>
              <w:spacing w:after="0"/>
              <w:rPr>
                <w:sz w:val="20"/>
                <w:szCs w:val="20"/>
                <w:color w:val="auto"/>
              </w:rPr>
            </w:pPr>
            <w:r>
              <w:rPr>
                <w:rFonts w:ascii="Arial" w:cs="Arial" w:eastAsia="Arial" w:hAnsi="Arial"/>
                <w:sz w:val="18"/>
                <w:szCs w:val="18"/>
                <w:color w:val="auto"/>
                <w:w w:val="97"/>
              </w:rPr>
              <w:t>ALTERNATIVES, 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8"/>
              </w:rPr>
              <w:t>Processing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w w:val="95"/>
              </w:rPr>
              <w:t>CHESAPEAKE</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D-17-00010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Bethesda, MD</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580"/>
              <w:spacing w:after="0"/>
              <w:rPr>
                <w:sz w:val="20"/>
                <w:szCs w:val="20"/>
                <w:color w:val="auto"/>
              </w:rPr>
            </w:pPr>
            <w:r>
              <w:rPr>
                <w:rFonts w:ascii="Arial" w:cs="Arial" w:eastAsia="Arial" w:hAnsi="Arial"/>
                <w:sz w:val="18"/>
                <w:szCs w:val="18"/>
                <w:color w:val="auto"/>
                <w:w w:val="97"/>
              </w:rPr>
              <w:t>ALTERNATIVES, 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rPr>
              <w:t>GTI MARYLAND, LLC</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G-19-00001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60"/>
              <w:spacing w:after="0"/>
              <w:rPr>
                <w:sz w:val="20"/>
                <w:szCs w:val="20"/>
                <w:color w:val="auto"/>
              </w:rPr>
            </w:pPr>
            <w:r>
              <w:rPr>
                <w:rFonts w:ascii="Arial" w:cs="Arial" w:eastAsia="Arial" w:hAnsi="Arial"/>
                <w:sz w:val="18"/>
                <w:szCs w:val="18"/>
                <w:color w:val="auto"/>
                <w:w w:val="95"/>
              </w:rPr>
              <w:t>Centreville, MD</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06/27/2025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Cultivation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rPr>
              <w:t>GTI MARYLAND, LLC</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D-17-00007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Silver Spring, MD</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MESHOW, LLC</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D-18-00021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Joppa, MD</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04/10/2024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540"/>
        </w:trPr>
        <w:tc>
          <w:tcPr>
            <w:tcW w:w="2760" w:type="dxa"/>
            <w:vAlign w:val="bottom"/>
            <w:gridSpan w:val="4"/>
          </w:tcPr>
          <w:p>
            <w:pPr>
              <w:spacing w:after="0"/>
              <w:rPr>
                <w:sz w:val="20"/>
                <w:szCs w:val="20"/>
                <w:color w:val="auto"/>
              </w:rPr>
            </w:pPr>
            <w:r>
              <w:rPr>
                <w:rFonts w:ascii="Arial" w:cs="Arial" w:eastAsia="Arial" w:hAnsi="Arial"/>
                <w:sz w:val="18"/>
                <w:szCs w:val="18"/>
                <w:i w:val="1"/>
                <w:iCs w:val="1"/>
                <w:color w:val="auto"/>
                <w:w w:val="87"/>
              </w:rPr>
              <w:t>Licenses in the State of Massachusetts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7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6"/>
              </w:rPr>
              <w:t>Holding Entity</w:t>
            </w: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24"/>
                <w:szCs w:val="2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760" w:type="dxa"/>
            <w:vAlign w:val="bottom"/>
            <w:gridSpan w:val="4"/>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RISE HOLDINGS, INC.</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center"/>
              <w:ind w:right="373"/>
              <w:spacing w:after="0" w:line="195" w:lineRule="exact"/>
              <w:rPr>
                <w:sz w:val="20"/>
                <w:szCs w:val="20"/>
                <w:color w:val="auto"/>
              </w:rPr>
            </w:pPr>
            <w:r>
              <w:rPr>
                <w:rFonts w:ascii="Arial" w:cs="Arial" w:eastAsia="Arial" w:hAnsi="Arial"/>
                <w:sz w:val="18"/>
                <w:szCs w:val="18"/>
                <w:color w:val="auto"/>
                <w:w w:val="93"/>
              </w:rPr>
              <w:t>MC281453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3"/>
              <w:spacing w:after="0" w:line="195" w:lineRule="exact"/>
              <w:rPr>
                <w:sz w:val="20"/>
                <w:szCs w:val="20"/>
                <w:color w:val="auto"/>
              </w:rPr>
            </w:pPr>
            <w:r>
              <w:rPr>
                <w:rFonts w:ascii="Arial" w:cs="Arial" w:eastAsia="Arial" w:hAnsi="Arial"/>
                <w:sz w:val="18"/>
                <w:szCs w:val="18"/>
                <w:color w:val="auto"/>
                <w:w w:val="97"/>
              </w:rPr>
              <w:t>Holyoke, MA</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01/14/2021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w w:val="96"/>
              </w:rPr>
              <w:t>RISE HOLDINGS, INC.</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MP281674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Holyoke, MA</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01/14/2021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w w:val="96"/>
              </w:rPr>
              <w:t>RISE HOLDINGS, INC.</w:t>
            </w: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MR281254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6"/>
              </w:rPr>
              <w:t>Amherst, MA</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03/07/2021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COMPASSIONATE</w:t>
            </w: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Boston, MA</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10/25/2021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93"/>
              </w:rPr>
              <w:t>Provisional</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560"/>
              <w:spacing w:after="0"/>
              <w:rPr>
                <w:sz w:val="20"/>
                <w:szCs w:val="20"/>
                <w:color w:val="auto"/>
              </w:rPr>
            </w:pPr>
            <w:r>
              <w:rPr>
                <w:rFonts w:ascii="Arial" w:cs="Arial" w:eastAsia="Arial" w:hAnsi="Arial"/>
                <w:sz w:val="18"/>
                <w:szCs w:val="18"/>
                <w:color w:val="auto"/>
                <w:w w:val="97"/>
              </w:rPr>
              <w:t>ORGANICS, 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540"/>
        </w:trPr>
        <w:tc>
          <w:tcPr>
            <w:tcW w:w="2760" w:type="dxa"/>
            <w:vAlign w:val="bottom"/>
            <w:gridSpan w:val="4"/>
          </w:tcPr>
          <w:p>
            <w:pPr>
              <w:jc w:val="center"/>
              <w:ind w:right="520"/>
              <w:spacing w:after="0"/>
              <w:rPr>
                <w:sz w:val="20"/>
                <w:szCs w:val="20"/>
                <w:color w:val="auto"/>
              </w:rPr>
            </w:pPr>
            <w:r>
              <w:rPr>
                <w:rFonts w:ascii="Arial" w:cs="Arial" w:eastAsia="Arial" w:hAnsi="Arial"/>
                <w:sz w:val="18"/>
                <w:szCs w:val="18"/>
                <w:i w:val="1"/>
                <w:iCs w:val="1"/>
                <w:color w:val="auto"/>
                <w:w w:val="88"/>
              </w:rPr>
              <w:t>Licenses in the State of Nevada</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7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Holding Entity</w:t>
            </w: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24"/>
                <w:szCs w:val="2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760" w:type="dxa"/>
            <w:vAlign w:val="bottom"/>
            <w:gridSpan w:val="4"/>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8"/>
              </w:rPr>
              <w:t>GTI NEVADA, LLC</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center"/>
              <w:ind w:right="33"/>
              <w:spacing w:after="0" w:line="195" w:lineRule="exact"/>
              <w:rPr>
                <w:sz w:val="20"/>
                <w:szCs w:val="20"/>
                <w:color w:val="auto"/>
              </w:rPr>
            </w:pPr>
            <w:r>
              <w:rPr>
                <w:rFonts w:ascii="Arial" w:cs="Arial" w:eastAsia="Arial" w:hAnsi="Arial"/>
                <w:sz w:val="18"/>
                <w:szCs w:val="18"/>
                <w:color w:val="auto"/>
                <w:w w:val="89"/>
              </w:rPr>
              <w:t>97028286992913304766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ind w:left="25"/>
              <w:spacing w:after="0" w:line="195" w:lineRule="exact"/>
              <w:rPr>
                <w:sz w:val="20"/>
                <w:szCs w:val="20"/>
                <w:color w:val="auto"/>
              </w:rPr>
            </w:pPr>
            <w:r>
              <w:rPr>
                <w:rFonts w:ascii="Arial" w:cs="Arial" w:eastAsia="Arial" w:hAnsi="Arial"/>
                <w:sz w:val="18"/>
                <w:szCs w:val="18"/>
                <w:color w:val="auto"/>
                <w:w w:val="90"/>
              </w:rPr>
              <w:t>12/31/2020</w:t>
            </w: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JG RETAIL SERVICES NV,</w:t>
            </w:r>
          </w:p>
        </w:tc>
        <w:tc>
          <w:tcPr>
            <w:tcW w:w="1960" w:type="dxa"/>
            <w:vAlign w:val="bottom"/>
          </w:tcPr>
          <w:p>
            <w:pPr>
              <w:jc w:val="center"/>
              <w:ind w:right="33"/>
              <w:spacing w:after="0"/>
              <w:rPr>
                <w:sz w:val="20"/>
                <w:szCs w:val="20"/>
                <w:color w:val="auto"/>
              </w:rPr>
            </w:pPr>
            <w:r>
              <w:rPr>
                <w:rFonts w:ascii="Arial" w:cs="Arial" w:eastAsia="Arial" w:hAnsi="Arial"/>
                <w:sz w:val="18"/>
                <w:szCs w:val="18"/>
                <w:color w:val="auto"/>
                <w:w w:val="89"/>
              </w:rPr>
              <w:t>52125541619394980552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rPr>
              <w:t>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GTI NEVADA,</w:t>
            </w:r>
          </w:p>
        </w:tc>
        <w:tc>
          <w:tcPr>
            <w:tcW w:w="1960" w:type="dxa"/>
            <w:vAlign w:val="bottom"/>
          </w:tcPr>
          <w:p>
            <w:pPr>
              <w:jc w:val="center"/>
              <w:ind w:right="33"/>
              <w:spacing w:after="0"/>
              <w:rPr>
                <w:sz w:val="20"/>
                <w:szCs w:val="20"/>
                <w:color w:val="auto"/>
              </w:rPr>
            </w:pPr>
            <w:r>
              <w:rPr>
                <w:rFonts w:ascii="Arial" w:cs="Arial" w:eastAsia="Arial" w:hAnsi="Arial"/>
                <w:sz w:val="18"/>
                <w:szCs w:val="18"/>
                <w:color w:val="auto"/>
                <w:w w:val="89"/>
              </w:rPr>
              <w:t>18900369179730863251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06/30/2020*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rPr>
              <w:t>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JG RETAIL SERVICES NV,</w:t>
            </w:r>
          </w:p>
        </w:tc>
        <w:tc>
          <w:tcPr>
            <w:tcW w:w="1960" w:type="dxa"/>
            <w:vAlign w:val="bottom"/>
          </w:tcPr>
          <w:p>
            <w:pPr>
              <w:jc w:val="center"/>
              <w:ind w:right="33"/>
              <w:spacing w:after="0"/>
              <w:rPr>
                <w:sz w:val="20"/>
                <w:szCs w:val="20"/>
                <w:color w:val="auto"/>
              </w:rPr>
            </w:pPr>
            <w:r>
              <w:rPr>
                <w:rFonts w:ascii="Arial" w:cs="Arial" w:eastAsia="Arial" w:hAnsi="Arial"/>
                <w:sz w:val="18"/>
                <w:szCs w:val="18"/>
                <w:color w:val="auto"/>
                <w:w w:val="89"/>
              </w:rPr>
              <w:t>45491515276399795916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06/30/2020*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rPr>
              <w:t>LLC</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76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GTI NEVADA, LLC</w:t>
            </w:r>
          </w:p>
        </w:tc>
        <w:tc>
          <w:tcPr>
            <w:tcW w:w="1960" w:type="dxa"/>
            <w:vAlign w:val="bottom"/>
          </w:tcPr>
          <w:p>
            <w:pPr>
              <w:jc w:val="center"/>
              <w:ind w:right="33"/>
              <w:spacing w:after="0"/>
              <w:rPr>
                <w:sz w:val="20"/>
                <w:szCs w:val="20"/>
                <w:color w:val="auto"/>
              </w:rPr>
            </w:pPr>
            <w:r>
              <w:rPr>
                <w:rFonts w:ascii="Arial" w:cs="Arial" w:eastAsia="Arial" w:hAnsi="Arial"/>
                <w:sz w:val="18"/>
                <w:szCs w:val="18"/>
                <w:color w:val="auto"/>
                <w:w w:val="89"/>
              </w:rPr>
              <w:t>83887504703736981918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06/30/2020*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jc w:val="right"/>
              <w:ind w:right="16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Holding Entity</w:t>
            </w:r>
          </w:p>
        </w:tc>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Permit/License</w:t>
            </w:r>
          </w:p>
        </w:tc>
        <w:tc>
          <w:tcPr>
            <w:tcW w:w="2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42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(MM/DD/YY)</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NEVADA, LLC</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17355802525954961447</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01/31/2020*</w:t>
            </w:r>
          </w:p>
        </w:tc>
        <w:tc>
          <w:tcPr>
            <w:tcW w:w="14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88939271215332828859</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69272354565432352821</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01/31/2020*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14501073281263752947</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CENTER, 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46723736766369616954</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CENTER, 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41146840808916745728</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88867726382068964531</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36793887579714409224</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INTEGRAL</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70155083229545863037</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CULTIVATION, 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Distributor License</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06347213896566425206</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ESSENCE HENDERSON,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31687553825305698491</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Henderson,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ESSENCE HENDERSON,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19873661470522818141</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Henderson, NV</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06/30/2020*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ESSENCE HENDERSON,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09271842370730937488</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12/05/2020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96"/>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ESSENCE HENDERSON,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18482416987753786163</w:t>
            </w:r>
          </w:p>
        </w:tc>
        <w:tc>
          <w:tcPr>
            <w:tcW w:w="100" w:type="dxa"/>
            <w:vAlign w:val="bottom"/>
          </w:tcPr>
          <w:p>
            <w:pPr>
              <w:spacing w:after="0"/>
              <w:rPr>
                <w:sz w:val="24"/>
                <w:szCs w:val="2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12/05/2020</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6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jc w:val="right"/>
              <w:ind w:right="17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4"/>
              </w:rPr>
              <w:t>Holding Entity</w:t>
            </w:r>
          </w:p>
        </w:tc>
        <w:tc>
          <w:tcPr>
            <w:tcW w:w="24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Permit/License</w:t>
            </w:r>
          </w:p>
        </w:tc>
        <w:tc>
          <w:tcPr>
            <w:tcW w:w="2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City</w:t>
            </w: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Renewal Date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(MM/DD/YY)</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ESSENCE HENDERSON,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48470950795921214873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Sparks,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ind w:left="16"/>
              <w:spacing w:after="0" w:line="195" w:lineRule="exact"/>
              <w:rPr>
                <w:sz w:val="20"/>
                <w:szCs w:val="20"/>
                <w:color w:val="auto"/>
              </w:rPr>
            </w:pPr>
            <w:r>
              <w:rPr>
                <w:rFonts w:ascii="Arial" w:cs="Arial" w:eastAsia="Arial" w:hAnsi="Arial"/>
                <w:sz w:val="18"/>
                <w:szCs w:val="18"/>
                <w:color w:val="auto"/>
                <w:w w:val="90"/>
              </w:rPr>
              <w:t>12/05/2020</w:t>
            </w: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ESSENCE HENDERSON,</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34299986630191194451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080" w:type="dxa"/>
            <w:vAlign w:val="bottom"/>
          </w:tcPr>
          <w:p>
            <w:pPr>
              <w:jc w:val="center"/>
              <w:ind w:left="16"/>
              <w:spacing w:after="0"/>
              <w:rPr>
                <w:sz w:val="20"/>
                <w:szCs w:val="20"/>
                <w:color w:val="auto"/>
              </w:rPr>
            </w:pPr>
            <w:r>
              <w:rPr>
                <w:rFonts w:ascii="Arial" w:cs="Arial" w:eastAsia="Arial" w:hAnsi="Arial"/>
                <w:sz w:val="18"/>
                <w:szCs w:val="18"/>
                <w:color w:val="auto"/>
                <w:w w:val="90"/>
              </w:rPr>
              <w:t>12/05/2020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54732391061781763853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ind w:left="36"/>
              <w:spacing w:after="0"/>
              <w:rPr>
                <w:sz w:val="20"/>
                <w:szCs w:val="20"/>
                <w:color w:val="auto"/>
              </w:rPr>
            </w:pPr>
            <w:r>
              <w:rPr>
                <w:rFonts w:ascii="Arial" w:cs="Arial" w:eastAsia="Arial" w:hAnsi="Arial"/>
                <w:sz w:val="18"/>
                <w:szCs w:val="18"/>
                <w:color w:val="auto"/>
                <w:w w:val="94"/>
              </w:rPr>
              <w:t>06/30/2020*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54135769938859220718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ind w:left="36"/>
              <w:spacing w:after="0"/>
              <w:rPr>
                <w:sz w:val="20"/>
                <w:szCs w:val="20"/>
                <w:color w:val="auto"/>
              </w:rPr>
            </w:pPr>
            <w:r>
              <w:rPr>
                <w:rFonts w:ascii="Arial" w:cs="Arial" w:eastAsia="Arial" w:hAnsi="Arial"/>
                <w:sz w:val="18"/>
                <w:szCs w:val="18"/>
                <w:color w:val="auto"/>
                <w:w w:val="94"/>
              </w:rPr>
              <w:t>06/30/2020*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15464995890053145809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ind w:left="16"/>
              <w:spacing w:after="0"/>
              <w:rPr>
                <w:sz w:val="20"/>
                <w:szCs w:val="20"/>
                <w:color w:val="auto"/>
              </w:rPr>
            </w:pPr>
            <w:r>
              <w:rPr>
                <w:rFonts w:ascii="Arial" w:cs="Arial" w:eastAsia="Arial" w:hAnsi="Arial"/>
                <w:sz w:val="18"/>
                <w:szCs w:val="18"/>
                <w:color w:val="auto"/>
                <w:w w:val="90"/>
              </w:rPr>
              <w:t>03/31/2021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48202177935498005793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ind w:left="16"/>
              <w:spacing w:after="0"/>
              <w:rPr>
                <w:sz w:val="20"/>
                <w:szCs w:val="20"/>
                <w:color w:val="auto"/>
              </w:rPr>
            </w:pPr>
            <w:r>
              <w:rPr>
                <w:rFonts w:ascii="Arial" w:cs="Arial" w:eastAsia="Arial" w:hAnsi="Arial"/>
                <w:sz w:val="18"/>
                <w:szCs w:val="18"/>
                <w:color w:val="auto"/>
                <w:w w:val="90"/>
              </w:rPr>
              <w:t>12/05/2020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16849340152215972256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Reno, NV</w:t>
            </w:r>
          </w:p>
        </w:tc>
        <w:tc>
          <w:tcPr>
            <w:tcW w:w="1080" w:type="dxa"/>
            <w:vAlign w:val="bottom"/>
          </w:tcPr>
          <w:p>
            <w:pPr>
              <w:jc w:val="center"/>
              <w:ind w:left="16"/>
              <w:spacing w:after="0"/>
              <w:rPr>
                <w:sz w:val="20"/>
                <w:szCs w:val="20"/>
                <w:color w:val="auto"/>
              </w:rPr>
            </w:pPr>
            <w:r>
              <w:rPr>
                <w:rFonts w:ascii="Arial" w:cs="Arial" w:eastAsia="Arial" w:hAnsi="Arial"/>
                <w:sz w:val="18"/>
                <w:szCs w:val="18"/>
                <w:color w:val="auto"/>
                <w:w w:val="90"/>
              </w:rPr>
              <w:t>12/05/2020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43490264137335866974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Henderson, NV</w:t>
            </w:r>
          </w:p>
        </w:tc>
        <w:tc>
          <w:tcPr>
            <w:tcW w:w="1080" w:type="dxa"/>
            <w:vAlign w:val="bottom"/>
          </w:tcPr>
          <w:p>
            <w:pPr>
              <w:jc w:val="center"/>
              <w:ind w:left="16"/>
              <w:spacing w:after="0"/>
              <w:rPr>
                <w:sz w:val="20"/>
                <w:szCs w:val="20"/>
                <w:color w:val="auto"/>
              </w:rPr>
            </w:pPr>
            <w:r>
              <w:rPr>
                <w:rFonts w:ascii="Arial" w:cs="Arial" w:eastAsia="Arial" w:hAnsi="Arial"/>
                <w:sz w:val="18"/>
                <w:szCs w:val="18"/>
                <w:color w:val="auto"/>
                <w:w w:val="90"/>
              </w:rPr>
              <w:t>12/05/2020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1"/>
              </w:rPr>
              <w:t>Licenses in the State of New Jersey</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Renewal Date</w:t>
            </w: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(MM/DD/YY)</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GTI NEW JERSEY, LLC</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54"/>
              <w:spacing w:after="0" w:line="195" w:lineRule="exact"/>
              <w:rPr>
                <w:sz w:val="20"/>
                <w:szCs w:val="20"/>
                <w:color w:val="auto"/>
              </w:rPr>
            </w:pPr>
            <w:r>
              <w:rPr>
                <w:rFonts w:ascii="Arial" w:cs="Arial" w:eastAsia="Arial" w:hAnsi="Arial"/>
                <w:sz w:val="18"/>
                <w:szCs w:val="18"/>
                <w:color w:val="auto"/>
                <w:w w:val="87"/>
              </w:rPr>
              <w:t>12112019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3"/>
              <w:spacing w:after="0" w:line="195" w:lineRule="exact"/>
              <w:rPr>
                <w:sz w:val="20"/>
                <w:szCs w:val="20"/>
                <w:color w:val="auto"/>
              </w:rPr>
            </w:pPr>
            <w:r>
              <w:rPr>
                <w:rFonts w:ascii="Arial" w:cs="Arial" w:eastAsia="Arial" w:hAnsi="Arial"/>
                <w:sz w:val="18"/>
                <w:szCs w:val="18"/>
                <w:color w:val="auto"/>
                <w:w w:val="87"/>
              </w:rPr>
              <w:t>Patterson, NJ</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12/31/2020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1"/>
              </w:rPr>
              <w:t>Cultivation, Processing,</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5"/>
              </w:rPr>
              <w:t>(N-0032)</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Dispensary (Medical)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6"/>
              </w:rPr>
              <w:t>Licenses in the State of New York</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Renewal Date</w:t>
            </w: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(MM/DD/YY)</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34"/>
              <w:spacing w:after="0" w:line="195" w:lineRule="exact"/>
              <w:rPr>
                <w:sz w:val="20"/>
                <w:szCs w:val="20"/>
                <w:color w:val="auto"/>
              </w:rPr>
            </w:pPr>
            <w:r>
              <w:rPr>
                <w:rFonts w:ascii="Arial" w:cs="Arial" w:eastAsia="Arial" w:hAnsi="Arial"/>
                <w:sz w:val="18"/>
                <w:szCs w:val="18"/>
                <w:color w:val="auto"/>
                <w:w w:val="98"/>
              </w:rPr>
              <w:t>MM0701M</w:t>
            </w:r>
          </w:p>
        </w:tc>
        <w:tc>
          <w:tcPr>
            <w:tcW w:w="100" w:type="dxa"/>
            <w:vAlign w:val="bottom"/>
          </w:tcPr>
          <w:p>
            <w:pPr>
              <w:spacing w:after="0"/>
              <w:rPr>
                <w:sz w:val="16"/>
                <w:szCs w:val="16"/>
                <w:color w:val="auto"/>
              </w:rPr>
            </w:pPr>
          </w:p>
        </w:tc>
        <w:tc>
          <w:tcPr>
            <w:tcW w:w="220" w:type="dxa"/>
            <w:vAlign w:val="bottom"/>
            <w:tcBorders>
              <w:top w:val="single" w:sz="8" w:color="auto"/>
            </w:tcBorders>
            <w:gridSpan w:val="2"/>
          </w:tcPr>
          <w:p>
            <w:pPr>
              <w:spacing w:after="0"/>
              <w:rPr>
                <w:sz w:val="16"/>
                <w:szCs w:val="16"/>
                <w:color w:val="auto"/>
              </w:rPr>
            </w:pPr>
          </w:p>
        </w:tc>
        <w:tc>
          <w:tcPr>
            <w:tcW w:w="2200" w:type="dxa"/>
            <w:vAlign w:val="bottom"/>
            <w:tcBorders>
              <w:top w:val="single" w:sz="8" w:color="auto"/>
            </w:tcBorders>
          </w:tcPr>
          <w:p>
            <w:pPr>
              <w:jc w:val="center"/>
              <w:ind w:right="133"/>
              <w:spacing w:after="0" w:line="195" w:lineRule="exact"/>
              <w:rPr>
                <w:sz w:val="20"/>
                <w:szCs w:val="20"/>
                <w:color w:val="auto"/>
              </w:rPr>
            </w:pPr>
            <w:r>
              <w:rPr>
                <w:rFonts w:ascii="Arial" w:cs="Arial" w:eastAsia="Arial" w:hAnsi="Arial"/>
                <w:sz w:val="18"/>
                <w:szCs w:val="18"/>
                <w:color w:val="auto"/>
                <w:w w:val="98"/>
              </w:rPr>
              <w:t>Glenville, NY</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07/31/2021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Manufacturing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MM0702D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5"/>
              </w:rPr>
              <w:t>New York,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MM0703D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Nassau County,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jc w:val="right"/>
              <w:ind w:right="16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120" w:type="dxa"/>
            <w:vAlign w:val="bottom"/>
          </w:tcPr>
          <w:p>
            <w:pPr>
              <w:spacing w:after="0"/>
              <w:rPr>
                <w:sz w:val="14"/>
                <w:szCs w:val="14"/>
                <w:color w:val="auto"/>
              </w:rPr>
            </w:pPr>
          </w:p>
        </w:tc>
        <w:tc>
          <w:tcPr>
            <w:tcW w:w="24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Permit/License</w:t>
            </w:r>
          </w:p>
        </w:tc>
        <w:tc>
          <w:tcPr>
            <w:tcW w:w="25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33"/>
              <w:spacing w:after="0" w:line="195" w:lineRule="exact"/>
              <w:rPr>
                <w:sz w:val="20"/>
                <w:szCs w:val="20"/>
                <w:color w:val="auto"/>
              </w:rPr>
            </w:pPr>
            <w:r>
              <w:rPr>
                <w:rFonts w:ascii="Arial" w:cs="Arial" w:eastAsia="Arial" w:hAnsi="Arial"/>
                <w:sz w:val="18"/>
                <w:szCs w:val="18"/>
                <w:color w:val="auto"/>
                <w:w w:val="98"/>
              </w:rPr>
              <w:t>MM0704D</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Rochester, NY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FIORELLO</w:t>
            </w:r>
          </w:p>
        </w:tc>
        <w:tc>
          <w:tcPr>
            <w:tcW w:w="120" w:type="dxa"/>
            <w:vAlign w:val="bottom"/>
          </w:tcPr>
          <w:p>
            <w:pPr>
              <w:spacing w:after="0"/>
              <w:rPr>
                <w:sz w:val="24"/>
                <w:szCs w:val="24"/>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MM0705D</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Clifton Park, NY</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w w:val="99"/>
              </w:rPr>
              <w:t>Licenses in the State of Ohio</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120" w:type="dxa"/>
            <w:vAlign w:val="bottom"/>
          </w:tcPr>
          <w:p>
            <w:pPr>
              <w:spacing w:after="0"/>
              <w:rPr>
                <w:sz w:val="24"/>
                <w:szCs w:val="24"/>
                <w:color w:val="auto"/>
              </w:rPr>
            </w:pPr>
          </w:p>
        </w:tc>
        <w:tc>
          <w:tcPr>
            <w:tcW w:w="24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Permit/License</w:t>
            </w:r>
          </w:p>
        </w:tc>
        <w:tc>
          <w:tcPr>
            <w:tcW w:w="25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OHIO, LLC</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3"/>
              <w:spacing w:after="0" w:line="195" w:lineRule="exact"/>
              <w:rPr>
                <w:sz w:val="20"/>
                <w:szCs w:val="20"/>
                <w:color w:val="auto"/>
              </w:rPr>
            </w:pPr>
            <w:r>
              <w:rPr>
                <w:rFonts w:ascii="Arial" w:cs="Arial" w:eastAsia="Arial" w:hAnsi="Arial"/>
                <w:sz w:val="18"/>
                <w:szCs w:val="18"/>
                <w:color w:val="auto"/>
                <w:w w:val="94"/>
              </w:rPr>
              <w:t>MMD.0700015</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Toledo, OH</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12/04/2020</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MMD.0700016</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Lorain,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12/04/2020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MMD.0700026</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Cleveland,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12/04/2020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MMD.0700047</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12/04/2020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MMD.0700052</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12/04/2020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MMCPP00070</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Toledo, OH</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120" w:type="dxa"/>
            <w:vAlign w:val="bottom"/>
          </w:tcPr>
          <w:p>
            <w:pPr>
              <w:spacing w:after="0"/>
              <w:rPr>
                <w:sz w:val="24"/>
                <w:szCs w:val="24"/>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MMCPC00181</w:t>
            </w: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Toledo, OH</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Provisional</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540"/>
        </w:trPr>
        <w:tc>
          <w:tcPr>
            <w:tcW w:w="4820" w:type="dxa"/>
            <w:vAlign w:val="bottom"/>
            <w:gridSpan w:val="5"/>
          </w:tcPr>
          <w:p>
            <w:pPr>
              <w:spacing w:after="0"/>
              <w:rPr>
                <w:sz w:val="20"/>
                <w:szCs w:val="20"/>
                <w:color w:val="auto"/>
              </w:rPr>
            </w:pPr>
            <w:r>
              <w:rPr>
                <w:rFonts w:ascii="Arial" w:cs="Arial" w:eastAsia="Arial" w:hAnsi="Arial"/>
                <w:sz w:val="18"/>
                <w:szCs w:val="18"/>
                <w:i w:val="1"/>
                <w:iCs w:val="1"/>
                <w:color w:val="auto"/>
              </w:rPr>
              <w:t>Licenses in the Commonwealth of Pennsylvania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Holding Entity</w:t>
            </w:r>
          </w:p>
        </w:tc>
        <w:tc>
          <w:tcPr>
            <w:tcW w:w="120" w:type="dxa"/>
            <w:vAlign w:val="bottom"/>
          </w:tcPr>
          <w:p>
            <w:pPr>
              <w:spacing w:after="0"/>
              <w:rPr>
                <w:sz w:val="24"/>
                <w:szCs w:val="24"/>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GTI PENNSYLVANIA,</w:t>
            </w:r>
          </w:p>
        </w:tc>
        <w:tc>
          <w:tcPr>
            <w:tcW w:w="12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GP-4006-17</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Danville, PA</w:t>
            </w:r>
          </w:p>
        </w:tc>
        <w:tc>
          <w:tcPr>
            <w:tcW w:w="12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5"/>
              <w:spacing w:after="0" w:line="195" w:lineRule="exact"/>
              <w:rPr>
                <w:sz w:val="20"/>
                <w:szCs w:val="20"/>
                <w:color w:val="auto"/>
              </w:rPr>
            </w:pPr>
            <w:r>
              <w:rPr>
                <w:rFonts w:ascii="Arial" w:cs="Arial" w:eastAsia="Arial" w:hAnsi="Arial"/>
                <w:sz w:val="18"/>
                <w:szCs w:val="18"/>
                <w:color w:val="auto"/>
                <w:w w:val="92"/>
              </w:rPr>
              <w:t>06/20/2020*</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Grower/Processor 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w w:val="97"/>
              </w:rPr>
              <w:t>GTI PENNSYLVANIA,</w:t>
            </w:r>
          </w:p>
        </w:tc>
        <w:tc>
          <w:tcPr>
            <w:tcW w:w="12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54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Erie, PA</w:t>
            </w:r>
          </w:p>
        </w:tc>
        <w:tc>
          <w:tcPr>
            <w:tcW w:w="1200" w:type="dxa"/>
            <w:vAlign w:val="bottom"/>
          </w:tcPr>
          <w:p>
            <w:pPr>
              <w:jc w:val="center"/>
              <w:ind w:right="15"/>
              <w:spacing w:after="0"/>
              <w:rPr>
                <w:sz w:val="20"/>
                <w:szCs w:val="20"/>
                <w:color w:val="auto"/>
              </w:rPr>
            </w:pPr>
            <w:r>
              <w:rPr>
                <w:rFonts w:ascii="Arial" w:cs="Arial" w:eastAsia="Arial" w:hAnsi="Arial"/>
                <w:sz w:val="18"/>
                <w:szCs w:val="18"/>
                <w:color w:val="auto"/>
                <w:w w:val="92"/>
              </w:rPr>
              <w:t>06/29/2020*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w w:val="97"/>
              </w:rPr>
              <w:t>GTI PENNSYLVANIA,</w:t>
            </w:r>
          </w:p>
        </w:tc>
        <w:tc>
          <w:tcPr>
            <w:tcW w:w="12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D18-3019</w:t>
            </w:r>
          </w:p>
        </w:tc>
        <w:tc>
          <w:tcPr>
            <w:tcW w:w="25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Mechanicsburg, PA</w:t>
            </w:r>
          </w:p>
        </w:tc>
        <w:tc>
          <w:tcPr>
            <w:tcW w:w="1200" w:type="dxa"/>
            <w:vAlign w:val="bottom"/>
          </w:tcPr>
          <w:p>
            <w:pPr>
              <w:jc w:val="center"/>
              <w:ind w:right="15"/>
              <w:spacing w:after="0"/>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w w:val="97"/>
              </w:rPr>
              <w:t>GTI PENNSYLVANIA,</w:t>
            </w:r>
          </w:p>
        </w:tc>
        <w:tc>
          <w:tcPr>
            <w:tcW w:w="12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D18-3019</w:t>
            </w:r>
          </w:p>
        </w:tc>
        <w:tc>
          <w:tcPr>
            <w:tcW w:w="254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Chambersburg, PA</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 Permit</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300" w:type="dxa"/>
            <w:vAlign w:val="bottom"/>
            <w:gridSpan w:val="2"/>
          </w:tcPr>
          <w:p>
            <w:pPr>
              <w:jc w:val="center"/>
              <w:spacing w:after="0"/>
              <w:rPr>
                <w:sz w:val="20"/>
                <w:szCs w:val="20"/>
                <w:color w:val="auto"/>
              </w:rPr>
            </w:pPr>
            <w:r>
              <w:rPr>
                <w:rFonts w:ascii="Arial" w:cs="Arial" w:eastAsia="Arial" w:hAnsi="Arial"/>
                <w:sz w:val="18"/>
                <w:szCs w:val="18"/>
                <w:color w:val="auto"/>
                <w:w w:val="97"/>
              </w:rPr>
              <w:t>GTI PENNSYLVANIA,</w:t>
            </w:r>
          </w:p>
        </w:tc>
        <w:tc>
          <w:tcPr>
            <w:tcW w:w="12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Chadds Ford, PA</w:t>
            </w:r>
          </w:p>
        </w:tc>
        <w:tc>
          <w:tcPr>
            <w:tcW w:w="1200" w:type="dxa"/>
            <w:vAlign w:val="bottom"/>
          </w:tcPr>
          <w:p>
            <w:pPr>
              <w:jc w:val="center"/>
              <w:ind w:right="15"/>
              <w:spacing w:after="0"/>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spacing w:after="0"/>
              <w:rPr>
                <w:sz w:val="20"/>
                <w:szCs w:val="20"/>
                <w:color w:val="auto"/>
              </w:rPr>
            </w:pPr>
            <w:r>
              <w:rPr>
                <w:rFonts w:ascii="Arial" w:cs="Arial" w:eastAsia="Arial" w:hAnsi="Arial"/>
                <w:sz w:val="18"/>
                <w:szCs w:val="18"/>
                <w:color w:val="auto"/>
                <w:w w:val="99"/>
              </w:rPr>
              <w:t>GTI PENNSYLVANIA, LLC</w:t>
            </w:r>
          </w:p>
        </w:tc>
        <w:tc>
          <w:tcPr>
            <w:tcW w:w="12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King of Prussia, PA</w:t>
            </w:r>
          </w:p>
        </w:tc>
        <w:tc>
          <w:tcPr>
            <w:tcW w:w="1200" w:type="dxa"/>
            <w:vAlign w:val="bottom"/>
          </w:tcPr>
          <w:p>
            <w:pPr>
              <w:jc w:val="center"/>
              <w:ind w:right="15"/>
              <w:spacing w:after="0"/>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jc w:val="right"/>
              <w:ind w:right="15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PENNSYLVANIA</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D18-5035</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Latrobe, PA</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D18-5035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Cranberry,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D18-6019</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KW VENTURES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Steelton,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HOLDINGS,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KW VENTURES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York, PA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HOLDINGS,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KW VENTURES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Carlisle,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HOLDINGS,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Hermitage,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renewal pending to extend one year from date indicated.</w:t>
      </w:r>
    </w:p>
    <w:p>
      <w:pPr>
        <w:spacing w:after="0" w:line="23" w:lineRule="exact"/>
        <w:rPr>
          <w:sz w:val="20"/>
          <w:szCs w:val="20"/>
          <w:color w:val="auto"/>
        </w:rPr>
      </w:pPr>
    </w:p>
    <w:p>
      <w:pPr>
        <w:ind w:left="5580" w:right="4040" w:hanging="5464"/>
        <w:spacing w:after="0" w:line="433" w:lineRule="auto"/>
        <w:tabs>
          <w:tab w:leader="none" w:pos="5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date pending notification from the regulator; expected expiration date indicated. 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56" w:lineRule="exact"/>
        <w:rPr>
          <w:sz w:val="20"/>
          <w:szCs w:val="20"/>
          <w:color w:val="auto"/>
        </w:rPr>
      </w:pPr>
    </w:p>
    <w:p>
      <w:pPr>
        <w:ind w:left="720" w:right="940" w:hanging="604"/>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Green Thumb Industries Inc. Unaudited Interim Condensed Consolidated Financial Statements for the three months ended March 31, 2020.</w:t>
      </w:r>
    </w:p>
    <w:p>
      <w:pPr>
        <w:spacing w:after="0" w:line="6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0120" w:type="dxa"/>
            <w:vAlign w:val="bottom"/>
            <w:gridSpan w:val="7"/>
          </w:tcPr>
          <w:p>
            <w:pPr>
              <w:spacing w:after="0"/>
              <w:rPr>
                <w:rFonts w:ascii="Arial" w:cs="Arial" w:eastAsia="Arial" w:hAnsi="Arial"/>
                <w:sz w:val="18"/>
                <w:szCs w:val="18"/>
                <w:u w:val="single" w:color="auto"/>
                <w:color w:val="0000EE"/>
                <w:w w:val="93"/>
              </w:rPr>
            </w:pPr>
            <w:hyperlink w:anchor="page141">
              <w:r>
                <w:rPr>
                  <w:rFonts w:ascii="Arial" w:cs="Arial" w:eastAsia="Arial" w:hAnsi="Arial"/>
                  <w:sz w:val="18"/>
                  <w:szCs w:val="18"/>
                  <w:u w:val="single" w:color="auto"/>
                  <w:color w:val="0000EE"/>
                  <w:w w:val="93"/>
                </w:rPr>
                <w:t>Green Thumb Industries Inc. Unaudited Interim Condensed Consolidated Balance Sheet as of March 31, 2020 and December 31, 2019.</w:t>
              </w:r>
            </w:hyperlink>
          </w:p>
        </w:tc>
        <w:tc>
          <w:tcPr>
            <w:tcW w:w="420" w:type="dxa"/>
            <w:vAlign w:val="bottom"/>
          </w:tcPr>
          <w:p>
            <w:pPr>
              <w:ind w:left="160"/>
              <w:spacing w:after="0"/>
              <w:rPr>
                <w:sz w:val="20"/>
                <w:szCs w:val="20"/>
                <w:color w:val="auto"/>
              </w:rPr>
            </w:pPr>
            <w:r>
              <w:rPr>
                <w:rFonts w:ascii="Arial" w:cs="Arial" w:eastAsia="Arial" w:hAnsi="Arial"/>
                <w:sz w:val="18"/>
                <w:szCs w:val="18"/>
                <w:color w:val="auto"/>
                <w:w w:val="88"/>
              </w:rPr>
              <w:t>F-2</w:t>
            </w:r>
          </w:p>
        </w:tc>
      </w:tr>
      <w:tr>
        <w:trPr>
          <w:trHeight w:val="190"/>
        </w:trPr>
        <w:tc>
          <w:tcPr>
            <w:tcW w:w="10120" w:type="dxa"/>
            <w:vAlign w:val="bottom"/>
            <w:gridSpan w:val="7"/>
          </w:tcPr>
          <w:p>
            <w:pPr>
              <w:spacing w:after="0" w:line="190" w:lineRule="exact"/>
              <w:rPr>
                <w:rFonts w:ascii="Arial" w:cs="Arial" w:eastAsia="Arial" w:hAnsi="Arial"/>
                <w:sz w:val="18"/>
                <w:szCs w:val="18"/>
                <w:color w:val="0000EE"/>
                <w:w w:val="92"/>
              </w:rPr>
            </w:pPr>
            <w:hyperlink w:anchor="page143">
              <w:r>
                <w:rPr>
                  <w:rFonts w:ascii="Arial" w:cs="Arial" w:eastAsia="Arial" w:hAnsi="Arial"/>
                  <w:sz w:val="18"/>
                  <w:szCs w:val="18"/>
                  <w:color w:val="0000EE"/>
                  <w:w w:val="92"/>
                </w:rPr>
                <w:t>Green Thumb Industries Inc. Unaudited Interim Condensed Consolidated Statement of Operations for the three months ended March 31,</w:t>
              </w:r>
            </w:hyperlink>
          </w:p>
        </w:tc>
        <w:tc>
          <w:tcPr>
            <w:tcW w:w="4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2020 and 2019.</w:t>
              </w:r>
            </w:hyperlink>
          </w:p>
        </w:tc>
        <w:tc>
          <w:tcPr>
            <w:tcW w:w="280" w:type="dxa"/>
            <w:vAlign w:val="bottom"/>
            <w:gridSpan w:val="2"/>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Green Thumb Industries Inc. Unaudited Interim Condensed Consolidated Statement of Changes in Shareholders’ Equity for the three</w:t>
              </w:r>
            </w:hyperlink>
          </w:p>
        </w:tc>
        <w:tc>
          <w:tcPr>
            <w:tcW w:w="5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9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months ended March 31, 2020 and 2019.</w:t>
              </w:r>
            </w:hyperlink>
          </w:p>
        </w:tc>
        <w:tc>
          <w:tcPr>
            <w:tcW w:w="6980" w:type="dxa"/>
            <w:vAlign w:val="bottom"/>
            <w:gridSpan w:val="4"/>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0120" w:type="dxa"/>
            <w:vAlign w:val="bottom"/>
            <w:gridSpan w:val="7"/>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Green Thumb Industries Inc. Unaudited Interim Condensed Consolidated Statement of Cash Flows for the three months’ ended March 31,</w:t>
              </w:r>
            </w:hyperlink>
          </w:p>
        </w:tc>
        <w:tc>
          <w:tcPr>
            <w:tcW w:w="4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2020 and 2019.</w:t>
              </w:r>
            </w:hyperlink>
          </w:p>
        </w:tc>
        <w:tc>
          <w:tcPr>
            <w:tcW w:w="160" w:type="dxa"/>
            <w:vAlign w:val="bottom"/>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120" w:type="dxa"/>
            <w:vAlign w:val="bottom"/>
            <w:gridSpan w:val="7"/>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Notes to Unaudited Interim Condensed Consolidated Financial Statements</w:t>
              </w:r>
            </w:hyperlink>
          </w:p>
        </w:tc>
        <w:tc>
          <w:tcPr>
            <w:tcW w:w="420" w:type="dxa"/>
            <w:vAlign w:val="bottom"/>
          </w:tcPr>
          <w:p>
            <w:pPr>
              <w:ind w:left="160"/>
              <w:spacing w:after="0"/>
              <w:rPr>
                <w:sz w:val="20"/>
                <w:szCs w:val="20"/>
                <w:color w:val="auto"/>
              </w:rPr>
            </w:pPr>
            <w:r>
              <w:rPr>
                <w:rFonts w:ascii="Arial" w:cs="Arial" w:eastAsia="Arial" w:hAnsi="Arial"/>
                <w:sz w:val="18"/>
                <w:szCs w:val="18"/>
                <w:color w:val="auto"/>
                <w:w w:val="88"/>
              </w:rPr>
              <w:t>F-8</w:t>
            </w:r>
          </w:p>
        </w:tc>
      </w:tr>
    </w:tbl>
    <w:p>
      <w:pPr>
        <w:spacing w:after="0" w:line="202" w:lineRule="exact"/>
        <w:rPr>
          <w:sz w:val="20"/>
          <w:szCs w:val="20"/>
          <w:color w:val="auto"/>
        </w:rPr>
      </w:pPr>
    </w:p>
    <w:p>
      <w:pPr>
        <w:ind w:left="720" w:right="620" w:hanging="60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Green Thumb Industries Inc. Consolidated and Combined Financial Statements as of December 31, 2019 and 2018 and for the Two Years Ended December 31, 2019</w:t>
      </w:r>
    </w:p>
    <w:p>
      <w:pPr>
        <w:spacing w:after="0" w:line="6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988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Report of Independent Registered Public Accounting Firm</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F-28</w:t>
            </w:r>
          </w:p>
        </w:tc>
      </w:tr>
      <w:tr>
        <w:trPr>
          <w:trHeight w:val="216"/>
        </w:trPr>
        <w:tc>
          <w:tcPr>
            <w:tcW w:w="988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Consolidated and Combined Balance Sheets as of December 31, 2019 and 2018</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F-32</w:t>
            </w:r>
          </w:p>
        </w:tc>
      </w:tr>
      <w:tr>
        <w:trPr>
          <w:trHeight w:val="216"/>
        </w:trPr>
        <w:tc>
          <w:tcPr>
            <w:tcW w:w="988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Consolidated and Combined Statements of Operations for each of the years ended December 31, 2019, 2018, and 2017</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F-34</w:t>
            </w:r>
          </w:p>
        </w:tc>
      </w:tr>
      <w:tr>
        <w:trPr>
          <w:trHeight w:val="216"/>
        </w:trPr>
        <w:tc>
          <w:tcPr>
            <w:tcW w:w="9880" w:type="dxa"/>
            <w:vAlign w:val="bottom"/>
          </w:tcPr>
          <w:p>
            <w:pPr>
              <w:spacing w:after="0"/>
              <w:rPr>
                <w:rFonts w:ascii="Arial" w:cs="Arial" w:eastAsia="Arial" w:hAnsi="Arial"/>
                <w:sz w:val="18"/>
                <w:szCs w:val="18"/>
                <w:u w:val="single" w:color="auto"/>
                <w:color w:val="0000EE"/>
                <w:w w:val="92"/>
              </w:rPr>
            </w:pPr>
            <w:hyperlink w:anchor="page174">
              <w:r>
                <w:rPr>
                  <w:rFonts w:ascii="Arial" w:cs="Arial" w:eastAsia="Arial" w:hAnsi="Arial"/>
                  <w:sz w:val="18"/>
                  <w:szCs w:val="18"/>
                  <w:u w:val="single" w:color="auto"/>
                  <w:color w:val="0000EE"/>
                  <w:w w:val="92"/>
                </w:rPr>
                <w:t>Consolidated and Combined Statements of Changes in Shareholders’ Equity for the years ended December 31, 2019, 2018 and 2017</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F-35</w:t>
            </w:r>
          </w:p>
        </w:tc>
      </w:tr>
      <w:tr>
        <w:trPr>
          <w:trHeight w:val="216"/>
        </w:trPr>
        <w:tc>
          <w:tcPr>
            <w:tcW w:w="988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and Combined Statements of Cash Flows for the years ended December 31, 2019 and 2018</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F-37</w:t>
            </w:r>
          </w:p>
        </w:tc>
      </w:tr>
      <w:tr>
        <w:trPr>
          <w:trHeight w:val="230"/>
        </w:trPr>
        <w:tc>
          <w:tcPr>
            <w:tcW w:w="988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Notes to Consolidated and Combined Financial Statements</w:t>
              </w:r>
            </w:hyperlink>
          </w:p>
        </w:tc>
        <w:tc>
          <w:tcPr>
            <w:tcW w:w="660" w:type="dxa"/>
            <w:vAlign w:val="bottom"/>
          </w:tcPr>
          <w:p>
            <w:pPr>
              <w:ind w:left="320"/>
              <w:spacing w:after="0"/>
              <w:rPr>
                <w:sz w:val="20"/>
                <w:szCs w:val="20"/>
                <w:color w:val="auto"/>
              </w:rPr>
            </w:pPr>
            <w:r>
              <w:rPr>
                <w:rFonts w:ascii="Arial" w:cs="Arial" w:eastAsia="Arial" w:hAnsi="Arial"/>
                <w:sz w:val="18"/>
                <w:szCs w:val="18"/>
                <w:color w:val="auto"/>
                <w:w w:val="86"/>
              </w:rPr>
              <w:t>F-39</w:t>
            </w:r>
          </w:p>
        </w:tc>
      </w:tr>
      <w:tr>
        <w:trPr>
          <w:trHeight w:val="364"/>
        </w:trPr>
        <w:tc>
          <w:tcPr>
            <w:tcW w:w="9880" w:type="dxa"/>
            <w:vAlign w:val="bottom"/>
          </w:tcPr>
          <w:p>
            <w:pPr>
              <w:ind w:left="4960"/>
              <w:spacing w:after="0"/>
              <w:rPr>
                <w:sz w:val="20"/>
                <w:szCs w:val="20"/>
                <w:color w:val="auto"/>
              </w:rPr>
            </w:pPr>
            <w:r>
              <w:rPr>
                <w:rFonts w:ascii="Arial" w:cs="Arial" w:eastAsia="Arial" w:hAnsi="Arial"/>
                <w:sz w:val="18"/>
                <w:szCs w:val="18"/>
                <w:color w:val="auto"/>
              </w:rPr>
              <w:t>F-1</w:t>
            </w:r>
          </w:p>
        </w:tc>
        <w:tc>
          <w:tcPr>
            <w:tcW w:w="6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March 31, 2020 and December 31,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3520"/>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i w:val="1"/>
                <w:iCs w:val="1"/>
                <w:color w:val="auto"/>
              </w:rPr>
              <w:t>(Audited)</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71,521,954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46,667,334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6,725,972</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7,530,253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50,170,268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46,034,481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6,225,954</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6,780,657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6,171,998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2,049,886</w:t>
            </w:r>
          </w:p>
        </w:tc>
        <w:tc>
          <w:tcPr>
            <w:tcW w:w="0" w:type="dxa"/>
            <w:vAlign w:val="bottom"/>
          </w:tcPr>
          <w:p>
            <w:pPr>
              <w:spacing w:after="0"/>
              <w:rPr>
                <w:sz w:val="1"/>
                <w:szCs w:val="1"/>
                <w:color w:val="auto"/>
              </w:rPr>
            </w:pPr>
          </w:p>
        </w:tc>
      </w:tr>
      <w:tr>
        <w:trPr>
          <w:trHeight w:val="224"/>
        </w:trPr>
        <w:tc>
          <w:tcPr>
            <w:tcW w:w="68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140,816,146</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109,062,611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160,463,256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155,596,675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97,034,010</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63,647,812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13,853,214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14,068,821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10,600,000</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815,937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426,328,731</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435,246,898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372,218,999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375,084,991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1,699,805</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3,662,879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1,223,014,161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1,167,536,624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SHAREHOLDERS’ EQUITY</w:t>
            </w: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17,945,740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9,990,377</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42,486,913</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35,939,850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Current Portion of Lease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1,473,812</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3,833,268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41,581,975</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50,391,181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19,078,904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5,505,904</w:t>
            </w:r>
          </w:p>
        </w:tc>
        <w:tc>
          <w:tcPr>
            <w:tcW w:w="0" w:type="dxa"/>
            <w:vAlign w:val="bottom"/>
          </w:tcPr>
          <w:p>
            <w:pPr>
              <w:spacing w:after="0"/>
              <w:rPr>
                <w:sz w:val="1"/>
                <w:szCs w:val="1"/>
                <w:color w:val="auto"/>
              </w:rPr>
            </w:pPr>
          </w:p>
        </w:tc>
      </w:tr>
      <w:tr>
        <w:trPr>
          <w:trHeight w:val="224"/>
        </w:trPr>
        <w:tc>
          <w:tcPr>
            <w:tcW w:w="68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128,250,270</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98,032,455</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61,115,737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92,690,031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91,140,194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8,762,527</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8,545,558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8,497,000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15,879,843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33,976,361</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36,279,361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370,208,644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324,327,948</w:t>
            </w:r>
          </w:p>
        </w:tc>
        <w:tc>
          <w:tcPr>
            <w:tcW w:w="0" w:type="dxa"/>
            <w:vAlign w:val="bottom"/>
          </w:tcPr>
          <w:p>
            <w:pPr>
              <w:spacing w:after="0"/>
              <w:rPr>
                <w:sz w:val="1"/>
                <w:szCs w:val="1"/>
                <w:color w:val="auto"/>
              </w:rPr>
            </w:pPr>
          </w:p>
        </w:tc>
      </w:tr>
      <w:tr>
        <w:trPr>
          <w:trHeight w:val="365"/>
        </w:trPr>
        <w:tc>
          <w:tcPr>
            <w:tcW w:w="6860" w:type="dxa"/>
            <w:vAlign w:val="bottom"/>
          </w:tcPr>
          <w:p>
            <w:pPr>
              <w:ind w:left="5380"/>
              <w:spacing w:after="0"/>
              <w:rPr>
                <w:sz w:val="20"/>
                <w:szCs w:val="20"/>
                <w:color w:val="auto"/>
              </w:rPr>
            </w:pPr>
            <w:r>
              <w:rPr>
                <w:rFonts w:ascii="Arial" w:cs="Arial" w:eastAsia="Arial" w:hAnsi="Arial"/>
                <w:sz w:val="18"/>
                <w:szCs w:val="18"/>
                <w:color w:val="auto"/>
              </w:rPr>
              <w:t>F-2</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Pr>
          <w:p>
            <w:pPr>
              <w:spacing w:after="0"/>
              <w:rPr>
                <w:sz w:val="14"/>
                <w:szCs w:val="14"/>
                <w:color w:val="auto"/>
              </w:rPr>
            </w:pPr>
          </w:p>
        </w:tc>
        <w:tc>
          <w:tcPr>
            <w:tcW w:w="148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6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88"/>
        </w:trPr>
        <w:tc>
          <w:tcPr>
            <w:tcW w:w="7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SHARE 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Subordinate Voting Shares (Shares Authorized, Issued and Outstanding at March 31, 2020: Unlimited,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144,811,572 and 144,811,572, respectively at December 31, 2019: Unlimited, 128,999,964 and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128,999,964, respectively)</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w w:val="99"/>
              </w:rPr>
              <w:t>Multiple Voting Shares (Shares Authorized, Issued and Outstanding at March 31, 2020: Unlimited,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238,504 and 238,504, respectively at December 31, 2018: Unlimited, 373,350 and 373,350,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77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8"/>
        </w:trPr>
        <w:tc>
          <w:tcPr>
            <w:tcW w:w="7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2"/>
        </w:trPr>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Super Voting Shares (Shares Authorized, Issued and Outstanding at March 31, 2020: Unlimited, 390,814</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390,814, respectively at December 31, 2019: Unlimited, 402,289 and 402,289, respectively)</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990,290,509</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980,638,701</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Surplus</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8,302,730</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3,960,854</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Deferred Share Issuances</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16,587,798</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16,587,798</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(164,697,854)</w:t>
            </w: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(160,491,590)</w:t>
            </w:r>
          </w:p>
        </w:tc>
      </w:tr>
      <w:tr>
        <w:trPr>
          <w:trHeight w:val="223"/>
        </w:trPr>
        <w:tc>
          <w:tcPr>
            <w:tcW w:w="7740" w:type="dxa"/>
            <w:vAlign w:val="bottom"/>
          </w:tcPr>
          <w:p>
            <w:pPr>
              <w:ind w:left="720"/>
              <w:spacing w:after="0"/>
              <w:rPr>
                <w:sz w:val="20"/>
                <w:szCs w:val="20"/>
                <w:color w:val="auto"/>
              </w:rPr>
            </w:pPr>
            <w:r>
              <w:rPr>
                <w:rFonts w:ascii="Arial" w:cs="Arial" w:eastAsia="Arial" w:hAnsi="Arial"/>
                <w:sz w:val="18"/>
                <w:szCs w:val="18"/>
                <w:color w:val="auto"/>
              </w:rPr>
              <w:t>Equity of Green Thumb Industries Inc.</w:t>
            </w:r>
          </w:p>
        </w:tc>
        <w:tc>
          <w:tcPr>
            <w:tcW w:w="1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850,483,183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840,695,763</w:t>
            </w:r>
          </w:p>
        </w:tc>
        <w:tc>
          <w:tcPr>
            <w:tcW w:w="14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2,322,334</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2,512,913</w:t>
            </w: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852,805,517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843,208,676</w:t>
            </w:r>
          </w:p>
        </w:tc>
        <w:tc>
          <w:tcPr>
            <w:tcW w:w="140" w:type="dxa"/>
            <w:vAlign w:val="bottom"/>
          </w:tcPr>
          <w:p>
            <w:pPr>
              <w:spacing w:after="0"/>
              <w:rPr>
                <w:sz w:val="19"/>
                <w:szCs w:val="19"/>
                <w:color w:val="auto"/>
              </w:rPr>
            </w:pPr>
          </w:p>
        </w:tc>
      </w:tr>
      <w:tr>
        <w:trPr>
          <w:trHeight w:val="115"/>
        </w:trPr>
        <w:tc>
          <w:tcPr>
            <w:tcW w:w="7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1,223,014,161</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1,167,536,624</w:t>
            </w: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102,602,602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(49,615,188)</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(15,123,942)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52,987,414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12,789,221</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45,434,757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26,418,881</w:t>
            </w:r>
          </w:p>
        </w:tc>
        <w:tc>
          <w:tcPr>
            <w:tcW w:w="0" w:type="dxa"/>
            <w:vAlign w:val="bottom"/>
          </w:tcPr>
          <w:p>
            <w:pPr>
              <w:spacing w:after="0"/>
              <w:rPr>
                <w:sz w:val="1"/>
                <w:szCs w:val="1"/>
                <w:color w:val="auto"/>
              </w:rPr>
            </w:pPr>
          </w:p>
        </w:tc>
      </w:tr>
      <w:tr>
        <w:trPr>
          <w:trHeight w:val="230"/>
        </w:trPr>
        <w:tc>
          <w:tcPr>
            <w:tcW w:w="722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45,434,757</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26,418,881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7,552,657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(13,629,660)</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6,786,110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5,256,653</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88,115</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356,830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(5,041,442)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(451,878)</w:t>
            </w:r>
          </w:p>
        </w:tc>
        <w:tc>
          <w:tcPr>
            <w:tcW w:w="0" w:type="dxa"/>
            <w:vAlign w:val="bottom"/>
          </w:tcPr>
          <w:p>
            <w:pPr>
              <w:spacing w:after="0"/>
              <w:rPr>
                <w:sz w:val="1"/>
                <w:szCs w:val="1"/>
                <w:color w:val="auto"/>
              </w:rPr>
            </w:pPr>
          </w:p>
        </w:tc>
      </w:tr>
      <w:tr>
        <w:trPr>
          <w:trHeight w:val="230"/>
        </w:trPr>
        <w:tc>
          <w:tcPr>
            <w:tcW w:w="722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1,832,783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5,161,605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9,385,440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(8,468,055)</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13,149,000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(3,763,560)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(9,704,055)</w:t>
            </w:r>
          </w:p>
        </w:tc>
        <w:tc>
          <w:tcPr>
            <w:tcW w:w="0" w:type="dxa"/>
            <w:vAlign w:val="bottom"/>
          </w:tcPr>
          <w:p>
            <w:pPr>
              <w:spacing w:after="0"/>
              <w:rPr>
                <w:sz w:val="1"/>
                <w:szCs w:val="1"/>
                <w:color w:val="auto"/>
              </w:rPr>
            </w:pPr>
          </w:p>
        </w:tc>
      </w:tr>
      <w:tr>
        <w:trPr>
          <w:trHeight w:val="324"/>
        </w:trPr>
        <w:tc>
          <w:tcPr>
            <w:tcW w:w="72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442,704</w:t>
            </w:r>
          </w:p>
        </w:tc>
        <w:tc>
          <w:tcPr>
            <w:tcW w:w="1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(140,999)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(4,206,264)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(9,563,056)</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208,468,356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167,171,886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to</w:t>
            </w:r>
          </w:p>
        </w:tc>
        <w:tc>
          <w:tcPr>
            <w:tcW w:w="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9"/>
              </w:rPr>
              <w:t>Deferred Share</w:t>
            </w:r>
          </w:p>
        </w:tc>
        <w:tc>
          <w:tcPr>
            <w:tcW w:w="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Be Issued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Issuance</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Earnings (Deficit)</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2019</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$397,590,465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27,773,234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14,202,659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(100,876,937)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3,497,459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$342,186,880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18"/>
                <w:szCs w:val="18"/>
                <w:i w:val="1"/>
                <w:iCs w:val="1"/>
                <w:color w:val="auto"/>
              </w:rPr>
              <w:t>Leases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(498,246)</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interests adjustment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change in ownership</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27,773,234</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(27,773,234)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4,200,382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4,200,382</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Contributions from limited liability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company unit holders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1,650,000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under business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combinations and investments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168,904,857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(4,789,147)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164,115,710</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6"/>
              </w:rPr>
              <w:t>Issuance of shares for redemption of</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15,025,523</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(2,048,653)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12,976,870</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15,280,000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15,280,000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5,844,800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5,844,800</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limited liability</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unit holders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(536,159)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(536,159)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(9,563,056)</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(140,999)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(9,704,055)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609,294,079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17,410,041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15,280,000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 (110,938,239)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4,470,301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535,516,182</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Balance, January 1, 2020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$980,638,701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3,960,854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20"/>
              <w:spacing w:after="0"/>
              <w:rPr>
                <w:sz w:val="20"/>
                <w:szCs w:val="20"/>
                <w:color w:val="auto"/>
              </w:rPr>
            </w:pPr>
            <w:r>
              <w:rPr>
                <w:rFonts w:ascii="Arial" w:cs="Arial" w:eastAsia="Arial" w:hAnsi="Arial"/>
                <w:sz w:val="18"/>
                <w:szCs w:val="18"/>
                <w:color w:val="auto"/>
                <w:w w:val="88"/>
              </w:rPr>
              <w:t>16,587,798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4"/>
              </w:rPr>
              <w:t>$ (160,491,590)</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$843,208,676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limited liability</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unit holders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Issuance of shares under business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combinations and investments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684,551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(678,489)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Contingent consideration, and other</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purchase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8,967,257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8,967,257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5,073,742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5,073,742</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third party and</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liability company unit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(683,283)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(736,660)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(4,206,264)</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442,704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(3,763,560)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990,290,509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8,302,730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16,587,798</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 (164,697,854)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2,322,334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852,805,517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 FROM OPERATING ACTIVITIES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Net loss attributable to Green Thumb Industries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(4,206,264)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(9,563,056)</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(loss) attributable to non-controlling interest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442,704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(140,999)</w:t>
            </w:r>
          </w:p>
        </w:tc>
        <w:tc>
          <w:tcPr>
            <w:tcW w:w="0" w:type="dxa"/>
            <w:vAlign w:val="bottom"/>
          </w:tcPr>
          <w:p>
            <w:pPr>
              <w:spacing w:after="0"/>
              <w:rPr>
                <w:sz w:val="1"/>
                <w:szCs w:val="1"/>
                <w:color w:val="auto"/>
              </w:rPr>
            </w:pPr>
          </w:p>
        </w:tc>
      </w:tr>
      <w:tr>
        <w:trPr>
          <w:trHeight w:val="211"/>
        </w:trPr>
        <w:tc>
          <w:tcPr>
            <w:tcW w:w="8580" w:type="dxa"/>
            <w:vAlign w:val="bottom"/>
          </w:tcPr>
          <w:p>
            <w:pPr>
              <w:ind w:left="3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12,705,172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3,261,333</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Amortization of operating lease assets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4,257,515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492,000</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disposal of property and equipment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(239,096)</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Bad debt expense</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315,261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(424,000)</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5,073,742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5,844,800</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Decrease (increase) in fair value of investments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274,592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(593,522)</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Changes in value of liabilities related to put option and purchase of noncontrolling interests</w:t>
            </w:r>
          </w:p>
        </w:tc>
        <w:tc>
          <w:tcPr>
            <w:tcW w:w="12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(448,166)</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on contingent consideration payable and acquisition liabilities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546,009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273,777</w:t>
            </w:r>
          </w:p>
        </w:tc>
        <w:tc>
          <w:tcPr>
            <w:tcW w:w="0" w:type="dxa"/>
            <w:vAlign w:val="bottom"/>
          </w:tcPr>
          <w:p>
            <w:pPr>
              <w:spacing w:after="0"/>
              <w:rPr>
                <w:sz w:val="1"/>
                <w:szCs w:val="1"/>
                <w:color w:val="auto"/>
              </w:rPr>
            </w:pPr>
          </w:p>
        </w:tc>
      </w:tr>
      <w:tr>
        <w:trPr>
          <w:trHeight w:val="213"/>
        </w:trPr>
        <w:tc>
          <w:tcPr>
            <w:tcW w:w="8580" w:type="dxa"/>
            <w:vAlign w:val="bottom"/>
          </w:tcPr>
          <w:p>
            <w:pPr>
              <w:ind w:left="640"/>
              <w:spacing w:after="0"/>
              <w:rPr>
                <w:sz w:val="20"/>
                <w:szCs w:val="20"/>
                <w:color w:val="auto"/>
              </w:rPr>
            </w:pPr>
            <w:r>
              <w:rPr>
                <w:rFonts w:ascii="Arial" w:cs="Arial" w:eastAsia="Arial" w:hAnsi="Arial"/>
                <w:sz w:val="16"/>
                <w:szCs w:val="16"/>
                <w:color w:val="auto"/>
              </w:rPr>
              <w:t>Increase (decrease) in fair value of contingent consideration</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(170,990)</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Decrease in fair value of warrants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(7,382,843)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Decrease (increase) in fair value of note receivable</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810,337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(4,109,793)</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debt discount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1,585,322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489,020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700,025</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(4,135,787)</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(2,591,611)</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(3,561,809)</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264,534</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Deposits and other assets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1,963,074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216,503</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7,955,363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5,687,409</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264,226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(5,338,647)</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(3,086,451)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(284,336)</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color w:val="auto"/>
              </w:rPr>
              <w:t>Income tax payable</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13,573,000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2,006,443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27,048,097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(4,299,306)</w:t>
            </w:r>
          </w:p>
        </w:tc>
        <w:tc>
          <w:tcPr>
            <w:tcW w:w="0" w:type="dxa"/>
            <w:vAlign w:val="bottom"/>
          </w:tcPr>
          <w:p>
            <w:pPr>
              <w:spacing w:after="0"/>
              <w:rPr>
                <w:sz w:val="1"/>
                <w:szCs w:val="1"/>
                <w:color w:val="auto"/>
              </w:rPr>
            </w:pPr>
          </w:p>
        </w:tc>
      </w:tr>
      <w:tr>
        <w:trPr>
          <w:trHeight w:val="206"/>
        </w:trPr>
        <w:tc>
          <w:tcPr>
            <w:tcW w:w="8580" w:type="dxa"/>
            <w:vAlign w:val="bottom"/>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(13,246,608)</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(12,295,601)</w:t>
            </w:r>
          </w:p>
        </w:tc>
        <w:tc>
          <w:tcPr>
            <w:tcW w:w="0" w:type="dxa"/>
            <w:vAlign w:val="bottom"/>
          </w:tcPr>
          <w:p>
            <w:pPr>
              <w:spacing w:after="0"/>
              <w:rPr>
                <w:sz w:val="1"/>
                <w:szCs w:val="1"/>
                <w:color w:val="auto"/>
              </w:rPr>
            </w:pPr>
          </w:p>
        </w:tc>
      </w:tr>
      <w:tr>
        <w:trPr>
          <w:trHeight w:val="213"/>
        </w:trPr>
        <w:tc>
          <w:tcPr>
            <w:tcW w:w="8580" w:type="dxa"/>
            <w:vAlign w:val="bottom"/>
          </w:tcPr>
          <w:p>
            <w:pPr>
              <w:ind w:left="320"/>
              <w:spacing w:after="0"/>
              <w:rPr>
                <w:sz w:val="20"/>
                <w:szCs w:val="20"/>
                <w:color w:val="auto"/>
              </w:rPr>
            </w:pPr>
            <w:r>
              <w:rPr>
                <w:rFonts w:ascii="Arial" w:cs="Arial" w:eastAsia="Arial" w:hAnsi="Arial"/>
                <w:sz w:val="16"/>
                <w:szCs w:val="16"/>
                <w:color w:val="auto"/>
              </w:rPr>
              <w:t>Proceeds from disposal of assets</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11,799,025</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businesses, net of cash acquired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(12,941,549)</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(1,447,583)</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(25,237,150)</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Contributions from limited liability company unit holders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1,650,000</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Distributions to third parties and limited liability company unit holders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(736,660)</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(536,159)</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Principal repayment of notes payable</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(59,234)</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(481,490)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(745,894)</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632,351</w:t>
            </w:r>
          </w:p>
        </w:tc>
        <w:tc>
          <w:tcPr>
            <w:tcW w:w="0" w:type="dxa"/>
            <w:vAlign w:val="bottom"/>
          </w:tcPr>
          <w:p>
            <w:pPr>
              <w:spacing w:after="0"/>
              <w:rPr>
                <w:sz w:val="1"/>
                <w:szCs w:val="1"/>
                <w:color w:val="auto"/>
              </w:rPr>
            </w:pPr>
          </w:p>
        </w:tc>
      </w:tr>
      <w:tr>
        <w:trPr>
          <w:trHeight w:val="207"/>
        </w:trPr>
        <w:tc>
          <w:tcPr>
            <w:tcW w:w="85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24,854,620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(28,904,105)</w:t>
            </w:r>
          </w:p>
        </w:tc>
        <w:tc>
          <w:tcPr>
            <w:tcW w:w="0" w:type="dxa"/>
            <w:vAlign w:val="bottom"/>
          </w:tcPr>
          <w:p>
            <w:pPr>
              <w:spacing w:after="0"/>
              <w:rPr>
                <w:sz w:val="1"/>
                <w:szCs w:val="1"/>
                <w:color w:val="auto"/>
              </w:rPr>
            </w:pPr>
          </w:p>
        </w:tc>
      </w:tr>
      <w:tr>
        <w:trPr>
          <w:trHeight w:val="203"/>
        </w:trPr>
        <w:tc>
          <w:tcPr>
            <w:tcW w:w="8580" w:type="dxa"/>
            <w:vAlign w:val="bottom"/>
          </w:tcPr>
          <w:p>
            <w:pPr>
              <w:ind w:left="64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46,667,334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145,986,072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71,521,954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117,081,967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Interest paid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2,910,111</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NONCASH INVESTING AND FINANCING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8580" w:type="dxa"/>
            <w:vAlign w:val="bottom"/>
          </w:tcPr>
          <w:p>
            <w:pPr>
              <w:spacing w:after="0"/>
              <w:rPr>
                <w:sz w:val="20"/>
                <w:szCs w:val="20"/>
                <w:color w:val="auto"/>
              </w:rPr>
            </w:pPr>
            <w:r>
              <w:rPr>
                <w:rFonts w:ascii="Arial" w:cs="Arial" w:eastAsia="Arial" w:hAnsi="Arial"/>
                <w:sz w:val="16"/>
                <w:szCs w:val="16"/>
                <w:color w:val="auto"/>
              </w:rPr>
              <w:t>Accrued capital expenditures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6,966,907</w:t>
            </w:r>
          </w:p>
        </w:tc>
        <w:tc>
          <w:tcPr>
            <w:tcW w:w="2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Noncash increase in right of use asset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(33,742,287)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(22,233,609)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Noncash increase in lease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33,742,287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22,731,855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Net liability upon adoption of ASC 842, </w:t>
            </w:r>
            <w:r>
              <w:rPr>
                <w:rFonts w:ascii="Arial" w:cs="Arial" w:eastAsia="Arial" w:hAnsi="Arial"/>
                <w:sz w:val="16"/>
                <w:szCs w:val="16"/>
                <w:i w:val="1"/>
                <w:iCs w:val="1"/>
                <w:color w:val="auto"/>
              </w:rPr>
              <w:t>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(498,246)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Exercise of put option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4,200,382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acquisition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8,967,257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Deferred share issuances to prior owners of noncontrolling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8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400,143</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business combinations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(164,549,779)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Acquisitions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8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2,951,828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420,649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6,002,725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Right of use assets</w:t>
            </w: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565,336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Identifiable intangible assets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(2,865,992)</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158,664,327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Deposits and other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1,015,020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Liabilities assumed</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(302,604)</w:t>
            </w: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(3,352,704)</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Lease liabilities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(565,336)</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Contingent liabilities</w:t>
            </w: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(27,079,852)</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share issuances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(15,280,000)</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Equity interests issued</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503,389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(164,549,779)</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Conversion of note receivable previously issued</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(9,012,000)</w:t>
            </w:r>
          </w:p>
        </w:tc>
        <w:tc>
          <w:tcPr>
            <w:tcW w:w="0" w:type="dxa"/>
            <w:vAlign w:val="bottom"/>
          </w:tcPr>
          <w:p>
            <w:pPr>
              <w:spacing w:after="0"/>
              <w:rPr>
                <w:sz w:val="1"/>
                <w:szCs w:val="1"/>
                <w:color w:val="auto"/>
              </w:rPr>
            </w:pP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Acquisition liability</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(228,813)</w:t>
            </w: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(839,825)</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(22,620,000)</w:t>
            </w:r>
          </w:p>
        </w:tc>
        <w:tc>
          <w:tcPr>
            <w:tcW w:w="0" w:type="dxa"/>
            <w:vAlign w:val="bottom"/>
          </w:tcPr>
          <w:p>
            <w:pPr>
              <w:spacing w:after="0"/>
              <w:rPr>
                <w:sz w:val="1"/>
                <w:szCs w:val="1"/>
                <w:color w:val="auto"/>
              </w:rPr>
            </w:pPr>
          </w:p>
        </w:tc>
      </w:tr>
      <w:tr>
        <w:trPr>
          <w:trHeight w:val="207"/>
        </w:trPr>
        <w:tc>
          <w:tcPr>
            <w:tcW w:w="85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12,941,549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858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64,613,618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117,081,967</w:t>
            </w:r>
          </w:p>
        </w:tc>
        <w:tc>
          <w:tcPr>
            <w:tcW w:w="0" w:type="dxa"/>
            <w:vAlign w:val="bottom"/>
          </w:tcPr>
          <w:p>
            <w:pPr>
              <w:spacing w:after="0"/>
              <w:rPr>
                <w:sz w:val="1"/>
                <w:szCs w:val="1"/>
                <w:color w:val="auto"/>
              </w:rPr>
            </w:pPr>
          </w:p>
        </w:tc>
      </w:tr>
      <w:tr>
        <w:trPr>
          <w:trHeight w:val="205"/>
        </w:trPr>
        <w:tc>
          <w:tcPr>
            <w:tcW w:w="8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6,908,336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71,521,954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117,081,967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a Las Vegas, Nevada area chain of retail cannabis stores called Essence. As of March 31, 2020, Green Thumb has operating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412, Chicago, IL 60654.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accompanying unaudited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condensed consolidated interim financial statements include estimates and assumptions of management that affect the amounts reported in the unaudited condensed consolidated financial statements. Actual results could differ from these estimates.</w:t>
      </w:r>
    </w:p>
    <w:p>
      <w:pPr>
        <w:spacing w:after="0" w:line="16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results of operations for the three months ended March 31, 2020 are not necessarily indicative of the results to be expected for the entire year ending December 31,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changes to the Company’s significant accounting policies as described in Note 2 of the Company’s 2019 Form 10-K.</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 Loss per Share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periods presented. Contingently issuable shares (including shares held in escrow) are not considered outstanding common shares and consequently are not included in the loss per share calculations. Diluted loss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At March 31, 2020, the Company had 5,974,938 options outstanding, 1,477,898 restricted stock units and 2,387,470 warrants outstanding. At March 31, 2019, the Company had 2,411,192 options outstanding, 1,585,000 restricted stock units outstanding and no warrants outstanding.</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order to determine diluted loss per share, it is assumed that any proceeds from the exercise of dilutive stock options would be used to repurchase common shares at the average market price during the period. The diluted loss per share calculation excludes any potential conversion of stock options and convertible debt that would decrease loss per share. As a result, the Company’s calculation of basic loss per share and diluted loss per share include the same number of share equivalents for three months ended March 31, 2020 and 2019.</w:t>
      </w:r>
    </w:p>
    <w:p>
      <w:pPr>
        <w:spacing w:after="0" w:line="279" w:lineRule="exact"/>
        <w:rPr>
          <w:sz w:val="20"/>
          <w:szCs w:val="20"/>
          <w:color w:val="auto"/>
        </w:rPr>
      </w:pPr>
    </w:p>
    <w:p>
      <w:pPr>
        <w:ind w:left="800" w:hanging="244"/>
        <w:spacing w:after="0"/>
        <w:tabs>
          <w:tab w:leader="none" w:pos="800"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080" w:right="220" w:hanging="532"/>
        <w:spacing w:after="0" w:line="271" w:lineRule="auto"/>
        <w:tabs>
          <w:tab w:leader="none" w:pos="10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In June 2016, the Financial Accounting Standards Board (“FASB”) issued an Accounting Standards Update (“ASU”) No. 2016-13, </w:t>
      </w:r>
      <w:r>
        <w:rPr>
          <w:rFonts w:ascii="Arial" w:cs="Arial" w:eastAsia="Arial" w:hAnsi="Arial"/>
          <w:sz w:val="17"/>
          <w:szCs w:val="17"/>
          <w:i w:val="1"/>
          <w:iCs w:val="1"/>
          <w:color w:val="auto"/>
        </w:rPr>
        <w:t xml:space="preserve">Financial Instruments - Credit Losses (Topic 326) Measurement of Credit Losses on Financial Instruments </w:t>
      </w:r>
      <w:r>
        <w:rPr>
          <w:rFonts w:ascii="Arial" w:cs="Arial" w:eastAsia="Arial" w:hAnsi="Arial"/>
          <w:sz w:val="17"/>
          <w:szCs w:val="17"/>
          <w:color w:val="auto"/>
        </w:rPr>
        <w:t>(“ASU 2016-13”),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ASU 2016-13 on January 1, 2020. The adoption of the standard did not have a material impact on the Company’s unaudited interim condensed consolidated financial statements.</w:t>
      </w:r>
    </w:p>
    <w:p>
      <w:pPr>
        <w:spacing w:after="0" w:line="83" w:lineRule="exact"/>
        <w:rPr>
          <w:rFonts w:ascii="Arial" w:cs="Arial" w:eastAsia="Arial" w:hAnsi="Arial"/>
          <w:sz w:val="17"/>
          <w:szCs w:val="17"/>
          <w:color w:val="auto"/>
        </w:rPr>
      </w:pPr>
    </w:p>
    <w:p>
      <w:pPr>
        <w:ind w:left="1080" w:hanging="532"/>
        <w:spacing w:after="0" w:line="254"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January 2017, the FASB issued Accounting Standards Update No. 2017-04 “</w:t>
      </w:r>
      <w:r>
        <w:rPr>
          <w:rFonts w:ascii="Arial" w:cs="Arial" w:eastAsia="Arial" w:hAnsi="Arial"/>
          <w:sz w:val="18"/>
          <w:szCs w:val="18"/>
          <w:i w:val="1"/>
          <w:iCs w:val="1"/>
          <w:color w:val="auto"/>
        </w:rPr>
        <w:t>Intangibles— Goodwill and Other (Topic 350):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Test for Goodwill Impairment</w:t>
      </w:r>
      <w:r>
        <w:rPr>
          <w:rFonts w:ascii="Arial" w:cs="Arial" w:eastAsia="Arial" w:hAnsi="Arial"/>
          <w:sz w:val="18"/>
          <w:szCs w:val="18"/>
          <w:color w:val="auto"/>
        </w:rPr>
        <w:t>” (“ASU 2017-04”), which simplifies the accounting for goodwill impairment. ASU 2017-04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97" w:lineRule="exact"/>
        <w:rPr>
          <w:sz w:val="20"/>
          <w:szCs w:val="20"/>
          <w:color w:val="auto"/>
        </w:rPr>
      </w:pPr>
    </w:p>
    <w:p>
      <w:pPr>
        <w:ind w:left="1080" w:right="20" w:hanging="539"/>
        <w:spacing w:after="0" w:line="263"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iii)</w:t>
      </w:r>
      <w:r>
        <w:rPr>
          <w:rFonts w:ascii="Arial" w:cs="Arial" w:eastAsia="Arial" w:hAnsi="Arial"/>
          <w:sz w:val="18"/>
          <w:szCs w:val="18"/>
          <w:color w:val="auto"/>
        </w:rPr>
        <w:tab/>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(Topic 820)</w:t>
      </w:r>
      <w:r>
        <w:rPr>
          <w:rFonts w:ascii="Arial" w:cs="Arial" w:eastAsia="Arial" w:hAnsi="Arial"/>
          <w:sz w:val="18"/>
          <w:szCs w:val="18"/>
          <w:color w:val="auto"/>
        </w:rPr>
        <w:t>. ASU 2018-13 adds, modifies, and removes certain fair value measurement disclosure requirements. ASU 2018-13 is effective for annual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100" w:right="140"/>
        <w:spacing w:after="0" w:line="342" w:lineRule="auto"/>
        <w:rPr>
          <w:sz w:val="20"/>
          <w:szCs w:val="20"/>
          <w:color w:val="auto"/>
        </w:rPr>
      </w:pPr>
      <w:r>
        <w:rPr>
          <w:rFonts w:ascii="Arial" w:cs="Arial" w:eastAsia="Arial" w:hAnsi="Arial"/>
          <w:sz w:val="16"/>
          <w:szCs w:val="16"/>
          <w:color w:val="auto"/>
        </w:rPr>
        <w:t>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 Coronavirus Pandemic</w:t>
      </w:r>
    </w:p>
    <w:p>
      <w:pPr>
        <w:spacing w:after="0" w:line="11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14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our lease and non-lease contract expenses; and measurement of compensation cost for bonus and other compensation plans. The Company’s assessment of conditions and events, considered in the aggregate, indicate it will be able to meet its obligations as they become due within one year after the date of these financial statements. There continues to be a high level of uncertainty in estimating the expected economic and operational impacts relative to COVID-19 as it is an evolving situation. The estimates and assumptions used in the first quarter 2020 financial statements may change in future periods as the expected impacts from COVID-19 are revised, resulting in further potential impacts to the Company’s financial statements.</w:t>
      </w:r>
    </w:p>
    <w:p>
      <w:pPr>
        <w:spacing w:after="0" w:line="272" w:lineRule="exact"/>
        <w:rPr>
          <w:sz w:val="20"/>
          <w:szCs w:val="20"/>
          <w:color w:val="auto"/>
        </w:rPr>
      </w:pPr>
    </w:p>
    <w:p>
      <w:pPr>
        <w:ind w:left="480" w:hanging="364"/>
        <w:spacing w:after="0"/>
        <w:tabs>
          <w:tab w:leader="none" w:pos="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March 31, 2020 and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1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5,550,391</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4,887,970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22,945,070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20,162,723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Finished Goods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19,654,279</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16,640,629</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(1,637,548)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(2,031,873)</w:t>
            </w: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50,170,268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1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2740" w:type="dxa"/>
            <w:vAlign w:val="bottom"/>
            <w:gridSpan w:val="2"/>
          </w:tcPr>
          <w:p>
            <w:pPr>
              <w:jc w:val="right"/>
              <w:ind w:right="1430"/>
              <w:spacing w:after="0"/>
              <w:rPr>
                <w:sz w:val="20"/>
                <w:szCs w:val="20"/>
                <w:color w:val="auto"/>
              </w:rPr>
            </w:pPr>
            <w:r>
              <w:rPr>
                <w:rFonts w:ascii="Arial" w:cs="Arial" w:eastAsia="Arial" w:hAnsi="Arial"/>
                <w:sz w:val="18"/>
                <w:szCs w:val="18"/>
                <w:color w:val="auto"/>
              </w:rPr>
              <w:t>F-10</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480" w:hanging="364"/>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2020, property and equipment consisted of the following:</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Computer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Production</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0"/>
              </w:rPr>
              <w:t>Equipment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2"/>
              </w:rPr>
              <w:t>and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81"/>
              </w:rPr>
              <w:t>Assets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w w:val="92"/>
              </w:rPr>
              <w:t>Buildings and</w:t>
            </w:r>
          </w:p>
        </w:tc>
        <w:tc>
          <w:tcPr>
            <w:tcW w:w="10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8"/>
              </w:rPr>
              <w:t>Furniture</w:t>
            </w:r>
          </w:p>
        </w:tc>
        <w:tc>
          <w:tcPr>
            <w:tcW w:w="8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2"/>
              </w:rPr>
              <w:t>and</w:t>
            </w:r>
          </w:p>
        </w:tc>
        <w:tc>
          <w:tcPr>
            <w:tcW w:w="100" w:type="dxa"/>
            <w:vAlign w:val="bottom"/>
          </w:tcPr>
          <w:p>
            <w:pPr>
              <w:spacing w:after="0"/>
              <w:rPr>
                <w:sz w:val="11"/>
                <w:szCs w:val="11"/>
                <w:color w:val="auto"/>
              </w:rPr>
            </w:pP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89"/>
              </w:rPr>
              <w:t>Leasehold</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3"/>
              </w:rPr>
              <w:t>Processing</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7"/>
              </w:rPr>
              <w:t>Capitalized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0"/>
              </w:rPr>
              <w:t>Under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Land</w:t>
            </w:r>
          </w:p>
        </w:tc>
        <w:tc>
          <w:tcPr>
            <w:tcW w:w="80" w:type="dxa"/>
            <w:vAlign w:val="bottom"/>
          </w:tcPr>
          <w:p>
            <w:pPr>
              <w:spacing w:after="0"/>
              <w:rPr>
                <w:sz w:val="12"/>
                <w:szCs w:val="1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3"/>
                <w:szCs w:val="13"/>
                <w:color w:val="auto"/>
                <w:w w:val="87"/>
              </w:rPr>
              <w:t>Improvements</w:t>
            </w:r>
          </w:p>
        </w:tc>
        <w:tc>
          <w:tcPr>
            <w:tcW w:w="860" w:type="dxa"/>
            <w:vAlign w:val="bottom"/>
            <w:gridSpan w:val="3"/>
          </w:tcPr>
          <w:p>
            <w:pPr>
              <w:jc w:val="center"/>
              <w:ind w:right="160"/>
              <w:spacing w:after="0"/>
              <w:rPr>
                <w:sz w:val="20"/>
                <w:szCs w:val="20"/>
                <w:color w:val="auto"/>
              </w:rPr>
            </w:pPr>
            <w:r>
              <w:rPr>
                <w:rFonts w:ascii="Arial" w:cs="Arial" w:eastAsia="Arial" w:hAnsi="Arial"/>
                <w:sz w:val="13"/>
                <w:szCs w:val="13"/>
                <w:color w:val="auto"/>
                <w:w w:val="86"/>
              </w:rPr>
              <w:t>and Fixtures</w:t>
            </w:r>
          </w:p>
        </w:tc>
        <w:tc>
          <w:tcPr>
            <w:tcW w:w="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5"/>
              </w:rPr>
              <w:t>Software</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w w:val="89"/>
              </w:rPr>
              <w:t>Improvements</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Equipment</w:t>
            </w:r>
          </w:p>
        </w:tc>
        <w:tc>
          <w:tcPr>
            <w:tcW w:w="80" w:type="dxa"/>
            <w:vAlign w:val="bottom"/>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Interest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color w:val="auto"/>
                <w:w w:val="87"/>
              </w:rPr>
              <w:t>Construction</w:t>
            </w:r>
          </w:p>
        </w:tc>
        <w:tc>
          <w:tcPr>
            <w:tcW w:w="1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15"/>
        </w:trPr>
        <w:tc>
          <w:tcPr>
            <w:tcW w:w="260" w:type="dxa"/>
            <w:vAlign w:val="bottom"/>
            <w:tcBorders>
              <w:top w:val="single" w:sz="8" w:color="CCEEFF"/>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89"/>
              </w:rPr>
              <w:t>Cost</w:t>
            </w:r>
          </w:p>
        </w:tc>
        <w:tc>
          <w:tcPr>
            <w:tcW w:w="172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80" w:type="dxa"/>
            <w:vAlign w:val="bottom"/>
            <w:gridSpan w:val="4"/>
          </w:tcPr>
          <w:p>
            <w:pPr>
              <w:spacing w:after="0" w:line="142" w:lineRule="exact"/>
              <w:rPr>
                <w:sz w:val="20"/>
                <w:szCs w:val="20"/>
                <w:color w:val="auto"/>
              </w:rPr>
            </w:pPr>
            <w:r>
              <w:rPr>
                <w:rFonts w:ascii="Arial" w:cs="Arial" w:eastAsia="Arial" w:hAnsi="Arial"/>
                <w:sz w:val="14"/>
                <w:szCs w:val="14"/>
                <w:color w:val="auto"/>
              </w:rPr>
              <w:t>As at January 1, 2020</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3"/>
              </w:rPr>
              <w:t>3,272,439</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4"/>
              </w:rPr>
              <w:t>33,377,471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2,509,918</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7,073,807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68,681,497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6"/>
              </w:rPr>
              <w:t>25,926,146</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2,500,000</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21,372,116</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164,713,394</w:t>
            </w:r>
          </w:p>
        </w:tc>
        <w:tc>
          <w:tcPr>
            <w:tcW w:w="0" w:type="dxa"/>
            <w:vAlign w:val="bottom"/>
          </w:tcPr>
          <w:p>
            <w:pPr>
              <w:spacing w:after="0"/>
              <w:rPr>
                <w:sz w:val="1"/>
                <w:szCs w:val="1"/>
                <w:color w:val="auto"/>
              </w:rPr>
            </w:pPr>
          </w:p>
        </w:tc>
      </w:tr>
      <w:tr>
        <w:trPr>
          <w:trHeight w:val="149"/>
        </w:trPr>
        <w:tc>
          <w:tcPr>
            <w:tcW w:w="1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21,800,000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674,000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1,852,000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(5,887,000)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(18,439,000)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80" w:type="dxa"/>
            <w:vAlign w:val="bottom"/>
            <w:gridSpan w:val="4"/>
          </w:tcPr>
          <w:p>
            <w:pPr>
              <w:spacing w:after="0" w:line="149" w:lineRule="exact"/>
              <w:rPr>
                <w:sz w:val="20"/>
                <w:szCs w:val="20"/>
                <w:color w:val="auto"/>
              </w:rPr>
            </w:pPr>
            <w:r>
              <w:rPr>
                <w:rFonts w:ascii="Arial" w:cs="Arial" w:eastAsia="Arial" w:hAnsi="Arial"/>
                <w:sz w:val="14"/>
                <w:szCs w:val="14"/>
                <w:color w:val="auto"/>
              </w:rPr>
              <w:t>Additions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38,549</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356,935</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68,229</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934,802</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382,276</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242,976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18,304,708</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20,328,475</w:t>
            </w:r>
          </w:p>
        </w:tc>
        <w:tc>
          <w:tcPr>
            <w:tcW w:w="0" w:type="dxa"/>
            <w:vAlign w:val="bottom"/>
          </w:tcPr>
          <w:p>
            <w:pPr>
              <w:spacing w:after="0"/>
              <w:rPr>
                <w:sz w:val="1"/>
                <w:szCs w:val="1"/>
                <w:color w:val="auto"/>
              </w:rPr>
            </w:pPr>
          </w:p>
        </w:tc>
      </w:tr>
      <w:tr>
        <w:trPr>
          <w:trHeight w:val="148"/>
        </w:trPr>
        <w:tc>
          <w:tcPr>
            <w:tcW w:w="1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(5,337,930)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(6,508,636)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(12,051,566)</w:t>
            </w:r>
          </w:p>
        </w:tc>
        <w:tc>
          <w:tcPr>
            <w:tcW w:w="0" w:type="dxa"/>
            <w:vAlign w:val="bottom"/>
          </w:tcPr>
          <w:p>
            <w:pPr>
              <w:spacing w:after="0"/>
              <w:rPr>
                <w:sz w:val="1"/>
                <w:szCs w:val="1"/>
                <w:color w:val="auto"/>
              </w:rPr>
            </w:pPr>
          </w:p>
        </w:tc>
      </w:tr>
      <w:tr>
        <w:trPr>
          <w:trHeight w:val="156"/>
        </w:trPr>
        <w:tc>
          <w:tcPr>
            <w:tcW w:w="1980" w:type="dxa"/>
            <w:vAlign w:val="bottom"/>
            <w:gridSpan w:val="4"/>
          </w:tcPr>
          <w:p>
            <w:pPr>
              <w:spacing w:after="0" w:line="155" w:lineRule="exact"/>
              <w:rPr>
                <w:sz w:val="20"/>
                <w:szCs w:val="20"/>
                <w:color w:val="auto"/>
              </w:rPr>
            </w:pPr>
            <w:r>
              <w:rPr>
                <w:rFonts w:ascii="Arial" w:cs="Arial" w:eastAsia="Arial" w:hAnsi="Arial"/>
                <w:sz w:val="14"/>
                <w:szCs w:val="14"/>
                <w:color w:val="auto"/>
              </w:rPr>
              <w:t>As at March 31, 2020</w:t>
            </w: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3,067,439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49,878,090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3,540,853</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7,142,036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71,468,299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20,421,422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2,742,976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14,729,188</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172,990,303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2020</w:t>
            </w:r>
          </w:p>
        </w:tc>
        <w:tc>
          <w:tcPr>
            <w:tcW w:w="4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2,236,254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617,016</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w w:val="99"/>
              </w:rPr>
              <w:t>1,558,180</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2,998,287</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1,706,982</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148"/>
        </w:trPr>
        <w:tc>
          <w:tcPr>
            <w:tcW w:w="1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522,976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240,421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316,061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1,507,456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1,111,192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88,899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3,787,005</w:t>
            </w:r>
          </w:p>
        </w:tc>
        <w:tc>
          <w:tcPr>
            <w:tcW w:w="0" w:type="dxa"/>
            <w:vAlign w:val="bottom"/>
          </w:tcPr>
          <w:p>
            <w:pPr>
              <w:spacing w:after="0"/>
              <w:rPr>
                <w:sz w:val="1"/>
                <w:szCs w:val="1"/>
                <w:color w:val="auto"/>
              </w:rPr>
            </w:pPr>
          </w:p>
        </w:tc>
      </w:tr>
      <w:tr>
        <w:trPr>
          <w:trHeight w:val="148"/>
        </w:trPr>
        <w:tc>
          <w:tcPr>
            <w:tcW w:w="198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(376,677)</w:t>
            </w:r>
          </w:p>
        </w:tc>
        <w:tc>
          <w:tcPr>
            <w:tcW w:w="10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(376,677)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March 31, 2020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2,382,553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857,437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1,874,241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4,505,743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2,818,174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88,899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12,527,047</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1100" w:type="dxa"/>
            <w:vAlign w:val="bottom"/>
            <w:gridSpan w:val="2"/>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2020</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3"/>
              </w:rPr>
              <w:t>3,272,439</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4"/>
              </w:rPr>
              <w:t>31,141,217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1,892,902</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5,515,627</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65,683,210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24,219,164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2,500,000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21,372,116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155,596,675</w:t>
            </w:r>
          </w:p>
        </w:tc>
        <w:tc>
          <w:tcPr>
            <w:tcW w:w="0" w:type="dxa"/>
            <w:vAlign w:val="bottom"/>
          </w:tcPr>
          <w:p>
            <w:pPr>
              <w:spacing w:after="0"/>
              <w:rPr>
                <w:sz w:val="1"/>
                <w:szCs w:val="1"/>
                <w:color w:val="auto"/>
              </w:rPr>
            </w:pPr>
          </w:p>
        </w:tc>
      </w:tr>
      <w:tr>
        <w:trPr>
          <w:trHeight w:val="182"/>
        </w:trPr>
        <w:tc>
          <w:tcPr>
            <w:tcW w:w="1980" w:type="dxa"/>
            <w:vAlign w:val="bottom"/>
            <w:gridSpan w:val="4"/>
          </w:tcPr>
          <w:p>
            <w:pPr>
              <w:spacing w:after="0"/>
              <w:rPr>
                <w:sz w:val="20"/>
                <w:szCs w:val="20"/>
                <w:color w:val="auto"/>
              </w:rPr>
            </w:pPr>
            <w:r>
              <w:rPr>
                <w:rFonts w:ascii="Arial" w:cs="Arial" w:eastAsia="Arial" w:hAnsi="Arial"/>
                <w:sz w:val="14"/>
                <w:szCs w:val="14"/>
                <w:color w:val="auto"/>
              </w:rPr>
              <w:t>As at March 31, 2020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3,067,439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47,495,537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2,683,416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5,267,795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66,962,556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17,603,248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2,654,077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14,729,188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160,463,256</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86"/>
              </w:rPr>
              <w:t>Production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Computer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2"/>
              </w:rPr>
              <w:t>and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1"/>
              </w:rPr>
              <w:t>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w w:val="94"/>
              </w:rPr>
              <w:t>Buildings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Furniture</w:t>
            </w: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0"/>
              </w:rPr>
              <w:t>Equipment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9"/>
              </w:rPr>
              <w:t>Leasehold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3"/>
              </w:rPr>
              <w:t>Processing</w:t>
            </w: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3"/>
              </w:rPr>
              <w:t>Capitalized</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0"/>
              </w:rPr>
              <w:t>Under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Land</w:t>
            </w:r>
          </w:p>
        </w:tc>
        <w:tc>
          <w:tcPr>
            <w:tcW w:w="960" w:type="dxa"/>
            <w:vAlign w:val="bottom"/>
            <w:gridSpan w:val="3"/>
          </w:tcPr>
          <w:p>
            <w:pPr>
              <w:jc w:val="right"/>
              <w:ind w:right="180"/>
              <w:spacing w:after="0"/>
              <w:rPr>
                <w:sz w:val="20"/>
                <w:szCs w:val="20"/>
                <w:color w:val="auto"/>
              </w:rPr>
            </w:pPr>
            <w:r>
              <w:rPr>
                <w:rFonts w:ascii="Arial" w:cs="Arial" w:eastAsia="Arial" w:hAnsi="Arial"/>
                <w:sz w:val="13"/>
                <w:szCs w:val="13"/>
                <w:color w:val="auto"/>
                <w:w w:val="92"/>
              </w:rPr>
              <w:t>Improvements</w:t>
            </w:r>
          </w:p>
        </w:tc>
        <w:tc>
          <w:tcPr>
            <w:tcW w:w="80" w:type="dxa"/>
            <w:vAlign w:val="bottom"/>
          </w:tcPr>
          <w:p>
            <w:pPr>
              <w:spacing w:after="0"/>
              <w:rPr>
                <w:sz w:val="12"/>
                <w:szCs w:val="12"/>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3"/>
                <w:szCs w:val="13"/>
                <w:color w:val="auto"/>
                <w:w w:val="89"/>
              </w:rPr>
              <w:t>and Fixtures</w:t>
            </w:r>
          </w:p>
        </w:tc>
        <w:tc>
          <w:tcPr>
            <w:tcW w:w="860" w:type="dxa"/>
            <w:vAlign w:val="bottom"/>
            <w:gridSpan w:val="3"/>
          </w:tcPr>
          <w:p>
            <w:pPr>
              <w:jc w:val="center"/>
              <w:ind w:right="140"/>
              <w:spacing w:after="0"/>
              <w:rPr>
                <w:sz w:val="20"/>
                <w:szCs w:val="20"/>
                <w:color w:val="auto"/>
              </w:rPr>
            </w:pPr>
            <w:r>
              <w:rPr>
                <w:rFonts w:ascii="Arial" w:cs="Arial" w:eastAsia="Arial" w:hAnsi="Arial"/>
                <w:sz w:val="13"/>
                <w:szCs w:val="13"/>
                <w:color w:val="auto"/>
                <w:w w:val="88"/>
              </w:rPr>
              <w:t>and Software</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w w:val="89"/>
              </w:rPr>
              <w:t>Improvements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86"/>
              </w:rPr>
              <w:t>Equipment</w:t>
            </w:r>
          </w:p>
        </w:tc>
        <w:tc>
          <w:tcPr>
            <w:tcW w:w="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Interest</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Construction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15"/>
        </w:trPr>
        <w:tc>
          <w:tcPr>
            <w:tcW w:w="260" w:type="dxa"/>
            <w:vAlign w:val="bottom"/>
            <w:tcBorders>
              <w:top w:val="single" w:sz="8" w:color="CCEEFF"/>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89"/>
              </w:rPr>
              <w:t>Cost</w:t>
            </w:r>
          </w:p>
        </w:tc>
        <w:tc>
          <w:tcPr>
            <w:tcW w:w="174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00" w:type="dxa"/>
            <w:vAlign w:val="bottom"/>
            <w:gridSpan w:val="4"/>
          </w:tcPr>
          <w:p>
            <w:pPr>
              <w:spacing w:after="0" w:line="142" w:lineRule="exact"/>
              <w:rPr>
                <w:sz w:val="20"/>
                <w:szCs w:val="20"/>
                <w:color w:val="auto"/>
              </w:rPr>
            </w:pPr>
            <w:r>
              <w:rPr>
                <w:rFonts w:ascii="Arial" w:cs="Arial" w:eastAsia="Arial" w:hAnsi="Arial"/>
                <w:sz w:val="14"/>
                <w:szCs w:val="14"/>
                <w:color w:val="auto"/>
              </w:rPr>
              <w:t>As at January 1, 2019</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9"/>
              </w:rPr>
              <w:t>2,243,085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20,861,988</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2,328,847</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2,093,205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4"/>
              </w:rPr>
              <w:t>18,435,893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6,579,446</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16,664,958</w:t>
            </w:r>
          </w:p>
        </w:tc>
        <w:tc>
          <w:tcPr>
            <w:tcW w:w="20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69,207,422</w:t>
            </w:r>
          </w:p>
        </w:tc>
        <w:tc>
          <w:tcPr>
            <w:tcW w:w="0" w:type="dxa"/>
            <w:vAlign w:val="bottom"/>
          </w:tcPr>
          <w:p>
            <w:pPr>
              <w:spacing w:after="0"/>
              <w:rPr>
                <w:sz w:val="1"/>
                <w:szCs w:val="1"/>
                <w:color w:val="auto"/>
              </w:rPr>
            </w:pPr>
          </w:p>
        </w:tc>
      </w:tr>
      <w:tr>
        <w:trPr>
          <w:trHeight w:val="148"/>
        </w:trPr>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892,056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9,400,171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40,167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143,882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13,981,780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4,075,642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(28,533,698)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Additions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3,500,974</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18,817,329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34,669</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4,667,127</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24,020,898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14,147,722</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2,500,000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33,211,782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100,900,501</w:t>
            </w:r>
          </w:p>
        </w:tc>
        <w:tc>
          <w:tcPr>
            <w:tcW w:w="0" w:type="dxa"/>
            <w:vAlign w:val="bottom"/>
          </w:tcPr>
          <w:p>
            <w:pPr>
              <w:spacing w:after="0"/>
              <w:rPr>
                <w:sz w:val="1"/>
                <w:szCs w:val="1"/>
                <w:color w:val="auto"/>
              </w:rPr>
            </w:pPr>
          </w:p>
        </w:tc>
      </w:tr>
      <w:tr>
        <w:trPr>
          <w:trHeight w:val="149"/>
        </w:trPr>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 from acquisitions</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106,235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169,593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12,242,926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3,977,534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16,525,362</w:t>
            </w:r>
          </w:p>
        </w:tc>
        <w:tc>
          <w:tcPr>
            <w:tcW w:w="0" w:type="dxa"/>
            <w:vAlign w:val="bottom"/>
          </w:tcPr>
          <w:p>
            <w:pPr>
              <w:spacing w:after="0"/>
              <w:rPr>
                <w:sz w:val="1"/>
                <w:szCs w:val="1"/>
                <w:color w:val="auto"/>
              </w:rPr>
            </w:pPr>
          </w:p>
        </w:tc>
      </w:tr>
      <w:tr>
        <w:trPr>
          <w:trHeight w:val="148"/>
        </w:trPr>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(3,363,676)</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(15,702,017)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(2,854,198)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(21,919,891)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3,272,439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33,377,471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2,509,918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7,073,807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68,681,497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25,926,146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2,500,000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21,372,116</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164,713,394</w:t>
            </w:r>
          </w:p>
        </w:tc>
        <w:tc>
          <w:tcPr>
            <w:tcW w:w="0" w:type="dxa"/>
            <w:vAlign w:val="bottom"/>
          </w:tcPr>
          <w:p>
            <w:pPr>
              <w:spacing w:after="0"/>
              <w:rPr>
                <w:sz w:val="1"/>
                <w:szCs w:val="1"/>
                <w:color w:val="auto"/>
              </w:rPr>
            </w:pPr>
          </w:p>
        </w:tc>
      </w:tr>
      <w:tr>
        <w:trPr>
          <w:trHeight w:val="20"/>
        </w:trPr>
        <w:tc>
          <w:tcPr>
            <w:tcW w:w="2000" w:type="dxa"/>
            <w:vAlign w:val="bottom"/>
            <w:gridSpan w:val="4"/>
            <w:vMerge w:val="restart"/>
          </w:tcPr>
          <w:p>
            <w:pPr>
              <w:spacing w:after="0"/>
              <w:rPr>
                <w:sz w:val="20"/>
                <w:szCs w:val="20"/>
                <w:color w:val="auto"/>
              </w:rPr>
            </w:pPr>
            <w:r>
              <w:rPr>
                <w:rFonts w:ascii="Arial" w:cs="Arial" w:eastAsia="Arial" w:hAnsi="Arial"/>
                <w:sz w:val="14"/>
                <w:szCs w:val="14"/>
                <w:color w:val="auto"/>
              </w:rPr>
              <w:t>Accumulated Depreciation</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As at January 1, 2019</w:t>
            </w:r>
          </w:p>
        </w:tc>
        <w:tc>
          <w:tcPr>
            <w:tcW w:w="4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1,351,230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489,956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249,423</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1,007,998</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784,735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148"/>
        </w:trPr>
        <w:tc>
          <w:tcPr>
            <w:tcW w:w="2000" w:type="dxa"/>
            <w:vAlign w:val="bottom"/>
            <w:gridSpan w:val="4"/>
          </w:tcPr>
          <w:p>
            <w:pPr>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1,866,400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127,060</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1,308,757</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1,990,289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1,535,205</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6,827,711</w:t>
            </w:r>
          </w:p>
        </w:tc>
        <w:tc>
          <w:tcPr>
            <w:tcW w:w="0" w:type="dxa"/>
            <w:vAlign w:val="bottom"/>
          </w:tcPr>
          <w:p>
            <w:pPr>
              <w:spacing w:after="0"/>
              <w:rPr>
                <w:sz w:val="1"/>
                <w:szCs w:val="1"/>
                <w:color w:val="auto"/>
              </w:rPr>
            </w:pPr>
          </w:p>
        </w:tc>
      </w:tr>
      <w:tr>
        <w:trPr>
          <w:trHeight w:val="148"/>
        </w:trPr>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(981,376)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(612,958)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(1,594,334)</w:t>
            </w:r>
          </w:p>
        </w:tc>
        <w:tc>
          <w:tcPr>
            <w:tcW w:w="0" w:type="dxa"/>
            <w:vAlign w:val="bottom"/>
          </w:tcPr>
          <w:p>
            <w:pPr>
              <w:spacing w:after="0"/>
              <w:rPr>
                <w:sz w:val="1"/>
                <w:szCs w:val="1"/>
                <w:color w:val="auto"/>
              </w:rPr>
            </w:pPr>
          </w:p>
        </w:tc>
      </w:tr>
      <w:tr>
        <w:trPr>
          <w:trHeight w:val="155"/>
        </w:trPr>
        <w:tc>
          <w:tcPr>
            <w:tcW w:w="200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2019</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2,236,254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617,016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1,558,180</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2,998,287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1,706,982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9,116,719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w w:val="92"/>
              </w:rPr>
              <w:t>Net book value</w:t>
            </w:r>
          </w:p>
        </w:tc>
        <w:tc>
          <w:tcPr>
            <w:tcW w:w="1120" w:type="dxa"/>
            <w:vAlign w:val="bottom"/>
            <w:tcBorders>
              <w:bottom w:val="single" w:sz="8" w:color="CCEEFF"/>
            </w:tcBorders>
            <w:gridSpan w:val="2"/>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gridSpan w:val="4"/>
          </w:tcPr>
          <w:p>
            <w:pPr>
              <w:spacing w:after="0" w:line="142" w:lineRule="exact"/>
              <w:rPr>
                <w:sz w:val="20"/>
                <w:szCs w:val="20"/>
                <w:color w:val="auto"/>
              </w:rPr>
            </w:pPr>
            <w:r>
              <w:rPr>
                <w:rFonts w:ascii="Arial" w:cs="Arial" w:eastAsia="Arial" w:hAnsi="Arial"/>
                <w:sz w:val="14"/>
                <w:szCs w:val="14"/>
                <w:color w:val="auto"/>
              </w:rPr>
              <w:t>As at January 1, 2019</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9"/>
              </w:rPr>
              <w:t>2,243,085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19,510,758</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1,838,891</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1,843,782</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4"/>
              </w:rPr>
              <w:t>17,427,895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5,794,711</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16,664,958</w:t>
            </w:r>
          </w:p>
        </w:tc>
        <w:tc>
          <w:tcPr>
            <w:tcW w:w="20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65,324,080</w:t>
            </w:r>
          </w:p>
        </w:tc>
        <w:tc>
          <w:tcPr>
            <w:tcW w:w="0" w:type="dxa"/>
            <w:vAlign w:val="bottom"/>
          </w:tcPr>
          <w:p>
            <w:pPr>
              <w:spacing w:after="0"/>
              <w:rPr>
                <w:sz w:val="1"/>
                <w:szCs w:val="1"/>
                <w:color w:val="auto"/>
              </w:rPr>
            </w:pPr>
          </w:p>
        </w:tc>
      </w:tr>
      <w:tr>
        <w:trPr>
          <w:trHeight w:val="148"/>
        </w:trPr>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3,272,439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31,141,217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1,892,902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5,515,627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65,683,210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24,219,164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2,500,000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21,372,116</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155,596,675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Depreciation expense for the three months ended March 31, 2020 and 2019 totaled $3,787,005 and $1,051,327, respectively, of which $2,677,727 and $649,097, respectively, is included in cost of goods sold.</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On January 31, 2020, the Company closed on a sale and lease back transaction to sell its Toledo, Ohio cultivation and processing facility to Innovative Industrial Properties (IIP). Under the long-term agreement, the Company has leased back the facility and continues to operate and manage it. As a result of the sale, the Company disposed of $205,000 of land and $2,695,000 of construction in progress. There was no gain or loss on the sale.</w:t>
      </w:r>
    </w:p>
    <w:p>
      <w:pPr>
        <w:spacing w:after="0" w:line="14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On March 6, 2020, the Company closed on a sale and lease back transaction to sell its Oglesby, Illinois cultivation and processing facility to IIP. Under the long-term agreement, the Company has leased back the facility and continues to operate and manage it. As a result of the sale, the Company disposed of $4,961,253 of buildings and $3,813,636 of construction in progress. The Company recognized a gain on the sale of Oglesby facility $239,096 which was recorded within other income (expense) on the condensed consolidated interim statement of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these transactions, see Note 5 - Leases.</w:t>
      </w:r>
    </w:p>
    <w:p>
      <w:pPr>
        <w:spacing w:after="0" w:line="329" w:lineRule="exact"/>
        <w:rPr>
          <w:sz w:val="20"/>
          <w:szCs w:val="20"/>
          <w:color w:val="auto"/>
        </w:rPr>
      </w:pPr>
    </w:p>
    <w:p>
      <w:pPr>
        <w:ind w:left="480" w:hanging="364"/>
        <w:spacing w:after="0"/>
        <w:tabs>
          <w:tab w:leader="none" w:pos="4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 estimated useful life of each intangible. The estimated useful lives, residual values, and amortization methods are reviewed at each year end, and any changes in estimates are accounted for prospectively.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2020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Licenses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2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and Permits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Names</w:t>
            </w: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Agreements</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336,954,213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97,455,590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25,258,000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2,585,480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462,253,283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March 31,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336,954,213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18,477,500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4,121,800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3,932,416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474,669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27,006,385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6,166,204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1,679,259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131,585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8,918,167</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March 31,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24,643,704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5,801,059</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606,254</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35,924,552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318,476,713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93,333,790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21,325,584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2,110,811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435,246,898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312,310,509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91,654,531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20,384,465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1,979,226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426,328,731</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120" w:right="6180" w:hanging="4"/>
        <w:spacing w:after="0" w:line="552" w:lineRule="auto"/>
        <w:tabs>
          <w:tab w:leader="none" w:pos="48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AND GOODWILL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At December 31, 2019 intangible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Licenses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2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and Permits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Names</w:t>
            </w: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Agreements</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89,705,213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247,249,000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97,095,590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24,438,000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371,347,590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336,954,213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2,322,715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204,500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16,154,785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4,121,800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3,727,916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87,382,498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615,500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318,476,713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93,333,790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21,325,584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recorded amortization expense for the three months ended March 31, 2020 and 2019 of $8,918,167 and $2,210,006,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March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0" w:type="dxa"/>
            <w:vAlign w:val="bottom"/>
            <w:vMerge w:val="restart"/>
          </w:tcPr>
          <w:p>
            <w:pPr>
              <w:spacing w:after="0"/>
              <w:rPr>
                <w:sz w:val="14"/>
                <w:szCs w:val="14"/>
                <w:color w:val="auto"/>
              </w:rPr>
            </w:pP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14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9"/>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24,995,106</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0"/>
              </w:rPr>
              <w:t>33,151,991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32,721,251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0"/>
              </w:rPr>
              <w:t>32,638,437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32,057,103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270,764,843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426,328,731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Goodwill</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2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4"/>
          </w:tcPr>
          <w:p>
            <w:pPr>
              <w:spacing w:after="0"/>
              <w:rPr>
                <w:sz w:val="20"/>
                <w:szCs w:val="20"/>
                <w:color w:val="auto"/>
              </w:rPr>
            </w:pPr>
            <w:r>
              <w:rPr>
                <w:rFonts w:ascii="Arial" w:cs="Arial" w:eastAsia="Arial" w:hAnsi="Arial"/>
                <w:sz w:val="18"/>
                <w:szCs w:val="18"/>
                <w:color w:val="auto"/>
              </w:rPr>
              <w:t>At March 31, 2020, Goodwill consisted of the following:</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Consumer</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Packaged Goods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119,873,759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255,211,232</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375,084,991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(115,992)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410"/>
              <w:spacing w:after="0"/>
              <w:rPr>
                <w:sz w:val="20"/>
                <w:szCs w:val="20"/>
                <w:color w:val="auto"/>
              </w:rPr>
            </w:pPr>
            <w:r>
              <w:rPr>
                <w:rFonts w:ascii="Arial" w:cs="Arial" w:eastAsia="Arial" w:hAnsi="Arial"/>
                <w:sz w:val="18"/>
                <w:szCs w:val="18"/>
                <w:color w:val="auto"/>
              </w:rPr>
              <w:t>(2,750,000)</w:t>
            </w:r>
          </w:p>
        </w:tc>
        <w:tc>
          <w:tcPr>
            <w:tcW w:w="1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(2,865,992)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 at March 31,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119,757,767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252,461,232</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372,218,999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F-13</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120" w:right="6240" w:hanging="4"/>
        <w:spacing w:after="0" w:line="552" w:lineRule="auto"/>
        <w:tabs>
          <w:tab w:leader="none" w:pos="48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AND GOODWILL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At December 31, 2019, Goodwill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Retail</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Consumer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Packaged Goods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39,204,360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16,756,250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44,572,349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61,328,599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46,655,753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69,323,570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115,979,323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32,936,590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120,963,598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153,900,188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8,238,808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(3,566,285)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255,211,232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375,084,991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5.</w:t>
        <w:tab/>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Operating Leases Under Accounting Standards Update No. 2016-02</w:t>
      </w:r>
    </w:p>
    <w:p>
      <w:pPr>
        <w:spacing w:after="0" w:line="12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84"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For additional information regarding the adoption of Account Standards Updated No. 2016-02, “Leases (Topic 842)” see Note 9 – Leases in the 2019 Form 10-K</w:t>
      </w:r>
      <w:r>
        <w:rPr>
          <w:rFonts w:ascii="Arial" w:cs="Arial" w:eastAsia="Arial" w:hAnsi="Arial"/>
          <w:sz w:val="18"/>
          <w:szCs w:val="18"/>
          <w:b w:val="1"/>
          <w:bCs w:val="1"/>
          <w:color w:val="auto"/>
        </w:rPr>
        <w: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information related to operating leases as of and for the three months ending March 31, 2020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3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March 31, 2020</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3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12.56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26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350"/>
        </w:trPr>
        <w:tc>
          <w:tcPr>
            <w:tcW w:w="3220" w:type="dxa"/>
            <w:vAlign w:val="bottom"/>
          </w:tcPr>
          <w:p>
            <w:pPr>
              <w:spacing w:after="0"/>
              <w:rPr>
                <w:sz w:val="24"/>
                <w:szCs w:val="24"/>
                <w:color w:val="auto"/>
              </w:rPr>
            </w:pPr>
          </w:p>
        </w:tc>
        <w:tc>
          <w:tcPr>
            <w:tcW w:w="4260" w:type="dxa"/>
            <w:vAlign w:val="bottom"/>
            <w:gridSpan w:val="3"/>
          </w:tcPr>
          <w:p>
            <w:pPr>
              <w:jc w:val="right"/>
              <w:ind w:right="3560"/>
              <w:spacing w:after="0"/>
              <w:rPr>
                <w:sz w:val="20"/>
                <w:szCs w:val="20"/>
                <w:color w:val="auto"/>
              </w:rPr>
            </w:pPr>
            <w:r>
              <w:rPr>
                <w:rFonts w:ascii="Arial" w:cs="Arial" w:eastAsia="Arial" w:hAnsi="Arial"/>
                <w:sz w:val="18"/>
                <w:szCs w:val="18"/>
                <w:color w:val="auto"/>
              </w:rPr>
              <w:t>F-14</w:t>
            </w:r>
          </w:p>
        </w:tc>
      </w:tr>
    </w:tbl>
    <w:p>
      <w:pPr>
        <w:sectPr>
          <w:pgSz w:w="11900" w:h="16838" w:orient="portrait"/>
          <w:cols w:equalWidth="0" w:num="1">
            <w:col w:w="11040"/>
          </w:cols>
          <w:pgMar w:left="320" w:top="459"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 Operating Leases Under Accounting Standards Update No. 2016-02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for operating leases as of March 31, 2020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Maturities of Lease Liability</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1"/>
              <w:spacing w:after="0" w:line="129" w:lineRule="exact"/>
              <w:rPr>
                <w:sz w:val="20"/>
                <w:szCs w:val="20"/>
                <w:color w:val="auto"/>
              </w:rPr>
            </w:pPr>
            <w:r>
              <w:rPr>
                <w:rFonts w:ascii="Arial" w:cs="Arial" w:eastAsia="Arial" w:hAnsi="Arial"/>
                <w:sz w:val="14"/>
                <w:szCs w:val="14"/>
                <w:b w:val="1"/>
                <w:bCs w:val="1"/>
                <w:color w:val="auto"/>
              </w:rPr>
              <w:t>Third Party</w:t>
            </w:r>
          </w:p>
        </w:tc>
        <w:tc>
          <w:tcPr>
            <w:tcW w:w="520" w:type="dxa"/>
            <w:vAlign w:val="bottom"/>
          </w:tcPr>
          <w:p>
            <w:pPr>
              <w:spacing w:after="0"/>
              <w:rPr>
                <w:sz w:val="12"/>
                <w:szCs w:val="12"/>
                <w:color w:val="auto"/>
              </w:rPr>
            </w:pPr>
          </w:p>
        </w:tc>
        <w:tc>
          <w:tcPr>
            <w:tcW w:w="1440" w:type="dxa"/>
            <w:vAlign w:val="bottom"/>
            <w:gridSpan w:val="3"/>
          </w:tcPr>
          <w:p>
            <w:pPr>
              <w:jc w:val="center"/>
              <w:ind w:right="481"/>
              <w:spacing w:after="0" w:line="129" w:lineRule="exact"/>
              <w:rPr>
                <w:sz w:val="20"/>
                <w:szCs w:val="20"/>
                <w:color w:val="auto"/>
              </w:rPr>
            </w:pPr>
            <w:r>
              <w:rPr>
                <w:rFonts w:ascii="Arial" w:cs="Arial" w:eastAsia="Arial" w:hAnsi="Arial"/>
                <w:sz w:val="14"/>
                <w:szCs w:val="14"/>
                <w:b w:val="1"/>
                <w:bCs w:val="1"/>
                <w:color w:val="auto"/>
                <w:w w:val="93"/>
              </w:rPr>
              <w:t>Related Party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9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19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12,039,451</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1,048,267</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13,087,718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20,432,259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1,424,852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21,857,111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20,053,541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1,458,246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20,030,831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1,492,437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21,523,268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18,980,307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1,384,035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179,064,584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11,524,619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190,589,203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270,600,973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18,332,456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288,933,429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Less: Interest</w:t>
            </w: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(180,217,232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(9,209,930</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(189,427,162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90,383,741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9,122,526</w:t>
            </w: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months ended March 31, 2020 and 2019, the Company recorded $4,257,515 and $905,056, respectively in operating lease expense.</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Related Party Operating Leases</w:t>
      </w:r>
    </w:p>
    <w:p>
      <w:pPr>
        <w:spacing w:after="0" w:line="121"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During 2019, Green Thumb entered into three related party transactions with respect to its leasing arrangements for three Green Thumb facilities in Florida, Illinois and Nevada.</w:t>
      </w:r>
    </w:p>
    <w:p>
      <w:pPr>
        <w:spacing w:after="0" w:line="62" w:lineRule="exact"/>
        <w:rPr>
          <w:sz w:val="20"/>
          <w:szCs w:val="20"/>
          <w:color w:val="auto"/>
        </w:rPr>
      </w:pPr>
    </w:p>
    <w:p>
      <w:pPr>
        <w:ind w:left="560" w:right="240"/>
        <w:spacing w:after="0" w:line="273" w:lineRule="auto"/>
        <w:rPr>
          <w:sz w:val="20"/>
          <w:szCs w:val="20"/>
          <w:color w:val="auto"/>
        </w:rPr>
      </w:pPr>
      <w:r>
        <w:rPr>
          <w:rFonts w:ascii="Arial" w:cs="Arial" w:eastAsia="Arial" w:hAnsi="Arial"/>
          <w:sz w:val="17"/>
          <w:szCs w:val="17"/>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three months ended March 31, 2020 and 2019, the Company recorded lease expense of $222,339 and $21,754, respectively, associated with these lease arrangements.</w:t>
      </w:r>
    </w:p>
    <w:p>
      <w:pPr>
        <w:spacing w:after="0" w:line="70" w:lineRule="exact"/>
        <w:rPr>
          <w:sz w:val="20"/>
          <w:szCs w:val="20"/>
          <w:color w:val="auto"/>
        </w:rPr>
      </w:pPr>
    </w:p>
    <w:p>
      <w:pPr>
        <w:jc w:val="both"/>
        <w:ind w:left="560" w:right="200"/>
        <w:spacing w:after="0" w:line="311" w:lineRule="auto"/>
        <w:rPr>
          <w:sz w:val="20"/>
          <w:szCs w:val="20"/>
          <w:color w:val="auto"/>
        </w:rPr>
      </w:pPr>
      <w:r>
        <w:rPr>
          <w:rFonts w:ascii="Arial" w:cs="Arial" w:eastAsia="Arial" w:hAnsi="Arial"/>
          <w:sz w:val="16"/>
          <w:szCs w:val="16"/>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three months ended March 31, 2020 and 2019, lease expense associated with these leases was $190,462 and $138,128, respectively.</w:t>
      </w:r>
    </w:p>
    <w:p>
      <w:pPr>
        <w:spacing w:after="0" w:line="41"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In connection with the Company’s acquisition of Integral Associates, LLC, the Company, through a subsidiary, leases property from Durango Teco Partners, LLC, in Nevada for an Essence retail store. The lease has a ten year term. Durango Teco Partners, LLC is owned in part by Armeco capital LLC, which is in turn owned in part by Alejandro Yemenidjian, a former owner of Integral Associates, LLC and a current director of the Company. For the three months ended March 31, 2020, the Company recorded lease expense of $30,980 associated with this lease.</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Sales Lease Back Transaction</w:t>
      </w:r>
    </w:p>
    <w:p>
      <w:pPr>
        <w:spacing w:after="0" w:line="121"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cultivation and processing facility to IIP. Under a long-term agreement, the Company has leased back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 Sales Lease Back Transaction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facility and continues to operate and manage it. The purchase price for the property was $2,900,000, excluding transaction costs. The Company is also expected to make certain improvements to the property that will significantly enhance production capacity, for which IIP has agreed to provide reimbursement of up to $4,300,000. Assuming full reimbursement for such improvements, IIP’s total investment in the property will be $7,200,000. The lease was recorded as an operating lease and resulted in a right of use asset and lease liability of $3,583,263 and was recorded net of the improvements allowance of $4,300,000.</w:t>
      </w:r>
    </w:p>
    <w:p>
      <w:pPr>
        <w:spacing w:after="0" w:line="80"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also expected to make certain improvements to the property that will significantly enhance production capacity, for which IIP has agreed to provide reimbursement of up to $41,000,000. Assuming full reimbursement for such improvements, IIP’s total investment in the property will be $50,000,000. The lease was recorded as an operating lease and resulted in a right of use asset and related lease liability of $26,828,221 and was recorded net of the improvements allowance of $41,000,000.</w:t>
      </w:r>
    </w:p>
    <w:p>
      <w:pPr>
        <w:spacing w:after="0" w:line="26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6.</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2020 and December 31, 2019, notes payable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In connection with an acquisition completed in 2017, the Company is required to make quarterly</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charitable contributions of $50,000 through October 2024. The net present value of these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required payments has been recorded as a liability with an interest rate of 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911,723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970,957</w:t>
            </w:r>
          </w:p>
        </w:tc>
        <w:tc>
          <w:tcPr>
            <w:tcW w:w="0" w:type="dxa"/>
            <w:vAlign w:val="bottom"/>
          </w:tcPr>
          <w:p>
            <w:pPr>
              <w:spacing w:after="0"/>
              <w:rPr>
                <w:sz w:val="1"/>
                <w:szCs w:val="1"/>
                <w:color w:val="auto"/>
              </w:rPr>
            </w:pPr>
          </w:p>
        </w:tc>
      </w:tr>
      <w:tr>
        <w:trPr>
          <w:trHeight w:val="310"/>
        </w:trPr>
        <w:tc>
          <w:tcPr>
            <w:tcW w:w="7500" w:type="dxa"/>
            <w:vAlign w:val="bottom"/>
            <w:gridSpan w:val="2"/>
          </w:tcPr>
          <w:p>
            <w:pPr>
              <w:spacing w:after="0"/>
              <w:rPr>
                <w:sz w:val="20"/>
                <w:szCs w:val="20"/>
                <w:color w:val="auto"/>
              </w:rPr>
            </w:pPr>
            <w:r>
              <w:rPr>
                <w:rFonts w:ascii="Arial" w:cs="Arial" w:eastAsia="Arial" w:hAnsi="Arial"/>
                <w:sz w:val="18"/>
                <w:szCs w:val="18"/>
                <w:color w:val="auto"/>
              </w:rPr>
              <w:t>Private placement debt dated May 22, 2019, in the original amount of $105,466,429, which</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matures on May 22, 2022. The debt was issued at a discount, the carrying value of which is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7"/>
              </w:rPr>
              <w:t>$13,505,195 at March 31, 2020 and $15,090,517 at December 31, 2019, and bears interest of</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12.00% per annum.</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91,1961,234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90,375,912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92,872,957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91,346,869</w:t>
            </w: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(182,926)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92,690,031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91,140,194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the three months ended March 31, 2020, the Company recognized $3,146,703 in interest expense associated with the private placement debt (before capitalized interest) and $1,585,322 in accretion expense. For the three months ended March 31, 2019, an immaterial amount of interest expense was recognized in association with the Company’s charitable contribution obligation. No accretion expense was recorded for the three months ended March 31,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480" w:hanging="364"/>
        <w:spacing w:after="0"/>
        <w:tabs>
          <w:tab w:leader="none" w:pos="4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following table summarizes the number warrants issued to related parties and third parties as of December 31, 2019 and March 31, 2020:</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color w:val="auto"/>
              </w:rPr>
              <w:t>Third Party</w:t>
            </w: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color w:val="auto"/>
                <w:w w:val="91"/>
              </w:rPr>
              <w:t>Related Party</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Weighted Average</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color w:val="auto"/>
                <w:w w:val="91"/>
              </w:rPr>
              <w:t>Number of Shares</w:t>
            </w: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Number of Shares</w:t>
            </w:r>
          </w:p>
        </w:tc>
        <w:tc>
          <w:tcPr>
            <w:tcW w:w="1900" w:type="dxa"/>
            <w:vAlign w:val="bottom"/>
            <w:gridSpan w:val="2"/>
          </w:tcPr>
          <w:p>
            <w:pPr>
              <w:jc w:val="right"/>
              <w:ind w:right="620"/>
              <w:spacing w:after="0"/>
              <w:rPr>
                <w:sz w:val="20"/>
                <w:szCs w:val="20"/>
                <w:color w:val="auto"/>
              </w:rPr>
            </w:pPr>
            <w:r>
              <w:rPr>
                <w:rFonts w:ascii="Arial" w:cs="Arial" w:eastAsia="Arial" w:hAnsi="Arial"/>
                <w:sz w:val="14"/>
                <w:szCs w:val="14"/>
                <w:color w:val="auto"/>
                <w:w w:val="95"/>
              </w:rPr>
              <w:t>Exercise Price (CAD)</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Contractual Life</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2,387,470</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19,341</w:t>
            </w:r>
          </w:p>
        </w:tc>
        <w:tc>
          <w:tcPr>
            <w:tcW w:w="6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2020</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2,387,470</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19,341</w:t>
            </w: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warrants allow the holders to purchase Subordinate Voting Shares at an exercise price determined at the time of issuance. The exercise price of the warrants is denominated in Canadian dollars whereas the Company’s functional currency is U.S. Dollars. As such, the Company is required to measure the warrant liability at fair value using a Monte Carlo simulation model. The following table summarizes the fair value of the warrant liability at March 31, 2020 and December 31, 2019:</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Strike</w:t>
            </w: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Warrants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Warrant Liability</w:t>
            </w:r>
          </w:p>
        </w:tc>
        <w:tc>
          <w:tcPr>
            <w:tcW w:w="14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6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C$</w:t>
            </w:r>
          </w:p>
        </w:tc>
        <w:tc>
          <w:tcPr>
            <w:tcW w:w="82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Issued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1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C$22.90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454,000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500" w:type="dxa"/>
            <w:vAlign w:val="bottom"/>
            <w:gridSpan w:val="3"/>
          </w:tcPr>
          <w:p>
            <w:pPr>
              <w:jc w:val="center"/>
              <w:ind w:left="850"/>
              <w:spacing w:after="0"/>
              <w:rPr>
                <w:sz w:val="20"/>
                <w:szCs w:val="20"/>
                <w:color w:val="auto"/>
              </w:rPr>
            </w:pPr>
            <w:r>
              <w:rPr>
                <w:rFonts w:ascii="Arial" w:cs="Arial" w:eastAsia="Arial" w:hAnsi="Arial"/>
                <w:sz w:val="18"/>
                <w:szCs w:val="18"/>
                <w:color w:val="auto"/>
                <w:w w:val="93"/>
              </w:rPr>
              <w:t>C$19.39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1,822,771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6,526,000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12,189,169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2500" w:type="dxa"/>
            <w:vAlign w:val="bottom"/>
            <w:gridSpan w:val="3"/>
            <w:shd w:val="clear" w:color="auto" w:fill="CCEEFF"/>
          </w:tcPr>
          <w:p>
            <w:pPr>
              <w:jc w:val="center"/>
              <w:ind w:left="850"/>
              <w:spacing w:after="0"/>
              <w:rPr>
                <w:sz w:val="20"/>
                <w:szCs w:val="20"/>
                <w:color w:val="auto"/>
              </w:rPr>
            </w:pPr>
            <w:r>
              <w:rPr>
                <w:rFonts w:ascii="Arial" w:cs="Arial" w:eastAsia="Arial" w:hAnsi="Arial"/>
                <w:sz w:val="18"/>
                <w:szCs w:val="18"/>
                <w:u w:val="single" w:color="auto"/>
                <w:color w:val="auto"/>
                <w:w w:val="93"/>
              </w:rPr>
              <w:t>C$</w:t>
            </w:r>
            <w:r>
              <w:rPr>
                <w:rFonts w:ascii="Arial" w:cs="Arial" w:eastAsia="Arial" w:hAnsi="Arial"/>
                <w:sz w:val="18"/>
                <w:szCs w:val="18"/>
                <w:color w:val="auto"/>
                <w:w w:val="93"/>
              </w:rPr>
              <w:t>12.04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365,076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1,517,000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2,305,274</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2,406,811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8,497,000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15,879,843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During the three months ended March 31, 2020, the Company recorded a gain on the reduction in the fair value of the warrant liability of $7,382,843 within Other Income (Expense) on the consolidated statement of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significant assumptions used in determining the fair value of the warrant liability as of each reporting date:</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3220" w:type="dxa"/>
            <w:vAlign w:val="bottom"/>
          </w:tcPr>
          <w:p>
            <w:pPr>
              <w:spacing w:after="0"/>
              <w:rPr>
                <w:sz w:val="14"/>
                <w:szCs w:val="14"/>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March 31,</w:t>
            </w: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4680" w:type="dxa"/>
            <w:vAlign w:val="bottom"/>
            <w:gridSpan w:val="2"/>
          </w:tcPr>
          <w:p>
            <w:pPr>
              <w:jc w:val="right"/>
              <w:ind w:right="496"/>
              <w:spacing w:after="0" w:line="158"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46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3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100.77% - 114.74%</w:t>
            </w:r>
          </w:p>
        </w:tc>
        <w:tc>
          <w:tcPr>
            <w:tcW w:w="5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117.43% - 123.64%</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3220" w:type="dxa"/>
            <w:vAlign w:val="bottom"/>
          </w:tcPr>
          <w:p>
            <w:pPr>
              <w:spacing w:after="0"/>
              <w:rPr>
                <w:sz w:val="18"/>
                <w:szCs w:val="18"/>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rPr>
              <w:t>2.53 – 4.61 years</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2.78 - 4.86 years</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0.50% - 0.60%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 - 1.69%</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5220" w:type="dxa"/>
            <w:vAlign w:val="bottom"/>
            <w:gridSpan w:val="3"/>
          </w:tcPr>
          <w:p>
            <w:pPr>
              <w:jc w:val="right"/>
              <w:ind w:right="2320"/>
              <w:spacing w:after="0"/>
              <w:rPr>
                <w:sz w:val="20"/>
                <w:szCs w:val="20"/>
                <w:color w:val="auto"/>
              </w:rPr>
            </w:pPr>
            <w:r>
              <w:rPr>
                <w:rFonts w:ascii="Arial" w:cs="Arial" w:eastAsia="Arial" w:hAnsi="Arial"/>
                <w:sz w:val="18"/>
                <w:szCs w:val="18"/>
                <w:color w:val="auto"/>
              </w:rPr>
              <w:t>F-17</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480" w:hanging="364"/>
        <w:spacing w:after="0"/>
        <w:tabs>
          <w:tab w:leader="none" w:pos="4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the Company’s income tax expense and effective tax rates for the three months ended March 31, 2020 and March 31,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5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$ 9,385,440</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$(8,468,055)</w:t>
            </w:r>
          </w:p>
        </w:tc>
        <w:tc>
          <w:tcPr>
            <w:tcW w:w="2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w w:val="99"/>
              </w:rPr>
              <w:t>13,149,000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1,236,000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bl>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effective tax rates for the three months ended March 31, 2020 and March 31, 2019 were based on the Company’s forecasted annualized effective tax rates and were adjusted for discrete items that occurred within the periods presented.</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4"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effective tax rate for the three months ended March 31, 2020 varies widely from the three months ended March 31, 2019 primarily due to the Company reporting pre-tax loss in 2019 as opposed to pre-tax income in 2020. The large amount of nondeductible expenses incurred by the Company subject to IRC Section 280E, was the driver for income tax expense being incurred in a pre-tax loss quarter for 2019.</w:t>
      </w:r>
    </w:p>
    <w:p>
      <w:pPr>
        <w:spacing w:after="0" w:line="16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is subject to income taxes in the United States and Canada. Significant judgment is required in evaluating the Company’s uncertain tax positions and determining the provision for income taxes. The Company’s gross unrecognized tax benefits were $4.3 million and $0.8 million as of March 31, 2020 and March 31, 2019, respectively.</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 arising prior to these years are also open to examination if and when utilized.</w:t>
      </w:r>
    </w:p>
    <w:p>
      <w:pPr>
        <w:spacing w:after="0" w:line="250" w:lineRule="exact"/>
        <w:rPr>
          <w:sz w:val="20"/>
          <w:szCs w:val="20"/>
          <w:color w:val="auto"/>
        </w:rPr>
      </w:pPr>
    </w:p>
    <w:p>
      <w:pPr>
        <w:ind w:left="480" w:hanging="364"/>
        <w:spacing w:after="0"/>
        <w:tabs>
          <w:tab w:leader="none" w:pos="4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holds investments in convertible notes which mature in August 2020, carry simple interest of 6.00% per annum and convert into a predetermined number of common shares. At March 31, 2020 and December 31, 2019, the fair value of these investments was $7,533,000 at the end of each period. The Company also holds direct equity investments in cannabis companies. At March 31, 2020 and December 31, 2019, the fair value of these investments was $6,320,213 and $6,535,821,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March 31,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Convertible Notes</w:t>
            </w:r>
          </w:p>
        </w:tc>
        <w:tc>
          <w:tcPr>
            <w:tcW w:w="600" w:type="dxa"/>
            <w:vAlign w:val="bottom"/>
          </w:tcPr>
          <w:p>
            <w:pPr>
              <w:spacing w:after="0"/>
              <w:rPr>
                <w:sz w:val="14"/>
                <w:szCs w:val="14"/>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Receivable</w:t>
            </w:r>
          </w:p>
        </w:tc>
        <w:tc>
          <w:tcPr>
            <w:tcW w:w="6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$6,535,821</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$14,068,821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Fair value adjustment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(215,607)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(215,607)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7,533,000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6,320,213</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13,853,214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60" w:type="dxa"/>
            <w:vAlign w:val="bottom"/>
            <w:gridSpan w:val="2"/>
          </w:tcPr>
          <w:p>
            <w:pPr>
              <w:jc w:val="right"/>
              <w:ind w:right="327"/>
              <w:spacing w:after="0"/>
              <w:rPr>
                <w:sz w:val="20"/>
                <w:szCs w:val="20"/>
                <w:color w:val="auto"/>
              </w:rPr>
            </w:pPr>
            <w:r>
              <w:rPr>
                <w:rFonts w:ascii="Arial" w:cs="Arial" w:eastAsia="Arial" w:hAnsi="Arial"/>
                <w:sz w:val="18"/>
                <w:szCs w:val="18"/>
                <w:color w:val="auto"/>
              </w:rPr>
              <w:t>F-18</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480" w:hanging="364"/>
        <w:spacing w:after="0"/>
        <w:tabs>
          <w:tab w:leader="none" w:pos="4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March 31, 2020 and December 31, 2019 (see Note 13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160" w:type="dxa"/>
            <w:vAlign w:val="bottom"/>
          </w:tcPr>
          <w:p>
            <w:pPr>
              <w:spacing w:after="0"/>
              <w:rPr>
                <w:sz w:val="14"/>
                <w:szCs w:val="14"/>
                <w:color w:val="auto"/>
              </w:rPr>
            </w:pPr>
          </w:p>
        </w:tc>
        <w:tc>
          <w:tcPr>
            <w:tcW w:w="20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March 31, 2020</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2019</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Equity Volatility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58% - 106%</w:t>
            </w: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58% - 106%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 - 18%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70%</w:t>
            </w:r>
          </w:p>
        </w:tc>
      </w:tr>
    </w:tbl>
    <w:p>
      <w:pPr>
        <w:spacing w:after="0" w:line="291" w:lineRule="exact"/>
        <w:rPr>
          <w:sz w:val="20"/>
          <w:szCs w:val="20"/>
          <w:color w:val="auto"/>
        </w:rPr>
      </w:pPr>
    </w:p>
    <w:p>
      <w:pPr>
        <w:ind w:left="560" w:hanging="444"/>
        <w:spacing w:after="0"/>
        <w:tabs>
          <w:tab w:leader="none" w:pos="5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1"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370" w:lineRule="exact"/>
        <w:rPr>
          <w:sz w:val="20"/>
          <w:szCs w:val="20"/>
          <w:color w:val="auto"/>
        </w:rPr>
      </w:pPr>
    </w:p>
    <w:p>
      <w:pPr>
        <w:ind w:left="1540" w:hanging="439"/>
        <w:spacing w:after="0"/>
        <w:tabs>
          <w:tab w:leader="none" w:pos="1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spacing w:after="0" w:line="275"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 During the three months ending March 31, 2020, the shareholders of the Company converted 134,846 Multiple Voting Shares into 13,484,600 Subordinate Voting Shares and 11,475 Super Voting Shares into 1,147,500 Subordinate Voting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560" w:hanging="444"/>
        <w:spacing w:after="0"/>
        <w:tabs>
          <w:tab w:leader="none" w:pos="5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1" w:lineRule="exact"/>
        <w:rPr>
          <w:sz w:val="20"/>
          <w:szCs w:val="20"/>
          <w:color w:val="auto"/>
        </w:rPr>
      </w:pPr>
    </w:p>
    <w:p>
      <w:pPr>
        <w:ind w:left="1540" w:hanging="439"/>
        <w:spacing w:after="0"/>
        <w:tabs>
          <w:tab w:leader="none" w:pos="1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Multiple Voting Share is entitled to one hundred votes per share at shareholder meetings of the Company and is exchangeable for 100 Subordinate Voting Shares. At March 31, 2020, the Company has 238,504 issued and outstanding Multiple Voting Shares, which convert into 23,850,400 Subordinate Voting Shares. The Company is authorized to issue an unlimited number of Multiple Voting Shares. During the three months ending March 31, 2020, the shareholders of the Company converted 11,475 Super Voting Shares into 11,475 Multiple Voting Shares.</w:t>
      </w:r>
    </w:p>
    <w:p>
      <w:pPr>
        <w:spacing w:after="0" w:line="332"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21"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Each Super Voting Share is entitled to one thousand votes per share at shareholder meetings of the Company and is exchangeable for 100 Subordinate Voting Shares. At March 31, 2020, the Company has 390,814 issued and outstanding Super Voting Shares which convert into 39,081,400 Subordinate Voting Shares. The Company is authorized to issue an unlimited number of Super Voting Shares. During the three months ending March 31, 2020, the shareholders of the Company converted 11,475 Super Voting Shares into 11,475 Multiple Voting Shares.</w:t>
      </w:r>
    </w:p>
    <w:p>
      <w:pPr>
        <w:spacing w:after="0" w:line="33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Issued and Outstanding</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jc w:val="right"/>
              <w:ind w:right="600"/>
              <w:spacing w:after="0" w:line="123" w:lineRule="exact"/>
              <w:rPr>
                <w:sz w:val="20"/>
                <w:szCs w:val="20"/>
                <w:color w:val="auto"/>
              </w:rPr>
            </w:pPr>
            <w:r>
              <w:rPr>
                <w:rFonts w:ascii="Arial" w:cs="Arial" w:eastAsia="Arial" w:hAnsi="Arial"/>
                <w:sz w:val="14"/>
                <w:szCs w:val="14"/>
                <w:color w:val="auto"/>
              </w:rPr>
              <w:t>Multiple</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Voting</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Super</w:t>
            </w: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w w:val="95"/>
              </w:rPr>
              <w:t>Subordinate Voting</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20" w:type="dxa"/>
            <w:vAlign w:val="bottom"/>
          </w:tcPr>
          <w:p>
            <w:pPr>
              <w:jc w:val="right"/>
              <w:ind w:right="337"/>
              <w:spacing w:after="0"/>
              <w:rPr>
                <w:sz w:val="20"/>
                <w:szCs w:val="20"/>
                <w:color w:val="auto"/>
              </w:rPr>
            </w:pPr>
            <w:r>
              <w:rPr>
                <w:rFonts w:ascii="Arial" w:cs="Arial" w:eastAsia="Arial" w:hAnsi="Arial"/>
                <w:sz w:val="14"/>
                <w:szCs w:val="14"/>
                <w:color w:val="auto"/>
              </w:rPr>
              <w:t>Shares</w:t>
            </w:r>
          </w:p>
        </w:tc>
        <w:tc>
          <w:tcPr>
            <w:tcW w:w="42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128,999,964</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373,350</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402,289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1,115,618</w:t>
            </w:r>
          </w:p>
        </w:tc>
        <w:tc>
          <w:tcPr>
            <w:tcW w:w="4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Exchange of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14,632,100</w:t>
            </w:r>
          </w:p>
        </w:tc>
        <w:tc>
          <w:tcPr>
            <w:tcW w:w="4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(134,846)</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(11,475)</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March 31, 2020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144,811,572</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238,504</w:t>
            </w: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390,814</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hanging="424"/>
        <w:spacing w:after="0"/>
        <w:tabs>
          <w:tab w:leader="none" w:pos="9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53"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Company recognizes compensation expense for Restricted Stock Units (“RSUs”) and options on a straight-line basis over the requisite service period of the award. Non-market vesting conditions are included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8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560" w:hanging="444"/>
        <w:spacing w:after="0"/>
        <w:tabs>
          <w:tab w:leader="none" w:pos="5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ind w:left="980" w:hanging="424"/>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560" w:right="340"/>
        <w:spacing w:after="0" w:line="259" w:lineRule="auto"/>
        <w:rPr>
          <w:sz w:val="20"/>
          <w:szCs w:val="20"/>
          <w:color w:val="auto"/>
        </w:rPr>
      </w:pPr>
      <w:r>
        <w:rPr>
          <w:rFonts w:ascii="Arial" w:cs="Arial" w:eastAsia="Arial" w:hAnsi="Arial"/>
          <w:sz w:val="18"/>
          <w:szCs w:val="18"/>
          <w:color w:val="auto"/>
        </w:rPr>
        <w:t>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periods if share options ultimately exercised are different to that estimated on vesting.</w:t>
      </w:r>
    </w:p>
    <w:p>
      <w:pPr>
        <w:spacing w:after="0" w:line="7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shares issued under the Plan shall not exceed 10% of the issued and outstanding shares.</w:t>
      </w:r>
    </w:p>
    <w:p>
      <w:pPr>
        <w:spacing w:after="0" w:line="76"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Option and RSU grants generally vest over one to three years, and options typically have a life of five or ten years. Option grants are determined by the Compensation Committee of the Board with the option price set at no less than 100% of the fair market value of a share on the date of grant. Stock option activity is summarized as follows: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Weighted</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color w:val="auto"/>
                <w:w w:val="91"/>
              </w:rPr>
              <w:t>Weighted</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Number of</w:t>
            </w: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 Exercise</w:t>
            </w: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4"/>
                <w:szCs w:val="14"/>
                <w:color w:val="auto"/>
              </w:rPr>
              <w:t>Shares</w:t>
            </w: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Price (C$)</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color w:val="auto"/>
                <w:w w:val="95"/>
              </w:rPr>
              <w:t>Contractual Life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7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1"/>
              </w:rPr>
              <w:t>5.81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218,234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2,391,028</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9.58</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(255,104)</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14.89</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5.01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2020</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5,974,938</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11.69</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740,545</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14.21</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6.94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March 31, 2020 and December 31, 2019, respectively, and the exercise price, multiplied by the number of in-the-money options) that would have been received by the option holders had all option holders exercised their in-the-money options on March 31, 2020 and December 31, 2019. This amount will change in future periods based on the fair market value of the Company’s stock and the number of options outstanding. There were no options exercised for the three months ending March 31, 2020 and the year ended December 31, 2019.</w:t>
      </w:r>
    </w:p>
    <w:p>
      <w:pPr>
        <w:spacing w:after="0" w:line="16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560" w:hanging="444"/>
        <w:spacing w:after="0"/>
        <w:tabs>
          <w:tab w:leader="none" w:pos="5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ind w:left="980" w:hanging="4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The following table summarizes the number of non-vested RSU awards as of March 31, 2020 and December 31, 2019 and the changes during the year ended December 31, 2019:</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w:t>
            </w:r>
          </w:p>
        </w:tc>
      </w:tr>
      <w:tr>
        <w:trPr>
          <w:trHeight w:val="148"/>
        </w:trPr>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280" w:type="dxa"/>
            <w:vAlign w:val="bottom"/>
          </w:tcPr>
          <w:p>
            <w:pPr>
              <w:spacing w:after="0"/>
              <w:rPr>
                <w:sz w:val="14"/>
                <w:szCs w:val="14"/>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4"/>
                <w:szCs w:val="14"/>
                <w:color w:val="auto"/>
                <w:w w:val="89"/>
              </w:rPr>
              <w:t>Number of Shares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Value (C$)</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RSUs at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9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ind w:right="920"/>
              <w:spacing w:after="0"/>
              <w:rPr>
                <w:sz w:val="20"/>
                <w:szCs w:val="20"/>
                <w:color w:val="auto"/>
              </w:rPr>
            </w:pPr>
            <w:r>
              <w:rPr>
                <w:rFonts w:ascii="Arial" w:cs="Arial" w:eastAsia="Arial" w:hAnsi="Arial"/>
                <w:sz w:val="18"/>
                <w:szCs w:val="18"/>
                <w:color w:val="auto"/>
              </w:rPr>
              <w:t>168,526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(26,500)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Vested</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(63,890)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at March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1,477,898</w:t>
            </w:r>
          </w:p>
        </w:tc>
        <w:tc>
          <w:tcPr>
            <w:tcW w:w="9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stock-based compensation expense for the three months ended March 31, 2020 and 2019 was as follows:</w:t>
      </w:r>
    </w:p>
    <w:p>
      <w:pPr>
        <w:spacing w:after="0" w:line="24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For the Three Months Ended</w:t>
      </w:r>
    </w:p>
    <w:p>
      <w:pPr>
        <w:jc w:val="center"/>
        <w:ind w:left="59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$ 2,691,157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$ 4,258,467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RSUs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2,382,585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1,586,333</w:t>
            </w: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$ 5,073,742</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$ 5,844,800</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As of March 31, 2020, $33,957,180 of total unrecognized expense related to Stock Based Compensation awards is expected to be recognized over a weighted-average period of 2.29 years.</w:t>
      </w:r>
    </w:p>
    <w:p>
      <w:pPr>
        <w:spacing w:after="0" w:line="170" w:lineRule="exact"/>
        <w:rPr>
          <w:sz w:val="20"/>
          <w:szCs w:val="20"/>
          <w:color w:val="auto"/>
        </w:rPr>
      </w:pPr>
    </w:p>
    <w:p>
      <w:pPr>
        <w:ind w:left="1000" w:hanging="444"/>
        <w:spacing w:after="0"/>
        <w:tabs>
          <w:tab w:leader="none" w:pos="10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color w:val="auto"/>
        </w:rPr>
        <w:t>During the three months ended March 31, 2020, the Company issued 1,067,168 Subordinate Voting Shares to the previous owners of certain entities in connection with acquisitions completed during 2019. Upon issuance, the Company recorded a reduction of $8,967,257 to contingent consideration payable and a corresponding increase in share capital.</w:t>
      </w:r>
    </w:p>
    <w:p>
      <w:pPr>
        <w:spacing w:after="0" w:line="180" w:lineRule="exact"/>
        <w:rPr>
          <w:sz w:val="20"/>
          <w:szCs w:val="20"/>
          <w:color w:val="auto"/>
        </w:rPr>
      </w:pPr>
    </w:p>
    <w:p>
      <w:pPr>
        <w:ind w:left="520" w:hanging="404"/>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months ended March 31, 2020 and 2019 other income (expense) was comprised of the following:</w:t>
      </w:r>
    </w:p>
    <w:p>
      <w:pPr>
        <w:spacing w:after="0" w:line="24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For the Three Months Ended</w:t>
      </w:r>
    </w:p>
    <w:p>
      <w:pPr>
        <w:jc w:val="center"/>
        <w:ind w:left="6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38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602,964</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w w:val="95"/>
              </w:rPr>
              <w:t>Fair value adjustments on variable note receivable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(810,337)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4,109,794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409,847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Fair value adjustments on warrant liability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7,382,843</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4"/>
              </w:rPr>
              <w:t>Fair value adjustments on contingent consideration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170,989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258,222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134,048</w:t>
            </w: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7"/>
              </w:rPr>
              <w:t>6,786,110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5,256,653</w:t>
            </w:r>
          </w:p>
        </w:tc>
      </w:tr>
      <w:tr>
        <w:trPr>
          <w:trHeight w:val="20"/>
        </w:trPr>
        <w:tc>
          <w:tcPr>
            <w:tcW w:w="3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360" w:type="dxa"/>
            <w:vAlign w:val="bottom"/>
            <w:gridSpan w:val="2"/>
          </w:tcPr>
          <w:p>
            <w:pPr>
              <w:jc w:val="right"/>
              <w:ind w:right="1750"/>
              <w:spacing w:after="0"/>
              <w:rPr>
                <w:sz w:val="20"/>
                <w:szCs w:val="20"/>
                <w:color w:val="auto"/>
              </w:rPr>
            </w:pPr>
            <w:r>
              <w:rPr>
                <w:rFonts w:ascii="Arial" w:cs="Arial" w:eastAsia="Arial" w:hAnsi="Arial"/>
                <w:sz w:val="18"/>
                <w:szCs w:val="18"/>
                <w:color w:val="auto"/>
              </w:rPr>
              <w:t>F-22</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268"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believes that the Company is in compliance with applicable local and state regulations at March 31, 2020 and December 31, 2019, cannabis regulations continue to evolve and are subject to differing interpretations. As a result, the Company may be subject to regulatory fines, penalties, or restrictions in the future.</w:t>
      </w:r>
    </w:p>
    <w:p>
      <w:pPr>
        <w:spacing w:after="0" w:line="32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March 31,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194"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As of March 31, 2020, the Company held $5,131,995 of open commitments to contractors on work being performed.</w:t>
      </w:r>
    </w:p>
    <w:p>
      <w:pPr>
        <w:spacing w:after="0" w:line="329"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13.</w:t>
        <w:tab/>
        <w:t>FINANCIAL INSTRUMENTS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13.</w:t>
        <w:tab/>
        <w:t xml:space="preserve">FINANCIAL INSTRUMENTS AND FINANCIAL RISK MANAGEMENT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Level1 – Unadjusted quoted prices in active markets for identical assets or liabilities;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Level2 – Inputs other than quoted prices that are observable for the asset or liability, either directly or indirectly; and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Level3 – Inputs for the asset or liability that are not based on observable market data.</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76" w:lineRule="exact"/>
        <w:rPr>
          <w:sz w:val="20"/>
          <w:szCs w:val="20"/>
          <w:color w:val="auto"/>
        </w:rPr>
      </w:pPr>
    </w:p>
    <w:p>
      <w:pPr>
        <w:ind w:left="560" w:right="460"/>
        <w:spacing w:after="0" w:line="342"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3"/>
              </w:rPr>
              <w:t>As of March 31,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4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5"/>
              </w:rPr>
              <w:t>$ 71,521,954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71,521,954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Notes Receivable</w:t>
            </w:r>
          </w:p>
        </w:tc>
        <w:tc>
          <w:tcPr>
            <w:tcW w:w="100" w:type="dxa"/>
            <w:vAlign w:val="bottom"/>
          </w:tcPr>
          <w:p>
            <w:pPr>
              <w:spacing w:after="0"/>
              <w:rPr>
                <w:sz w:val="18"/>
                <w:szCs w:val="18"/>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13,853,214</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13,853,214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00" w:type="dxa"/>
            <w:vAlign w:val="bottom"/>
          </w:tcPr>
          <w:p>
            <w:pPr>
              <w:spacing w:after="0"/>
              <w:rPr>
                <w:sz w:val="18"/>
                <w:szCs w:val="18"/>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(8,497,000)</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(8,497,000)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(50,344,502)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(50,344,502)</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$ 71,521,954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(50,482,688)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21,039,266</w:t>
            </w: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8"/>
        </w:trPr>
        <w:tc>
          <w:tcPr>
            <w:tcW w:w="5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9"/>
              </w:rPr>
              <w:t>As of December 31, 2019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$ 46,667,334</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4"/>
                <w:szCs w:val="4"/>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Notes Receivable</w:t>
            </w:r>
          </w:p>
        </w:tc>
        <w:tc>
          <w:tcPr>
            <w:tcW w:w="10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815,937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14,068,821</w:t>
            </w:r>
          </w:p>
        </w:tc>
        <w:tc>
          <w:tcPr>
            <w:tcW w:w="3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14,068,821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0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(5,500,000)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(15,879,843)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(15,879,843)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(58,936,739)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(58,936,739)</w:t>
            </w:r>
          </w:p>
        </w:tc>
      </w:tr>
      <w:tr>
        <w:trPr>
          <w:trHeight w:val="27"/>
        </w:trPr>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$ 46,667,334</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(65,431,824)</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(18,764,490)</w:t>
            </w:r>
          </w:p>
        </w:tc>
      </w:tr>
      <w:tr>
        <w:trPr>
          <w:trHeight w:val="20"/>
        </w:trPr>
        <w:tc>
          <w:tcPr>
            <w:tcW w:w="5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March 31, 2020 and December 31,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13.</w:t>
        <w:tab/>
        <w:t xml:space="preserve">FINANCIAL INSTRUMENTS AND FINANCIAL RISK MANAGEMENT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Company’s Board of Directors mitigates these risks by assessing, monitoring and approving the Company’s risk management processes:</w:t>
      </w:r>
    </w:p>
    <w:p>
      <w:pPr>
        <w:spacing w:after="0" w:line="315"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March 31, 2020 and December 31, 2019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1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March 31, 2020, the Company had approximately $794,000 of accounts receivable that were past due (greater than 90 days). Given management’s expectation that any credit losses will be nominal, no provision is provided.</w:t>
      </w:r>
    </w:p>
    <w:p>
      <w:pPr>
        <w:spacing w:after="0" w:line="331"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1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12, the Company has the following contractual obligations: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&lt;1 Year</w:t>
            </w:r>
          </w:p>
        </w:tc>
        <w:tc>
          <w:tcPr>
            <w:tcW w:w="1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1 to 3 Years</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3 to 5 Years</w:t>
            </w:r>
          </w:p>
        </w:tc>
        <w:tc>
          <w:tcPr>
            <w:tcW w:w="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&gt;5 Years</w:t>
            </w:r>
          </w:p>
        </w:tc>
        <w:tc>
          <w:tcPr>
            <w:tcW w:w="1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$60,432,653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$ 60,432,653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Notes Payable</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182,926</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92,339,180</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350,851</w:t>
            </w:r>
          </w:p>
        </w:tc>
        <w:tc>
          <w:tcPr>
            <w:tcW w:w="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92,872,957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5,131,995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5,131,995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41,581,975</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8,762,527</w:t>
            </w:r>
          </w:p>
        </w:tc>
        <w:tc>
          <w:tcPr>
            <w:tcW w:w="100" w:type="dxa"/>
            <w:vAlign w:val="bottom"/>
          </w:tcPr>
          <w:p>
            <w:pPr>
              <w:spacing w:after="0"/>
              <w:rPr>
                <w:sz w:val="18"/>
                <w:szCs w:val="18"/>
                <w:color w:val="auto"/>
              </w:rPr>
            </w:pP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50,344,502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Third Party</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12,039,451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40,485,800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39,011,138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179,064,584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270,600,973</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Operating Leases - Related Party</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1,048,267</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2,883,098</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2,876,472</w:t>
            </w:r>
          </w:p>
        </w:tc>
        <w:tc>
          <w:tcPr>
            <w:tcW w:w="8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11,524,619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18,332,456</w:t>
            </w:r>
          </w:p>
        </w:tc>
      </w:tr>
    </w:tbl>
    <w:p>
      <w:pPr>
        <w:spacing w:after="0" w:line="210" w:lineRule="exact"/>
        <w:rPr>
          <w:sz w:val="20"/>
          <w:szCs w:val="20"/>
          <w:color w:val="auto"/>
        </w:rPr>
      </w:pPr>
    </w:p>
    <w:p>
      <w:pPr>
        <w:ind w:left="1100" w:right="7700" w:hanging="552"/>
        <w:spacing w:after="0" w:line="378" w:lineRule="auto"/>
        <w:tabs>
          <w:tab w:leader="none" w:pos="1081"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 and Interest Rate Risk </w:t>
      </w:r>
      <w:r>
        <w:rPr>
          <w:rFonts w:ascii="Arial" w:cs="Arial" w:eastAsia="Arial" w:hAnsi="Arial"/>
          <w:sz w:val="18"/>
          <w:szCs w:val="18"/>
          <w:i w:val="1"/>
          <w:iCs w:val="1"/>
          <w:color w:val="auto"/>
        </w:rPr>
        <w:t>Interest Rate Risk</w:t>
      </w:r>
    </w:p>
    <w:p>
      <w:pPr>
        <w:ind w:left="1100"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14.</w:t>
        <w:tab/>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The following table represents the summarized financial information about the Company’s consolidated variable interest entities (VIEs) which are included in the consolidated balance sheets and statements of operation as of March 31, 2020 and December 31, 2019. All these entities were determined to be VIEs as the Company possesses the power to direct activities through management services agreements (MSAs).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Chesapeake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Chesapeake</w:t>
            </w: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Illinois</w:t>
            </w: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material</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8"/>
              </w:rPr>
              <w:t>Alternatives, LLC</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Disp, LLC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VIEs</w:t>
            </w: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Alternatives, LLC</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Disp, LLC</w:t>
            </w:r>
          </w:p>
        </w:tc>
        <w:tc>
          <w:tcPr>
            <w:tcW w:w="120" w:type="dxa"/>
            <w:vAlign w:val="bottom"/>
          </w:tcPr>
          <w:p>
            <w:pPr>
              <w:spacing w:after="0"/>
              <w:rPr>
                <w:sz w:val="14"/>
                <w:szCs w:val="14"/>
                <w:color w:val="auto"/>
              </w:rPr>
            </w:pPr>
          </w:p>
        </w:tc>
        <w:tc>
          <w:tcPr>
            <w:tcW w:w="88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22,278,800</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2,343,228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1,710,495</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19,455,533</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$ 1,381,716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1,352,935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2,873,410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3,543,890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2,494,212</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22,384,663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3,083,659</w:t>
            </w:r>
          </w:p>
        </w:tc>
        <w:tc>
          <w:tcPr>
            <w:tcW w:w="12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2,534,297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16,105,824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1,146,023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14,219,204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149,498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783,682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1,129,327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596,387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838,422</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1,169,989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137,736</w:t>
            </w:r>
          </w:p>
        </w:tc>
        <w:tc>
          <w:tcPr>
            <w:tcW w:w="12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855,440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2,203,187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(109,709)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350,206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2,089,071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Equity attributable to Green Thumb Industries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Inc.</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7,784,327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2,203,187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2,329,971</w:t>
            </w: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6,645,263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2,089,070</w:t>
            </w:r>
          </w:p>
        </w:tc>
        <w:tc>
          <w:tcPr>
            <w:tcW w:w="12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2,270,598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4,308,630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2,781,616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1,712,651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16,056,521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5,857,946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3,516,164</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41,409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364,116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37,179</w:t>
            </w:r>
          </w:p>
        </w:tc>
        <w:tc>
          <w:tcPr>
            <w:tcW w:w="16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(112,245)</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Industries Inc.</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1,139,063</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364,117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59,373</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1,807,229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699,625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(79,402)</w:t>
            </w:r>
          </w:p>
        </w:tc>
        <w:tc>
          <w:tcPr>
            <w:tcW w:w="0" w:type="dxa"/>
            <w:vAlign w:val="bottom"/>
          </w:tcPr>
          <w:p>
            <w:pPr>
              <w:spacing w:after="0"/>
              <w:rPr>
                <w:sz w:val="1"/>
                <w:szCs w:val="1"/>
                <w:color w:val="auto"/>
              </w:rPr>
            </w:pPr>
          </w:p>
        </w:tc>
      </w:tr>
      <w:tr>
        <w:trPr>
          <w:trHeight w:val="223"/>
        </w:trPr>
        <w:tc>
          <w:tcPr>
            <w:tcW w:w="37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1,180,472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728,233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96,552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$ 1,399,249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March 31, 2020 and December 31, 2019 , VIEs included in the Other Non-material VIEs are Bluepoint Wellness of Westport LLC and Meshow, LLC.</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During 2019, the Company acquired noncontrolling interests for Ohio Investors 2017, LLC; KW Ventures Holdings, LLC (Firefly); and GTI New Jersey, LLC. There have been no changes in ownership of any of the Companies VIEs since December 31, 2019.</w:t>
      </w:r>
    </w:p>
    <w:p>
      <w:pPr>
        <w:spacing w:after="0" w:line="166" w:lineRule="exact"/>
        <w:rPr>
          <w:sz w:val="20"/>
          <w:szCs w:val="20"/>
          <w:color w:val="auto"/>
        </w:rPr>
      </w:pPr>
    </w:p>
    <w:p>
      <w:pPr>
        <w:ind w:left="560" w:hanging="444"/>
        <w:spacing w:after="0"/>
        <w:tabs>
          <w:tab w:leader="none" w:pos="5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4" w:lineRule="exact"/>
        <w:rPr>
          <w:sz w:val="20"/>
          <w:szCs w:val="20"/>
          <w:color w:val="auto"/>
        </w:rPr>
      </w:pPr>
    </w:p>
    <w:p>
      <w:pPr>
        <w:ind w:left="560" w:hanging="444"/>
        <w:spacing w:after="0"/>
        <w:tabs>
          <w:tab w:leader="none" w:pos="5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revenues by type for the three months ended March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46,322,028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13,494,740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75,961,450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16,117,365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(19,680,876)</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(1,698,942)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102,602,602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27,913,163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10,508,491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2,997,866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797,278</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390,735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1,399,403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80,958</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12,705,172</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4,227,000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228,000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8,922,000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1,480,000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(472,000)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13,149,000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1,236,000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Goodwill assigned to the Consumer Packaged Goods segment as of March 31, 2020 and December 31, 2019 was $252,461,232 and $255,211,232, respectively. Intangible assets, net assigned to the Consumer Packaged Goods segment as of March 31, 2020 and December 31, 2019 was $223,605,116 and $228,795,692, respectively.</w:t>
      </w:r>
    </w:p>
    <w:p>
      <w:pPr>
        <w:spacing w:after="0" w:line="76" w:lineRule="exact"/>
        <w:rPr>
          <w:sz w:val="20"/>
          <w:szCs w:val="20"/>
          <w:color w:val="auto"/>
        </w:rPr>
      </w:pPr>
    </w:p>
    <w:p>
      <w:pPr>
        <w:ind w:left="560" w:right="600"/>
        <w:spacing w:after="0" w:line="263" w:lineRule="auto"/>
        <w:rPr>
          <w:sz w:val="20"/>
          <w:szCs w:val="20"/>
          <w:color w:val="auto"/>
        </w:rPr>
      </w:pPr>
      <w:r>
        <w:rPr>
          <w:rFonts w:ascii="Arial" w:cs="Arial" w:eastAsia="Arial" w:hAnsi="Arial"/>
          <w:sz w:val="18"/>
          <w:szCs w:val="18"/>
          <w:color w:val="auto"/>
        </w:rPr>
        <w:t>Goodwill assigned to the Retail segment as of March 31, 2020 and December 31, 2019 was $119,757,767 and $119,873,759, respectively. Intangible assets, net assigned to the Retail segment as of March 31, 2020 and December 31, 2019 was $202,723,615 and $207,002,644, respectively.</w:t>
      </w:r>
    </w:p>
    <w:p>
      <w:pPr>
        <w:spacing w:after="0" w:line="76" w:lineRule="exact"/>
        <w:rPr>
          <w:sz w:val="20"/>
          <w:szCs w:val="20"/>
          <w:color w:val="auto"/>
        </w:rPr>
      </w:pPr>
    </w:p>
    <w:p>
      <w:pPr>
        <w:ind w:left="560" w:right="40"/>
        <w:spacing w:after="0" w:line="296" w:lineRule="auto"/>
        <w:rPr>
          <w:sz w:val="20"/>
          <w:szCs w:val="20"/>
          <w:color w:val="auto"/>
        </w:rPr>
      </w:pPr>
      <w:r>
        <w:rPr>
          <w:rFonts w:ascii="Arial" w:cs="Arial" w:eastAsia="Arial" w:hAnsi="Arial"/>
          <w:sz w:val="16"/>
          <w:szCs w:val="16"/>
          <w:color w:val="auto"/>
        </w:rPr>
        <w:t>The Company’s assets are aggregated into two reportable segments (Retail and Consumer Packaged Goods). For the purposes of testing goodwill, Green Thumb has identified 22 reporting units. The Company analyzed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2019, and the related consolidated statement of operations, changes in shareholders’ equity, and cash flows for the year then ended December 31 2019, and the related notes (collectively referred to as the “consolidated financial statements”).</w:t>
      </w:r>
    </w:p>
    <w:p>
      <w:pPr>
        <w:spacing w:after="0" w:line="18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consolidated financial position of the Company as of December 31, 2019, and the consolidated results of its operations and its cash flows for the year then ended December 31, 2019, in conformity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Company for the year ended December 31, 2018 were audited by another auditor.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changed its accounting method of accounting for leases on January 1, 2019, due to the adoption of Financial Accounting Standard Board’s Accounting Standards Codification 842, Leases, and related amendments.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14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139"/>
          </w:cols>
          <w:pgMar w:left="320" w:top="459" w:right="1440"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145415</wp:posOffset>
            </wp:positionV>
            <wp:extent cx="977265" cy="2571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820" w:space="720"/>
            <w:col w:w="2600"/>
          </w:cols>
          <w:pgMar w:left="320" w:top="459" w:right="43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183515</wp:posOffset>
            </wp:positionV>
            <wp:extent cx="934720" cy="300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4720" cy="3003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40"/>
          </w:cols>
          <w:pgMar w:left="320" w:top="459" w:right="43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Thumb Industries (GTI) Group of Companies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Combined Financial Statements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audited the accompanying combined statements of operations, changes in members’ equity, and cash flows of Green Thumb Industries (GTI) Group of Companies (the “Company”) for the year ended December 31, 2017, and the related notes (collectively referred to as the “combined financial statements”).</w:t>
      </w:r>
    </w:p>
    <w:p>
      <w:pPr>
        <w:spacing w:after="0" w:line="18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our opinion, the combined financial statements present fairly, in all material respects, the combined results of its operations of the Company and its cash flows for the year ended December 31, 2017, in conformity with accounting principles generally accepted in the United States of America.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ind w:left="4400"/>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145,986,072</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7,530,253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4,574,404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46,034,481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12,359,064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3,500,000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6,780,657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1,501,555</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2,049,886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1,140,926</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109,062,611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169,062,021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155,596,675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65,324,080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63,647,812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14,068,821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40,933,283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5,850,000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815,937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7,424,727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435,246,898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88,365,678</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375,084,991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39,204,360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3,662,879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2,184,417</w:t>
            </w: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1,167,536,624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418,348,566</w:t>
            </w: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9,990,377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8,928,528</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35,939,850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7,326,156</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1,480,660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3,833,268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5,500,000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25,420,009</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50,391,181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Derivative Liability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4,238,701</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5,505,904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457,585</w:t>
            </w:r>
          </w:p>
        </w:tc>
      </w:tr>
      <w:tr>
        <w:trPr>
          <w:trHeight w:val="224"/>
        </w:trPr>
        <w:tc>
          <w:tcPr>
            <w:tcW w:w="7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47,851,639</w:t>
            </w:r>
          </w:p>
        </w:tc>
        <w:tc>
          <w:tcPr>
            <w:tcW w:w="80" w:type="dxa"/>
            <w:vAlign w:val="bottom"/>
          </w:tcPr>
          <w:p>
            <w:pPr>
              <w:spacing w:after="0"/>
              <w:rPr>
                <w:sz w:val="19"/>
                <w:szCs w:val="19"/>
                <w:color w:val="auto"/>
              </w:rPr>
            </w:pPr>
          </w:p>
        </w:tc>
      </w:tr>
      <w:tr>
        <w:trPr>
          <w:trHeight w:val="107"/>
        </w:trPr>
        <w:tc>
          <w:tcPr>
            <w:tcW w:w="7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61,115,737</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91,140,194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5,733,797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8,545,558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9,035,250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15,879,843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36,279,361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13,541,000</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324,327,948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76,161,686</w:t>
            </w:r>
          </w:p>
        </w:tc>
      </w:tr>
      <w:tr>
        <w:trPr>
          <w:trHeight w:val="365"/>
        </w:trPr>
        <w:tc>
          <w:tcPr>
            <w:tcW w:w="7420" w:type="dxa"/>
            <w:vAlign w:val="bottom"/>
          </w:tcPr>
          <w:p>
            <w:pPr>
              <w:ind w:left="5340"/>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14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88"/>
        </w:trPr>
        <w:tc>
          <w:tcPr>
            <w:tcW w:w="8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Subordinate Voting Shares (Shares Authorized, Issued and Outstanding at December 31, 2019: Unlimited,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128,999,964 and 128,999,964, respectively at December 31, 2018: Unlimited, 43,920,131, and 43,920,131,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9"/>
              </w:rPr>
              <w:t>Multiple Voting Shares (Shares Authorized, Issued and Outstanding at December 31, 2019: Unlimited,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5"/>
              </w:rPr>
              <w:t>373,350 and 373,350, respectively at December 31, 2018: Unlimited, 677,230 and 677,230, respectively)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Super Voting Shares (Shares Authorized, Issued and Outstanding at December 31, 2019: Unlimited, 402,289</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402,289, respectively at December 31, 2018: Unlimited, 424,513 and 424,513, 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240" w:type="dxa"/>
            <w:vAlign w:val="bottom"/>
          </w:tcPr>
          <w:p>
            <w:pPr>
              <w:jc w:val="right"/>
              <w:spacing w:after="0"/>
              <w:rPr>
                <w:sz w:val="20"/>
                <w:szCs w:val="20"/>
                <w:color w:val="auto"/>
              </w:rPr>
            </w:pPr>
            <w:r>
              <w:rPr>
                <w:rFonts w:ascii="Arial" w:cs="Arial" w:eastAsia="Arial" w:hAnsi="Arial"/>
                <w:sz w:val="18"/>
                <w:szCs w:val="18"/>
                <w:color w:val="auto"/>
              </w:rPr>
              <w:t>980,638,701</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397,590,465</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to be Issued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27,773,234</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1240" w:type="dxa"/>
            <w:vAlign w:val="bottom"/>
          </w:tcPr>
          <w:p>
            <w:pPr>
              <w:jc w:val="right"/>
              <w:spacing w:after="0"/>
              <w:rPr>
                <w:sz w:val="20"/>
                <w:szCs w:val="20"/>
                <w:color w:val="auto"/>
              </w:rPr>
            </w:pPr>
            <w:r>
              <w:rPr>
                <w:rFonts w:ascii="Arial" w:cs="Arial" w:eastAsia="Arial" w:hAnsi="Arial"/>
                <w:sz w:val="18"/>
                <w:szCs w:val="18"/>
                <w:color w:val="auto"/>
              </w:rPr>
              <w:t>3,960,854</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14,202,659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(160,491,590)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(100,876,937)</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840,695,763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338,689,421</w:t>
            </w:r>
          </w:p>
        </w:tc>
        <w:tc>
          <w:tcPr>
            <w:tcW w:w="120" w:type="dxa"/>
            <w:vAlign w:val="bottom"/>
            <w:shd w:val="clear" w:color="auto" w:fill="CCEEFF"/>
          </w:tcPr>
          <w:p>
            <w:pPr>
              <w:spacing w:after="0"/>
              <w:rPr>
                <w:sz w:val="18"/>
                <w:szCs w:val="18"/>
                <w:color w:val="auto"/>
              </w:rPr>
            </w:pP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843,208,676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342,186,880</w:t>
            </w:r>
          </w:p>
        </w:tc>
        <w:tc>
          <w:tcPr>
            <w:tcW w:w="120" w:type="dxa"/>
            <w:vAlign w:val="bottom"/>
            <w:shd w:val="clear" w:color="auto" w:fill="CCEEFF"/>
          </w:tcPr>
          <w:p>
            <w:pPr>
              <w:spacing w:after="0"/>
              <w:rPr>
                <w:sz w:val="18"/>
                <w:szCs w:val="18"/>
                <w:color w:val="auto"/>
              </w:rPr>
            </w:pPr>
          </w:p>
        </w:tc>
      </w:tr>
      <w:tr>
        <w:trPr>
          <w:trHeight w:val="331"/>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w w:val="90"/>
              </w:rPr>
              <w:t>$  1,167,536,624</w:t>
            </w:r>
          </w:p>
        </w:tc>
        <w:tc>
          <w:tcPr>
            <w:tcW w:w="20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418,348,566</w:t>
            </w:r>
          </w:p>
        </w:tc>
      </w:tr>
      <w:tr>
        <w:trPr>
          <w:trHeight w:val="20"/>
        </w:trPr>
        <w:tc>
          <w:tcPr>
            <w:tcW w:w="8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216,432,605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62,493,680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(109,401,914)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(34,177,259)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(9,807,775)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107,030,691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28,316,421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6,721,004</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134,721,393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54,656,579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11,490,772</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134,721,393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54,656,579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(27,690,702)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(26,340,158)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(4,769,768)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(10,318,936)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56,417,421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544,399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1,465,705</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1,952,945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(13,658,904)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(22,512,135)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56,091,532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(50,202,837)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29,751,374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(4,657,817)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9,344,033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(59,546,870)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22,567,779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(4,871,817)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(430,463)</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27,811,696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(59,116,407)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(4,249,775)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Green Thumb Industries Inc.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190,602,400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130,102,523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63,123,183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to</w:t>
            </w:r>
          </w:p>
        </w:tc>
        <w:tc>
          <w:tcPr>
            <w:tcW w:w="1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Issuances</w:t>
            </w:r>
          </w:p>
        </w:tc>
        <w:tc>
          <w:tcPr>
            <w:tcW w:w="1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2017</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Contributions from shareholders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65,385,608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774,468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66,160,076</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 contributions receivable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Initial consolidation of variable interest entities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934,472</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 payable into membership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2,279,452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 payable to shareholders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(279,750)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shareholders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(34,007,599)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(34,007,599)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(4,871,817)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65,308,240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3,366,350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64,424,815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65,308,240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(4,249,775)</w:t>
            </w:r>
          </w:p>
        </w:tc>
        <w:tc>
          <w:tcPr>
            <w:tcW w:w="2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3,366,350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64,424,815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notes payable into share capital</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3,927,483</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4,686,257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Reverse takeover</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pursuant to private placement, net of issuance costs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issuance of options as settlement of services provided</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58,881,710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906,366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59,788,076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Purchase accounting adjustments for 2017 acquisitions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(2,800,000)</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exchange note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44,140,526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44,140,526</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w w:val="96"/>
              </w:rPr>
              <w:t>Issuance of shares upon fundraise transaction, August 2018, net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58,592,775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58,592,775</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shares upon fundraise transaction, October 2018, net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75,083,480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75,083,480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 from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1,637,479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17,297,494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18,934,973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Issuance of shares under business combinations and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51,151,649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51,151,649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35,940,000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27,773,234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(90,244,101)</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(10,439,741)</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(36,970,608)</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12,148,251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12,148,251</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1,395,733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906,296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Control acquired through management service agreement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(164,635)</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(164,635)</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under business combination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1,896,546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(2,266,627)</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(14,821,657)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(17,088,284)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(26,134,851)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(26,134,851)</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(5,243,917)</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27,811,696</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22,567,779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397,590,465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27,773,234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14,202,659</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(100,876,937)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3,497,459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342,186,880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Shares to</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Issuances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$ 397,590,465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27,773,234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14,202,659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(100,876,937)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3,497,459</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$ 342,186,880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(498,246)</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22,461,256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(27,773,234)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(1,128,776)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5,311,978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1,650,000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shares under business combinations and investments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530,697,606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(23,697,894)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506,999,712</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16,587,798</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(4,469,365)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25,420,009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18,285,377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18,285,377</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consideration of professional fees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broker options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(7,516,061)</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(59,116,407)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(430,463)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(59,546,870)</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2019</w:t>
            </w:r>
          </w:p>
        </w:tc>
        <w:tc>
          <w:tcPr>
            <w:tcW w:w="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$ 980,638,701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3,960,854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16,587,798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(160,491,590)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2,512,913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$ 843,208,676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(59,116,407)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(5,243,917)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(4,249,775)</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27,811,696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(622,042)</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31,482,340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689,988</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7,291,154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Loss from investment in associate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301,105</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(13,680,913)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4,061,000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18,285,377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12,148,251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5,586,480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(51,942,861)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conversion feature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02"/>
        </w:trPr>
        <w:tc>
          <w:tcPr>
            <w:tcW w:w="7360" w:type="dxa"/>
            <w:vAlign w:val="bottom"/>
          </w:tcPr>
          <w:p>
            <w:pPr>
              <w:ind w:left="720"/>
              <w:spacing w:after="0" w:line="201" w:lineRule="exact"/>
              <w:rPr>
                <w:sz w:val="20"/>
                <w:szCs w:val="20"/>
                <w:color w:val="auto"/>
              </w:rPr>
            </w:pPr>
            <w:r>
              <w:rPr>
                <w:rFonts w:ascii="Arial" w:cs="Arial" w:eastAsia="Arial" w:hAnsi="Arial"/>
                <w:sz w:val="18"/>
                <w:szCs w:val="18"/>
                <w:color w:val="auto"/>
              </w:rPr>
              <w:t>Changes in value of liabilities related to put option and purchase of 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60" w:type="dxa"/>
            <w:vAlign w:val="bottom"/>
          </w:tcPr>
          <w:p>
            <w:pPr>
              <w:ind w:left="90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132,523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(2,518,180)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on convertible note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3,908,529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warrants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(4,159,687)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 fair value of convertible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6,608,790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(592,026)</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(19,928,761)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(7,441,790)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(1,804,844)</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(5,656,786)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(394,922)</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(306,795)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(679,072)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(901,768)</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4,725,096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3,098,293</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9,122,121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1,722,772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(26,717)</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(6,488,207)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23"/>
        </w:trPr>
        <w:tc>
          <w:tcPr>
            <w:tcW w:w="73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5,048,319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214,000</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(18,013,610)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(17,683,003)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(4,288,708)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debentures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(42,550,000)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associates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(88,557,016)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(27,432,847)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(14,244,340)</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20,325,557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Advances to related parties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(1,188,686)</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from related parties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Consolidation of variable interest entities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licenses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(220,000)</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(109,439,921)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(51,489,384)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(10,372,385)</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(174,671,380)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(111,421,268)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(26,025,411)</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21,748,211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66,160,076</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Distributions to limited liability company unit holders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(7,516,061)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(17,368,034)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(34,007,599)</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change in ownership interests of subsidiary</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shares issued pursuant to private placement</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66,805,295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exchangeable notes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fundraise transactions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140,289,093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options and RSUs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Reverse takeover, private placement, and fundraise transaction financing costs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(10,627,423)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117,435,724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15,000,000</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Principal repayment of notes payable</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(18,743,500)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(1,353,592)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(228,379)</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93,366,252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245,524,846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46,924,098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(99,318,738)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116,420,575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16,609,979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145,986,072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12,955,518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29,565,497</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5,019,465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874,298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149,081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8,613,740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906,366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(319,411</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Accrued capital expenditures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14,949,980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2,710,085</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26,134,851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related to put option of convertible note payable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7,108,043</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 of Use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(63,477,013)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Increase in Lease Liabilities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63,975,259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498,246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Exercise of put options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(1,128,776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attributable to debt issuance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20,039,530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for purchase of noncontrolling interest</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(25,420,009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25,068,847</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 for contingent consideration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10,999,040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Deferred share issuances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16,587,798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495,737,729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51,151,649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13,746,656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975,329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483,058</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2,164,140</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531,276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26,635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16,628,952</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3,938,703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397,015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7,461,953</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377,163,592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76,650,639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10,600,480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331,208,108</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w w:val="95"/>
              </w:rPr>
              <w:t>39,016,100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188,260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1,171,667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239,808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(9,729,371)</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(2,088,369)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(1,296,428)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(7,461,953)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Contingent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(56,992,000)</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(8,857,220)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interests issued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0"/>
              </w:rPr>
              <w:t>(495,806,400)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0"/>
              </w:rPr>
              <w:t>(49,689,149)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Conversion of notes receivable previously issued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(27,121,559)</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(17,378,866)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(36,046,274)</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(6,680,000)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(2,043,092)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109,439,921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51,489,384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10,372,385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consolidation of controlled entities, net of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79,083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2,433,950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1,287,356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(2,841,444)</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(514,805)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(319,411)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Company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year ended December 31, 2019, GTI has operating revenue in twelve markets (California, Colorado, Connecticut, Florida, Illinois, Nevada, Maryland, Massachusetts, New York, New Jersey, Ohio, and Pennsylvania).</w:t>
      </w:r>
    </w:p>
    <w:p>
      <w:pPr>
        <w:spacing w:after="0" w:line="164"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1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December 31, 2019 and 2018 (the “financial statements”), have been prepared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1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1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years ended December 31, 2019 and 2018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-2411095</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8" w:lineRule="exact"/>
        <w:rPr>
          <w:rFonts w:ascii="Arial" w:cs="Arial" w:eastAsia="Arial" w:hAnsi="Arial"/>
          <w:sz w:val="18"/>
          <w:szCs w:val="18"/>
          <w:b w:val="1"/>
          <w:bCs w:val="1"/>
          <w:color w:val="auto"/>
        </w:rPr>
      </w:pPr>
    </w:p>
    <w:p>
      <w:pPr>
        <w:ind w:left="110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5"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-2470785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20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0"/>
              </w:rPr>
              <w:t>Jurisdiction</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GTI23, Inc.</w:t>
            </w:r>
          </w:p>
        </w:tc>
        <w:tc>
          <w:tcPr>
            <w:tcW w:w="4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Delaware</w:t>
            </w:r>
          </w:p>
        </w:tc>
        <w:tc>
          <w:tcPr>
            <w:tcW w:w="50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45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80" w:type="dxa"/>
            <w:vAlign w:val="bottom"/>
            <w:gridSpan w:val="2"/>
          </w:tcPr>
          <w:p>
            <w:pPr>
              <w:ind w:left="1680"/>
              <w:spacing w:after="0"/>
              <w:rPr>
                <w:sz w:val="20"/>
                <w:szCs w:val="20"/>
                <w:color w:val="auto"/>
              </w:rPr>
            </w:pPr>
            <w:r>
              <w:rPr>
                <w:rFonts w:ascii="Arial" w:cs="Arial" w:eastAsia="Arial" w:hAnsi="Arial"/>
                <w:sz w:val="18"/>
                <w:szCs w:val="18"/>
                <w:color w:val="auto"/>
              </w:rPr>
              <w:t>F-40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5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Ownership</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w:t>
            </w:r>
          </w:p>
        </w:tc>
        <w:tc>
          <w:tcPr>
            <w:tcW w:w="2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Purpose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1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Disp,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Ohio Investors 2017, LLC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Ohio,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Florida,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KSGNF,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New Jersey</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Ventures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Chesapeake Alternatives,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Meshow,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Advanced Grow Labs,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Bluepoint Wellness of Westport,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Bluepoint Apothecary,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Integral Associates CA,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Fiorello Pharmaceuticals,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MC Brands,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Colorado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Success Holding Company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Vision Management Services,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TWD18,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Investment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 See Note 13 - Investment in Associates for additional details.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10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1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 ended December 31, 2019 the Company recorded approximately $139,000 in allowance for doubtful accounts. For the year ended December 31, 2018, the Company determined that an allowance for doubtful accounts was not required. The Company wrote off approximately $161,700 during the year ended December 31, 2019 and no accounts were written off during the year ended December 31, 2018.</w:t>
      </w:r>
    </w:p>
    <w:p>
      <w:pPr>
        <w:spacing w:after="0" w:line="9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1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-5316855</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-761365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Land</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88"/>
              </w:rPr>
              <w:t>39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7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were no impairment charge or disposals related to intangible assets or property, plant and equipment for the years ended December 31, 2019 and 2018, respectively.</w:t>
      </w:r>
    </w:p>
    <w:p>
      <w:pPr>
        <w:spacing w:after="0" w:line="73"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1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Licenses and Permits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6"/>
              </w:rPr>
              <w:t>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Tradenames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9"/>
              </w:rPr>
              <w:t>3-15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3-7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2-5 years</w:t>
            </w:r>
          </w:p>
        </w:tc>
      </w:tr>
    </w:tbl>
    <w:p>
      <w:pPr>
        <w:spacing w:after="0" w:line="94"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5"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5" w:lineRule="exact"/>
        <w:rPr>
          <w:rFonts w:ascii="Arial" w:cs="Arial" w:eastAsia="Arial" w:hAnsi="Arial"/>
          <w:sz w:val="18"/>
          <w:szCs w:val="18"/>
          <w:b w:val="1"/>
          <w:bCs w:val="1"/>
          <w:color w:val="auto"/>
        </w:rPr>
      </w:pPr>
    </w:p>
    <w:p>
      <w:pPr>
        <w:ind w:left="11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3" w:lineRule="exact"/>
        <w:rPr>
          <w:rFonts w:ascii="Arial" w:cs="Arial" w:eastAsia="Arial" w:hAnsi="Arial"/>
          <w:sz w:val="18"/>
          <w:szCs w:val="18"/>
          <w:b w:val="1"/>
          <w:bCs w:val="1"/>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79" w:lineRule="exact"/>
        <w:rPr>
          <w:rFonts w:ascii="Arial" w:cs="Arial" w:eastAsia="Arial" w:hAnsi="Arial"/>
          <w:sz w:val="18"/>
          <w:szCs w:val="18"/>
          <w:b w:val="1"/>
          <w:bCs w:val="1"/>
          <w:color w:val="auto"/>
        </w:rPr>
      </w:pPr>
    </w:p>
    <w:p>
      <w:pPr>
        <w:ind w:left="11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10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40"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540" w:hanging="331"/>
        <w:spacing w:after="0"/>
        <w:tabs>
          <w:tab w:leader="none" w:pos="15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-2127885</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2019, 2018 and 2017.</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2019, the loyalty liability totaled $1,000,010 and is included in accounts payable on the consolidated balance sheet. There were no loyalty liabilities as of December 31, 2018.</w:t>
      </w:r>
    </w:p>
    <w:p>
      <w:pPr>
        <w:spacing w:after="0" w:line="7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1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4" w:lineRule="exact"/>
        <w:rPr>
          <w:rFonts w:ascii="Arial" w:cs="Arial" w:eastAsia="Arial" w:hAnsi="Arial"/>
          <w:sz w:val="18"/>
          <w:szCs w:val="18"/>
          <w:b w:val="1"/>
          <w:bCs w:val="1"/>
          <w:color w:val="auto"/>
        </w:rPr>
      </w:pPr>
    </w:p>
    <w:p>
      <w:pPr>
        <w:ind w:left="11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18)</w:t>
      </w:r>
    </w:p>
    <w:p>
      <w:pPr>
        <w:spacing w:after="0" w:line="121" w:lineRule="exact"/>
        <w:rPr>
          <w:rFonts w:ascii="Arial" w:cs="Arial" w:eastAsia="Arial" w:hAnsi="Arial"/>
          <w:sz w:val="18"/>
          <w:szCs w:val="18"/>
          <w:b w:val="1"/>
          <w:bCs w:val="1"/>
          <w:color w:val="auto"/>
        </w:rPr>
      </w:pPr>
    </w:p>
    <w:p>
      <w:pPr>
        <w:ind w:left="110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69" w:lineRule="exact"/>
        <w:rPr>
          <w:rFonts w:ascii="Arial" w:cs="Arial" w:eastAsia="Arial" w:hAnsi="Arial"/>
          <w:sz w:val="18"/>
          <w:szCs w:val="18"/>
          <w:b w:val="1"/>
          <w:bCs w:val="1"/>
          <w:color w:val="auto"/>
        </w:rPr>
      </w:pPr>
    </w:p>
    <w:p>
      <w:pPr>
        <w:ind w:left="11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1120" w:right="152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87"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5" w:lineRule="exact"/>
        <w:rPr>
          <w:rFonts w:ascii="Arial" w:cs="Arial" w:eastAsia="Arial" w:hAnsi="Arial"/>
          <w:sz w:val="18"/>
          <w:szCs w:val="18"/>
          <w:b w:val="1"/>
          <w:bCs w:val="1"/>
          <w:color w:val="auto"/>
        </w:rPr>
      </w:pPr>
    </w:p>
    <w:p>
      <w:pPr>
        <w:ind w:left="110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10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The Company had 3,839,017 and 1,677,192 options outstanding, 1,399,762 and 1,589,000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restricted stock units outstanding and 2,387,470 and no warrants outstanding as of December 31, 2019 and 2018, respectively. The Company did not have any options, restricted stock units or warrants outstanding as of December 31, 2017.</w:t>
      </w:r>
    </w:p>
    <w:p>
      <w:pPr>
        <w:spacing w:after="0" w:line="15"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decrease loss per share. As a result, the Company’s calculation of basic earnings per share and diluted earnings per share include the same number of share equivalents for the years ended December 31, 2019, 2018 and 2017.</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1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1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69" w:lineRule="exact"/>
        <w:rPr>
          <w:rFonts w:ascii="Arial" w:cs="Arial" w:eastAsia="Arial" w:hAnsi="Arial"/>
          <w:sz w:val="18"/>
          <w:szCs w:val="18"/>
          <w:b w:val="1"/>
          <w:bCs w:val="1"/>
          <w:color w:val="auto"/>
        </w:rPr>
      </w:pPr>
    </w:p>
    <w:p>
      <w:pPr>
        <w:jc w:val="both"/>
        <w:ind w:left="1100" w:right="3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-5801995</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of Other Long-Lived Assets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flows, an impairment loss is recorded for the excess of the asset’s carrying value over its fair value. There was no impairment charge related to intangible assets or property, plant and equipment for the years ended December 31, 2019 and 2018.</w:t>
      </w:r>
    </w:p>
    <w:p>
      <w:pPr>
        <w:spacing w:after="0" w:line="4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1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rFonts w:ascii="Arial" w:cs="Arial" w:eastAsia="Arial" w:hAnsi="Arial"/>
          <w:sz w:val="18"/>
          <w:szCs w:val="18"/>
          <w:b w:val="1"/>
          <w:bCs w:val="1"/>
          <w:color w:val="auto"/>
        </w:rPr>
      </w:pPr>
    </w:p>
    <w:p>
      <w:pPr>
        <w:ind w:left="11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8)</w:t>
      </w:r>
    </w:p>
    <w:p>
      <w:pPr>
        <w:spacing w:after="0" w:line="117" w:lineRule="exact"/>
        <w:rPr>
          <w:rFonts w:ascii="Arial" w:cs="Arial" w:eastAsia="Arial" w:hAnsi="Arial"/>
          <w:sz w:val="18"/>
          <w:szCs w:val="18"/>
          <w:i w:val="1"/>
          <w:iCs w:val="1"/>
          <w:color w:val="auto"/>
        </w:rPr>
      </w:pPr>
    </w:p>
    <w:p>
      <w:pPr>
        <w:ind w:left="154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54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5" w:lineRule="exact"/>
        <w:rPr>
          <w:rFonts w:ascii="Arial" w:cs="Arial" w:eastAsia="Arial" w:hAnsi="Arial"/>
          <w:sz w:val="18"/>
          <w:szCs w:val="18"/>
          <w:i w:val="1"/>
          <w:iCs w:val="1"/>
          <w:color w:val="auto"/>
        </w:rPr>
      </w:pPr>
    </w:p>
    <w:p>
      <w:pPr>
        <w:ind w:left="15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7 - Acquisitions for additional details.</w:t>
      </w:r>
    </w:p>
    <w:p>
      <w:pPr>
        <w:spacing w:after="0" w:line="7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5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-5711825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5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5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8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54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The following represent the markets in which GTI’s operates as of December 31, 2019: California, Colorado, Connecticut, Florida, Illinois, Maryland, Massachusetts, Nevada, New Jersey, New York, Ohio and Pennsylvania.</w:t>
      </w:r>
    </w:p>
    <w:p>
      <w:pPr>
        <w:spacing w:after="0" w:line="69"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540" w:right="1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6"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540" w:right="26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-4982845</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54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5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including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-2327275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540" w:right="120" w:hanging="439"/>
        <w:spacing w:after="0" w:line="296" w:lineRule="auto"/>
        <w:tabs>
          <w:tab w:leader="none" w:pos="1540" w:val="left"/>
        </w:tabs>
        <w:numPr>
          <w:ilvl w:val="1"/>
          <w:numId w:val="108"/>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3" w:lineRule="exact"/>
        <w:rPr>
          <w:rFonts w:ascii="Arial" w:cs="Arial" w:eastAsia="Arial" w:hAnsi="Arial"/>
          <w:sz w:val="16"/>
          <w:szCs w:val="16"/>
          <w:i w:val="1"/>
          <w:iCs w:val="1"/>
          <w:color w:val="auto"/>
        </w:rPr>
      </w:pPr>
    </w:p>
    <w:p>
      <w:pPr>
        <w:ind w:left="1540" w:right="3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Upon adoption of ASU 2016-02, the Company recorded right-of-use assets of $11,197,339 and corresponding lease liabilities of $11,695,585 with the difference of $498,246 recorded in opening retained earnings.</w:t>
      </w:r>
    </w:p>
    <w:p>
      <w:pPr>
        <w:spacing w:after="0" w:line="75" w:lineRule="exact"/>
        <w:rPr>
          <w:rFonts w:ascii="Arial" w:cs="Arial" w:eastAsia="Arial" w:hAnsi="Arial"/>
          <w:sz w:val="16"/>
          <w:szCs w:val="16"/>
          <w:i w:val="1"/>
          <w:iCs w:val="1"/>
          <w:color w:val="auto"/>
        </w:rPr>
      </w:pPr>
    </w:p>
    <w:p>
      <w:pPr>
        <w:ind w:left="1540" w:right="140" w:hanging="439"/>
        <w:spacing w:after="0" w:line="287" w:lineRule="auto"/>
        <w:tabs>
          <w:tab w:leader="none" w:pos="1540" w:val="left"/>
        </w:tabs>
        <w:numPr>
          <w:ilvl w:val="1"/>
          <w:numId w:val="108"/>
        </w:numPr>
        <w:rPr>
          <w:rFonts w:ascii="Arial" w:cs="Arial" w:eastAsia="Arial" w:hAnsi="Arial"/>
          <w:sz w:val="16"/>
          <w:szCs w:val="16"/>
          <w:i w:val="1"/>
          <w:iCs w:val="1"/>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w:t>
      </w:r>
    </w:p>
    <w:p>
      <w:pPr>
        <w:spacing w:after="0" w:line="2" w:lineRule="exact"/>
        <w:rPr>
          <w:rFonts w:ascii="Arial" w:cs="Arial" w:eastAsia="Arial" w:hAnsi="Arial"/>
          <w:sz w:val="16"/>
          <w:szCs w:val="16"/>
          <w:i w:val="1"/>
          <w:iCs w:val="1"/>
          <w:color w:val="auto"/>
        </w:rPr>
      </w:pPr>
    </w:p>
    <w:p>
      <w:pPr>
        <w:ind w:left="1540" w:right="8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67" w:lineRule="exact"/>
        <w:rPr>
          <w:rFonts w:ascii="Arial" w:cs="Arial" w:eastAsia="Arial" w:hAnsi="Arial"/>
          <w:sz w:val="16"/>
          <w:szCs w:val="16"/>
          <w:i w:val="1"/>
          <w:iCs w:val="1"/>
          <w:color w:val="auto"/>
        </w:rPr>
      </w:pPr>
    </w:p>
    <w:p>
      <w:pPr>
        <w:ind w:left="1540" w:right="20" w:hanging="439"/>
        <w:spacing w:after="0" w:line="257" w:lineRule="auto"/>
        <w:tabs>
          <w:tab w:leader="none" w:pos="1540" w:val="left"/>
        </w:tabs>
        <w:numPr>
          <w:ilvl w:val="1"/>
          <w:numId w:val="108"/>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and Revised Standards </w:t>
      </w:r>
      <w:r>
        <w:rPr>
          <w:rFonts w:ascii="Arial" w:cs="Arial" w:eastAsia="Arial" w:hAnsi="Arial"/>
          <w:sz w:val="18"/>
          <w:szCs w:val="18"/>
          <w:color w:val="auto"/>
        </w:rPr>
        <w:t>(Continued)</w:t>
      </w:r>
    </w:p>
    <w:p>
      <w:pPr>
        <w:spacing w:after="0" w:line="135"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goodwill and comparing it with the carrying amount of that goodwill. ASU 2017-04 must be applied prospectively and is effective in the first quarter of 2020. Early adoption is permitted. The Company intends to adopt the new standard in the first quarter of 2020.</w:t>
      </w:r>
    </w:p>
    <w:p>
      <w:pPr>
        <w:spacing w:after="0" w:line="29" w:lineRule="exact"/>
        <w:rPr>
          <w:sz w:val="20"/>
          <w:szCs w:val="20"/>
          <w:color w:val="auto"/>
        </w:rPr>
      </w:pPr>
    </w:p>
    <w:p>
      <w:pPr>
        <w:ind w:left="1540" w:hanging="439"/>
        <w:spacing w:after="0" w:line="279" w:lineRule="auto"/>
        <w:tabs>
          <w:tab w:leader="none" w:pos="1540" w:val="left"/>
        </w:tabs>
        <w:numPr>
          <w:ilvl w:val="0"/>
          <w:numId w:val="111"/>
        </w:numPr>
        <w:rPr>
          <w:rFonts w:ascii="Arial" w:cs="Arial" w:eastAsia="Arial" w:hAnsi="Arial"/>
          <w:sz w:val="17"/>
          <w:szCs w:val="17"/>
          <w:i w:val="1"/>
          <w:iCs w:val="1"/>
          <w:color w:val="auto"/>
        </w:rPr>
      </w:pPr>
      <w:r>
        <w:rPr>
          <w:rFonts w:ascii="Arial" w:cs="Arial" w:eastAsia="Arial" w:hAnsi="Arial"/>
          <w:sz w:val="17"/>
          <w:szCs w:val="17"/>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76" w:lineRule="exact"/>
        <w:rPr>
          <w:rFonts w:ascii="Arial" w:cs="Arial" w:eastAsia="Arial" w:hAnsi="Arial"/>
          <w:sz w:val="17"/>
          <w:szCs w:val="17"/>
          <w:i w:val="1"/>
          <w:iCs w:val="1"/>
          <w:color w:val="auto"/>
        </w:rPr>
      </w:pPr>
    </w:p>
    <w:p>
      <w:pPr>
        <w:ind w:left="1540" w:hanging="439"/>
        <w:spacing w:after="0" w:line="257" w:lineRule="auto"/>
        <w:tabs>
          <w:tab w:leader="none" w:pos="1540" w:val="left"/>
        </w:tabs>
        <w:numPr>
          <w:ilvl w:val="0"/>
          <w:numId w:val="111"/>
        </w:numPr>
        <w:rPr>
          <w:rFonts w:ascii="Arial" w:cs="Arial" w:eastAsia="Arial" w:hAnsi="Arial"/>
          <w:sz w:val="18"/>
          <w:szCs w:val="18"/>
          <w:i w:val="1"/>
          <w:iCs w:val="1"/>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i w:val="1"/>
          <w:iCs w:val="1"/>
          <w:color w:val="auto"/>
        </w:rPr>
      </w:pPr>
    </w:p>
    <w:p>
      <w:pPr>
        <w:ind w:left="1540" w:right="120" w:hanging="439"/>
        <w:spacing w:after="0" w:line="255" w:lineRule="auto"/>
        <w:tabs>
          <w:tab w:leader="none" w:pos="1540" w:val="left"/>
        </w:tabs>
        <w:numPr>
          <w:ilvl w:val="0"/>
          <w:numId w:val="111"/>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337"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 Additionally, the Company issued 285,000 options to consultants with a strike prices of C$7.75 per option. The value of the options was approximately $900,000 under the Black-Scholes option pricing model.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4"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Company changed its name from “Bayswater Uranium Corporation” to “Green Thumb Industries Inc.” and consolidated its existing common shares on the basis of one Subordinate Voting Share for each 368 existing common shares of the Company. Such share consolidation has been reflected retrospectively in these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Subco and GTI Finco were parties to a three-cornered amalgamation (“Amalgamation”) whereby GTI Finco shareholders received Subordinate Voting Shares of the Company on a one-for-one basis and members of VCP contributed their membership interests to GTI23 for shares of GTI23 and then contributed their shares of GTI23 to GTI in exchange for Super Voting Shares and Multiple Voting Shares of GTI.</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331"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December 31, 2019 and December 31,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527,456</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4,887,970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2,511,769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10,394,590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5,231,630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26,408,762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4,088,209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(2,031,873)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12,359,064</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reserve for obsolete inventory primarily relates to packaging (raw materials) for certain products that the Company has re-branded during 2019 of otherwise determined to be unsuitable.</w:t>
      </w:r>
    </w:p>
    <w:p>
      <w:pPr>
        <w:spacing w:after="0" w:line="31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October 16, 2018, the Company executed a promissory note to an unrelated third party. The value of the note is variable in nature as the note is secured by warrants which expire in January 2021. The maturity date of the note is tied directly to the expiration date of the warrants, both being January 2021. The initial fair value upon execution of the note was $11,630,867. The fair value as of December 31, 2019 and December 31, 2018 was $815,937 and $7,424,727, respectively, resulting in an adjustment to fair value of ($6,608,790) and ($4,206,141) during those same periods, respectively, which is recorded in other income (expense) on the audited consolidated statements of operations.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as of December 31, 2019 and 2018 using the assumptions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  1.998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$4.03 - $5.50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Volatility</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365"/>
        </w:trPr>
        <w:tc>
          <w:tcPr>
            <w:tcW w:w="3440" w:type="dxa"/>
            <w:vAlign w:val="bottom"/>
          </w:tcPr>
          <w:p>
            <w:pPr>
              <w:spacing w:after="0"/>
              <w:rPr>
                <w:sz w:val="24"/>
                <w:szCs w:val="24"/>
                <w:color w:val="auto"/>
              </w:rPr>
            </w:pPr>
          </w:p>
        </w:tc>
        <w:tc>
          <w:tcPr>
            <w:tcW w:w="3900" w:type="dxa"/>
            <w:vAlign w:val="bottom"/>
            <w:gridSpan w:val="3"/>
          </w:tcPr>
          <w:p>
            <w:pPr>
              <w:jc w:val="right"/>
              <w:ind w:right="2980"/>
              <w:spacing w:after="0"/>
              <w:rPr>
                <w:sz w:val="20"/>
                <w:szCs w:val="20"/>
                <w:color w:val="auto"/>
              </w:rPr>
            </w:pPr>
            <w:r>
              <w:rPr>
                <w:rFonts w:ascii="Arial" w:cs="Arial" w:eastAsia="Arial" w:hAnsi="Arial"/>
                <w:sz w:val="18"/>
                <w:szCs w:val="18"/>
                <w:color w:val="auto"/>
              </w:rPr>
              <w:t>F-52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increase or decrease to the underlying share price and volatility rate of 5% would result in a nominal change to the fair value.</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had a term of one year and bears interest at a rate of 8%. The $500,000 note receivable was included as part of the acquisition consideration of Beboe. See Note 7 for details.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had a term of one year and bears interest at a rate of 8% which was repaid in 2019. The Company accounted for this investment as held-to-maturity.</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w:t>
      </w:r>
    </w:p>
    <w:p>
      <w:pPr>
        <w:spacing w:after="0" w:line="310"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Production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Computer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0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Buildings and</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Furniture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Equipment</w:t>
            </w: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Processing</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Land</w:t>
            </w: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w w:val="96"/>
              </w:rPr>
              <w:t>Fixtures</w:t>
            </w:r>
          </w:p>
        </w:tc>
        <w:tc>
          <w:tcPr>
            <w:tcW w:w="80" w:type="dxa"/>
            <w:vAlign w:val="bottom"/>
          </w:tcPr>
          <w:p>
            <w:pPr>
              <w:spacing w:after="0"/>
              <w:rPr>
                <w:sz w:val="15"/>
                <w:szCs w:val="15"/>
                <w:color w:val="auto"/>
              </w:rPr>
            </w:pPr>
          </w:p>
        </w:tc>
        <w:tc>
          <w:tcPr>
            <w:tcW w:w="92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2"/>
              </w:rPr>
              <w:t>and Software</w:t>
            </w:r>
          </w:p>
        </w:tc>
        <w:tc>
          <w:tcPr>
            <w:tcW w:w="100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94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5"/>
              </w:rPr>
              <w:t>Equipment</w:t>
            </w:r>
          </w:p>
        </w:tc>
        <w:tc>
          <w:tcPr>
            <w:tcW w:w="100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328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2019</w:t>
            </w: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2,243,085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20,861,988</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2,328,847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2,093,205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18,435,893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6,579,446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16,664,958</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69,207,422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892,056</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9,400,171</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143,882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13,981,780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4,075,642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(28,533,698)</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3,500,974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18,817,329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4,667,127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24,020,898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14,147,722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35,711,782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100,900,501</w:t>
            </w: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106,235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169,593</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12,242,926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3,977,534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29,074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16,525,362</w:t>
            </w:r>
          </w:p>
        </w:tc>
        <w:tc>
          <w:tcPr>
            <w:tcW w:w="0" w:type="dxa"/>
            <w:vAlign w:val="bottom"/>
          </w:tcPr>
          <w:p>
            <w:pPr>
              <w:spacing w:after="0"/>
              <w:rPr>
                <w:sz w:val="1"/>
                <w:szCs w:val="1"/>
                <w:color w:val="auto"/>
              </w:rPr>
            </w:pPr>
          </w:p>
        </w:tc>
      </w:tr>
      <w:tr>
        <w:trPr>
          <w:trHeight w:val="149"/>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(3,363,676)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(15,702,017)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(2,854,198)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(21,919,891)</w:t>
            </w:r>
          </w:p>
        </w:tc>
        <w:tc>
          <w:tcPr>
            <w:tcW w:w="0" w:type="dxa"/>
            <w:vAlign w:val="bottom"/>
          </w:tcPr>
          <w:p>
            <w:pPr>
              <w:spacing w:after="0"/>
              <w:rPr>
                <w:sz w:val="1"/>
                <w:szCs w:val="1"/>
                <w:color w:val="auto"/>
              </w:rPr>
            </w:pPr>
          </w:p>
        </w:tc>
      </w:tr>
      <w:tr>
        <w:trPr>
          <w:trHeight w:val="156"/>
        </w:trPr>
        <w:tc>
          <w:tcPr>
            <w:tcW w:w="328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3,272,439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33,377,471</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2,509,918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7,073,807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68,681,497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25,926,146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23,872,116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164,713,394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2019</w:t>
            </w:r>
          </w:p>
        </w:tc>
        <w:tc>
          <w:tcPr>
            <w:tcW w:w="1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1,351,230</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489,956</w:t>
            </w:r>
          </w:p>
        </w:tc>
        <w:tc>
          <w:tcPr>
            <w:tcW w:w="14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249,423</w:t>
            </w:r>
          </w:p>
        </w:tc>
        <w:tc>
          <w:tcPr>
            <w:tcW w:w="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1,007,998</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784,735</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1,866,400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1,308,757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1,990,289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1,535,205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6,827,711</w:t>
            </w:r>
          </w:p>
        </w:tc>
        <w:tc>
          <w:tcPr>
            <w:tcW w:w="0" w:type="dxa"/>
            <w:vAlign w:val="bottom"/>
          </w:tcPr>
          <w:p>
            <w:pPr>
              <w:spacing w:after="0"/>
              <w:rPr>
                <w:sz w:val="1"/>
                <w:szCs w:val="1"/>
                <w:color w:val="auto"/>
              </w:rPr>
            </w:pPr>
          </w:p>
        </w:tc>
      </w:tr>
      <w:tr>
        <w:trPr>
          <w:trHeight w:val="149"/>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(981,376)</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(612,958)</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(1,594,334)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617,016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1,558,180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2,998,287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1,706,982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240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2,243,085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19,510,758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1,838,891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1,843,782</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17,427,895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5,794,711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16,664,958</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65,324,080</w:t>
            </w:r>
          </w:p>
        </w:tc>
        <w:tc>
          <w:tcPr>
            <w:tcW w:w="0" w:type="dxa"/>
            <w:vAlign w:val="bottom"/>
          </w:tcPr>
          <w:p>
            <w:pPr>
              <w:spacing w:after="0"/>
              <w:rPr>
                <w:sz w:val="1"/>
                <w:szCs w:val="1"/>
                <w:color w:val="auto"/>
              </w:rPr>
            </w:pPr>
          </w:p>
        </w:tc>
      </w:tr>
      <w:tr>
        <w:trPr>
          <w:trHeight w:val="182"/>
        </w:trPr>
        <w:tc>
          <w:tcPr>
            <w:tcW w:w="3280" w:type="dxa"/>
            <w:vAlign w:val="bottom"/>
            <w:gridSpan w:val="4"/>
          </w:tcPr>
          <w:p>
            <w:pPr>
              <w:spacing w:after="0"/>
              <w:rPr>
                <w:sz w:val="20"/>
                <w:szCs w:val="20"/>
                <w:color w:val="auto"/>
              </w:rPr>
            </w:pPr>
            <w:r>
              <w:rPr>
                <w:rFonts w:ascii="Arial" w:cs="Arial" w:eastAsia="Arial" w:hAnsi="Arial"/>
                <w:sz w:val="14"/>
                <w:szCs w:val="14"/>
                <w:color w:val="auto"/>
              </w:rPr>
              <w:t>As at December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3,272,439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31,141,217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1,892,902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5,515,627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65,683,210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24,219,164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23,872,116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155,596,675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Production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Computer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360" w:type="dxa"/>
            <w:vAlign w:val="bottom"/>
            <w:gridSpan w:val="3"/>
            <w:vMerge w:val="restart"/>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Furniture and</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Processing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Land</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Fixtures</w:t>
            </w:r>
          </w:p>
        </w:tc>
        <w:tc>
          <w:tcPr>
            <w:tcW w:w="860" w:type="dxa"/>
            <w:vAlign w:val="bottom"/>
            <w:gridSpan w:val="3"/>
          </w:tcPr>
          <w:p>
            <w:pPr>
              <w:spacing w:after="0" w:line="154" w:lineRule="exact"/>
              <w:rPr>
                <w:sz w:val="20"/>
                <w:szCs w:val="20"/>
                <w:color w:val="auto"/>
              </w:rPr>
            </w:pPr>
            <w:r>
              <w:rPr>
                <w:rFonts w:ascii="Arial" w:cs="Arial" w:eastAsia="Arial" w:hAnsi="Arial"/>
                <w:sz w:val="14"/>
                <w:szCs w:val="14"/>
                <w:color w:val="auto"/>
              </w:rPr>
              <w:t>and Software</w:t>
            </w:r>
          </w:p>
        </w:tc>
        <w:tc>
          <w:tcPr>
            <w:tcW w:w="60" w:type="dxa"/>
            <w:vAlign w:val="bottom"/>
          </w:tcPr>
          <w:p>
            <w:pPr>
              <w:spacing w:after="0"/>
              <w:rPr>
                <w:sz w:val="15"/>
                <w:szCs w:val="15"/>
                <w:color w:val="auto"/>
              </w:rPr>
            </w:pPr>
          </w:p>
        </w:tc>
        <w:tc>
          <w:tcPr>
            <w:tcW w:w="9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60" w:type="dxa"/>
            <w:vAlign w:val="bottom"/>
          </w:tcPr>
          <w:p>
            <w:pPr>
              <w:spacing w:after="0"/>
              <w:rPr>
                <w:sz w:val="15"/>
                <w:szCs w:val="15"/>
                <w:color w:val="auto"/>
              </w:rPr>
            </w:pPr>
          </w:p>
        </w:tc>
        <w:tc>
          <w:tcPr>
            <w:tcW w:w="820" w:type="dxa"/>
            <w:vAlign w:val="bottom"/>
            <w:gridSpan w:val="3"/>
          </w:tcPr>
          <w:p>
            <w:pPr>
              <w:jc w:val="center"/>
              <w:ind w:right="140"/>
              <w:spacing w:after="0" w:line="154" w:lineRule="exact"/>
              <w:rPr>
                <w:sz w:val="20"/>
                <w:szCs w:val="20"/>
                <w:color w:val="auto"/>
              </w:rPr>
            </w:pPr>
            <w:r>
              <w:rPr>
                <w:rFonts w:ascii="Arial" w:cs="Arial" w:eastAsia="Arial" w:hAnsi="Arial"/>
                <w:sz w:val="14"/>
                <w:szCs w:val="14"/>
                <w:color w:val="auto"/>
                <w:w w:val="95"/>
              </w:rPr>
              <w:t>Equipment</w:t>
            </w:r>
          </w:p>
        </w:tc>
        <w:tc>
          <w:tcPr>
            <w:tcW w:w="92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6"/>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262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2018</w:t>
            </w:r>
          </w:p>
        </w:tc>
        <w:tc>
          <w:tcPr>
            <w:tcW w:w="10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1,626,989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13,999,703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505,268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381,029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2,350,287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1,128,835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12,762,563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32,754,674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83,609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796,512</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7,820,415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408,733</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(9,322,936)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3,278,221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874,487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1,310,292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8,009,792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3,321,472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13,893,168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30,747,932</w:t>
            </w: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555,596</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3,500,455</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152,580</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188,217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255,399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1,720,406</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6,372,653</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2018</w:t>
            </w:r>
          </w:p>
        </w:tc>
        <w:tc>
          <w:tcPr>
            <w:tcW w:w="10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2,243,085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20,861,988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2,328,847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2,093,205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18,435,893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6,579,446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69,207,422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2018</w:t>
            </w:r>
          </w:p>
        </w:tc>
        <w:tc>
          <w:tcPr>
            <w:tcW w:w="10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752,962</w:t>
            </w:r>
          </w:p>
        </w:tc>
        <w:tc>
          <w:tcPr>
            <w:tcW w:w="12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195,832</w:t>
            </w:r>
          </w:p>
        </w:tc>
        <w:tc>
          <w:tcPr>
            <w:tcW w:w="60" w:type="dxa"/>
            <w:vAlign w:val="bottom"/>
            <w:tcBorders>
              <w:top w:val="single" w:sz="8" w:color="CCEEFF"/>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28,517</w:t>
            </w:r>
          </w:p>
        </w:tc>
        <w:tc>
          <w:tcPr>
            <w:tcW w:w="160" w:type="dxa"/>
            <w:vAlign w:val="bottom"/>
            <w:tcBorders>
              <w:top w:val="single" w:sz="8" w:color="CCEEFF"/>
            </w:tcBorders>
            <w:gridSpan w:val="2"/>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82,809</w:t>
            </w:r>
          </w:p>
        </w:tc>
        <w:tc>
          <w:tcPr>
            <w:tcW w:w="16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136,197</w:t>
            </w:r>
          </w:p>
        </w:tc>
        <w:tc>
          <w:tcPr>
            <w:tcW w:w="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1,196,317</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598,268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294,124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220,906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925,189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2,687,025</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1,351,230</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489,956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249,423</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1,007,998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1740" w:type="dxa"/>
            <w:vAlign w:val="bottom"/>
            <w:gridSpan w:val="2"/>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2018</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9"/>
              </w:rPr>
              <w:t>1,626,989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13,246,741</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309,436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352,512</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2,267,478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4"/>
              </w:rPr>
              <w:t>12,762,563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31,558,357</w:t>
            </w:r>
          </w:p>
        </w:tc>
        <w:tc>
          <w:tcPr>
            <w:tcW w:w="0" w:type="dxa"/>
            <w:vAlign w:val="bottom"/>
          </w:tcPr>
          <w:p>
            <w:pPr>
              <w:spacing w:after="0"/>
              <w:rPr>
                <w:sz w:val="1"/>
                <w:szCs w:val="1"/>
                <w:color w:val="auto"/>
              </w:rPr>
            </w:pPr>
          </w:p>
        </w:tc>
      </w:tr>
      <w:tr>
        <w:trPr>
          <w:trHeight w:val="182"/>
        </w:trPr>
        <w:tc>
          <w:tcPr>
            <w:tcW w:w="2620" w:type="dxa"/>
            <w:vAlign w:val="bottom"/>
            <w:gridSpan w:val="4"/>
          </w:tcPr>
          <w:p>
            <w:pPr>
              <w:spacing w:after="0"/>
              <w:rPr>
                <w:sz w:val="20"/>
                <w:szCs w:val="20"/>
                <w:color w:val="auto"/>
              </w:rPr>
            </w:pPr>
            <w:r>
              <w:rPr>
                <w:rFonts w:ascii="Arial" w:cs="Arial" w:eastAsia="Arial" w:hAnsi="Arial"/>
                <w:sz w:val="14"/>
                <w:szCs w:val="14"/>
                <w:color w:val="auto"/>
              </w:rPr>
              <w:t>As at December 31, 2018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2,243,085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19,510,758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1,838,891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1,843,782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17,427,895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5,794,711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16,664,958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65,324,080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 Included within assets under construction was $2,500,000 and $0 of capitalized interest additions as of December 31, 2019 and 2018 respectively.</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the long-term agreement, the Company will lease back the facility and continue to operate and manage it. As a result of the sale, the Company disposed of $3,363,676 of land, $15,702,017 of buildings and improvements, and $2,854,198 in production and processing equipment. There was no gain or loss on the sale. For further information regarding the transaction, see Note 9 - Leases.</w:t>
      </w:r>
    </w:p>
    <w:p>
      <w:pPr>
        <w:spacing w:after="0" w:line="17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Depreciation expense for the years ended December 31, 2019, 2018 and 2017 totaled $6,827,711, $2,687,025 and $646,928, respectively of which $4,246,524, $1,346,632 and $428,724, respectively, is included in cost of goods sold.</w:t>
      </w:r>
    </w:p>
    <w:p>
      <w:pPr>
        <w:spacing w:after="0" w:line="31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Those acquisitions that are determined to be the acquisition of a business are accounted for by applying the acquisition method, whereby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completed preliminary allocations of the purchase prices of the assets acquired and liabilities assumed as follows with the assistance of an independent valuation firm. The Company is still in the process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completing the valuations. The preliminary allocations of the purchase prices were based upon preliminary valuations and our estimates and assumptions are subject to change within the purchase price allocation period (generally one year from the acquisition dates). The primary areas of the purchase price allocations that are not yet finalized relate to the valuation of the tangible and intangible assets acquired and the residual goodwill.</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Integral Associates,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52,807,500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44,147,694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 Issuances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79,709,170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273,146,014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142,882,549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Conversion of Previous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27,121,559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Acquisition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791,068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8,081,000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39,985,000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$ 108,652,137</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366,729,582</w:t>
            </w: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234,285,600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Integral Associates,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777,371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10,107,303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8,107,836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565,336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4,840,609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 Funding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801,998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28,920,000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175,845,000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48,300,000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38,740,592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12,462,000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9,298,000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(1,230,441)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(11,091,246)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(4,869,639)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(14,238,349)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(21,807,925)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47,323,538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250,750,259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80,385,412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61,328,599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115,979,323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153,900,188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$ 108,652,137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366,729,582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234,285,600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acquisitions consists of For Success Holdings Company, Fiorello Pharmaceuticals, Inc., MC Brands, LLC as well as two dispensaries. The details of the significant transactions are discussed below. The Company also incurred approximately $812,000 of acquisition related costs which were expensed in the current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following table summarizes the revenue and net income (loss) of Advanced Grow Labs, LLC and Integral Associates, LLC from the transaction date (the date of acquisition for Advanced Grow Labs, LLC of February 12, 2019 and for Integral Associates, LLC of June 5, 2019) through December 31, 2019 and Revenues, net of discounts and Net income (loss) for Advanced Grow Labs, LLC and Integral Associates, LLC for the years ended December 31, 2018 and 2017:</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4"/>
                <w:szCs w:val="14"/>
                <w:color w:val="auto"/>
              </w:rPr>
              <w:t>Transaction Date Through</w:t>
            </w:r>
          </w:p>
        </w:tc>
        <w:tc>
          <w:tcPr>
            <w:tcW w:w="100" w:type="dxa"/>
            <w:vAlign w:val="bottom"/>
          </w:tcPr>
          <w:p>
            <w:pPr>
              <w:spacing w:after="0"/>
              <w:rPr>
                <w:sz w:val="14"/>
                <w:szCs w:val="14"/>
                <w:color w:val="auto"/>
              </w:rPr>
            </w:pPr>
          </w:p>
        </w:tc>
        <w:tc>
          <w:tcPr>
            <w:tcW w:w="2320" w:type="dxa"/>
            <w:vAlign w:val="bottom"/>
            <w:gridSpan w:val="4"/>
          </w:tcPr>
          <w:p>
            <w:pPr>
              <w:ind w:left="560"/>
              <w:spacing w:after="0"/>
              <w:rPr>
                <w:sz w:val="20"/>
                <w:szCs w:val="20"/>
                <w:color w:val="auto"/>
              </w:rPr>
            </w:pPr>
            <w:r>
              <w:rPr>
                <w:rFonts w:ascii="Arial" w:cs="Arial" w:eastAsia="Arial" w:hAnsi="Arial"/>
                <w:sz w:val="14"/>
                <w:szCs w:val="14"/>
                <w:color w:val="auto"/>
              </w:rPr>
              <w:t>For the Year Ended</w:t>
            </w:r>
          </w:p>
        </w:tc>
        <w:tc>
          <w:tcPr>
            <w:tcW w:w="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Year Ended</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2320" w:type="dxa"/>
            <w:vAlign w:val="bottom"/>
            <w:gridSpan w:val="4"/>
          </w:tcPr>
          <w:p>
            <w:pPr>
              <w:ind w:left="540"/>
              <w:spacing w:after="0"/>
              <w:rPr>
                <w:sz w:val="20"/>
                <w:szCs w:val="20"/>
                <w:color w:val="auto"/>
              </w:rPr>
            </w:pPr>
            <w:r>
              <w:rPr>
                <w:rFonts w:ascii="Arial" w:cs="Arial" w:eastAsia="Arial" w:hAnsi="Arial"/>
                <w:sz w:val="14"/>
                <w:szCs w:val="14"/>
                <w:color w:val="auto"/>
              </w:rPr>
              <w:t>December 31, 2018</w:t>
            </w:r>
          </w:p>
        </w:tc>
        <w:tc>
          <w:tcPr>
            <w:tcW w:w="8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color w:val="auto"/>
              </w:rPr>
              <w:t>December 31, 2017</w:t>
            </w:r>
          </w:p>
        </w:tc>
      </w:tr>
      <w:tr>
        <w:trPr>
          <w:trHeight w:val="123"/>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3"/>
              </w:rPr>
              <w:t>Advanced</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Integral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4"/>
                <w:szCs w:val="14"/>
                <w:color w:val="auto"/>
                <w:w w:val="98"/>
              </w:rPr>
              <w:t>Integral</w:t>
            </w:r>
          </w:p>
        </w:tc>
        <w:tc>
          <w:tcPr>
            <w:tcW w:w="80" w:type="dxa"/>
            <w:vAlign w:val="bottom"/>
          </w:tcPr>
          <w:p>
            <w:pPr>
              <w:spacing w:after="0"/>
              <w:rPr>
                <w:sz w:val="10"/>
                <w:szCs w:val="10"/>
                <w:color w:val="auto"/>
              </w:rPr>
            </w:pPr>
          </w:p>
        </w:tc>
      </w:tr>
      <w:tr>
        <w:trPr>
          <w:trHeight w:val="149"/>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Grow</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Associates,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Grow</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Associates,</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Grow</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Associates,</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Labs, LLC</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LLC</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$ 16,377,199</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39,246,745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17,016,743</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60,261,432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13,979,514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30,420,101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3,612,455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(6,375,800)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7,497,696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13,218,159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7,721,627</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6,983,028</w:t>
            </w:r>
          </w:p>
        </w:tc>
      </w:tr>
    </w:tbl>
    <w:p>
      <w:pPr>
        <w:spacing w:after="0" w:line="1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2019 through December 31, 2019 (presented as if the acquisitions had occurred at January 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412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Green Thumb</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Grow Labs,</w:t>
            </w: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Associates,</w:t>
            </w: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Pro Forma</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Industries Inc.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LLC</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Adjustments</w:t>
            </w:r>
          </w:p>
        </w:tc>
        <w:tc>
          <w:tcPr>
            <w:tcW w:w="9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$160,808,662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$18,516,074</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$79,146,937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$258,471,673</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(56,353,062)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4,586,122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(1,110,610)</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(8,394,854)</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(61,272,404)</w:t>
            </w:r>
          </w:p>
        </w:tc>
      </w:tr>
    </w:tbl>
    <w:p>
      <w:pPr>
        <w:spacing w:after="0" w:line="107" w:lineRule="exact"/>
        <w:rPr>
          <w:sz w:val="20"/>
          <w:szCs w:val="20"/>
          <w:color w:val="auto"/>
        </w:rPr>
      </w:pPr>
    </w:p>
    <w:p>
      <w:pPr>
        <w:ind w:left="540" w:right="140" w:hanging="424"/>
        <w:spacing w:after="0" w:line="255"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$327,302 representing one month of amortization expense and $6,639,127 representing five months of amortization expense, respectively.</w:t>
      </w:r>
    </w:p>
    <w:p>
      <w:pPr>
        <w:spacing w:after="0" w:line="2"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$164,780 and Integral Associates, LLC of $1,263,645 based on a 24% effective tax rate.</w:t>
      </w:r>
    </w:p>
    <w:p>
      <w:pPr>
        <w:spacing w:after="0" w:line="18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2018 through December 31, 2018 (presented as if the acquisitions had occurred at January 1, 2018):</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For the Year Ended December 31, 2018</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3"/>
              </w:rPr>
              <w:t>Advanced</w:t>
            </w:r>
          </w:p>
        </w:tc>
        <w:tc>
          <w:tcPr>
            <w:tcW w:w="3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8"/>
              </w:rPr>
              <w:t>Integral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37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Green Thumb</w:t>
            </w:r>
          </w:p>
        </w:tc>
        <w:tc>
          <w:tcPr>
            <w:tcW w:w="1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Grow Labs,</w:t>
            </w:r>
          </w:p>
        </w:tc>
        <w:tc>
          <w:tcPr>
            <w:tcW w:w="3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Associates,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37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Industries Inc.</w:t>
            </w:r>
          </w:p>
        </w:tc>
        <w:tc>
          <w:tcPr>
            <w:tcW w:w="1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3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LLC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Combined</w:t>
            </w:r>
          </w:p>
        </w:tc>
      </w:tr>
      <w:tr>
        <w:trPr>
          <w:trHeight w:val="142"/>
        </w:trPr>
        <w:tc>
          <w:tcPr>
            <w:tcW w:w="37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$62,493,680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$17,016,743</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$60,261,432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$139,771,855</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(5,243,917)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7,497,696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13,218,159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(24,006,529)</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(a), (b)</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(8,534,591)</w:t>
            </w:r>
          </w:p>
        </w:tc>
      </w:tr>
    </w:tbl>
    <w:p>
      <w:pPr>
        <w:spacing w:after="0" w:line="107" w:lineRule="exact"/>
        <w:rPr>
          <w:sz w:val="20"/>
          <w:szCs w:val="20"/>
          <w:color w:val="auto"/>
        </w:rPr>
      </w:pPr>
    </w:p>
    <w:p>
      <w:pPr>
        <w:ind w:left="540" w:right="480" w:hanging="424"/>
        <w:spacing w:after="0" w:line="308"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540" w:right="60" w:hanging="424"/>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$972,647 and Integral Associates, LLC of $3,172,358 based on a 24% effective tax rate.</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2017 through December 31, 2017 (presented as if the acquisitions had occurred at January 1, 2017):</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vMerge w:val="continue"/>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i w:val="1"/>
                <w:iCs w:val="1"/>
                <w:color w:val="auto"/>
                <w:w w:val="93"/>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16,528,779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13,979,514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30,420,101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60,928,394</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7,721,627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6,983,028</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(22,563,841)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(a),(b)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(12,108,961)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ind w:left="540" w:right="300" w:hanging="424"/>
        <w:spacing w:after="0" w:line="26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$1,026,390 and Integral Associates, LLC of $1,675,927 based on a 24% effective tax rate.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560" w:right="140"/>
        <w:spacing w:after="0" w:line="290"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license and an ownership stake in a recently awarded Connecticut-based dispensary. The transaction consideration included $15.5 million of cash, approximately 7.3 million Subordinate Voting Shares of GTI which were valued at approximately $85.1 million, based on the fair value of the securities on their date of issuance, which was the closing price of GTI’s Subordinate Voting Shares as traded on the CSE on the date of the transaction. The purchase agreement also included additional consideration ranging from $0 to $15 million in shares of GTI depending upon the EBITDA results of AGL over the twelve-month period following the close of the transaction. As of December 31, 2019, the Company estimated the fair value of contingent consideration (which had an initial value of $8.1 million as of February 12, 2019) to be $8.6 million using a probability weighting of the potential payouts.</w:t>
      </w:r>
    </w:p>
    <w:p>
      <w:pPr>
        <w:spacing w:after="0" w:line="310"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On June 5, 2019, the Company acquired 100% of the ownership interests of Integral Associates, LLC. The acquisition included Integral Associate’s retail brand Essence, three retail locations, as well as two cultivation and processing facilities.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fair value of the securities was based upon the closing price of GTI’s Subordinate Voting Shares as traded on the CSE on the date of the transaction. The purchase agreement includes additional consideration based upon future milestone targets of which an additional 0.9 million Subordinate Voting Shares have been issued to-date. The former owners of Integral Associates may receive additional contingent consideration of up to $57 million in shares of GTI depending upon the EBITDA results of Integral Associates over the twelve-month period following the close of the transaction along with</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conditional and/or final dispensary operating licenses. As of December 31, 2019, the Company estimated the fair value of contingent consideration (which had an initial value of $40 million as of June 5, 2019) to be $39.6 million using a probability weighting of the potential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6,463,553 of GTI Subordinate Voting Shares (including 793,448 deferred shares) which were valued at $94.5 million, based on the fair value of the securities on their date of issuance, which was the closing price of GTI’s Subordinate Voting Shares as traded on the CSE on the date of the transaction. The purchase agreement also includes additional consideration ranging from $0 to $15 million in cash or shares of GTI subject to Beboe achieving the placement of its products in specified retailers during the twelve months post acquisition of which $6.9 million was earned and paid during 2019 in the form of 808,614 Subordinated Voting Shares. As of December 31, 2019, the Company estimated the fair value of contingent consideration to be $2.4 million using a probability weighting of the potential payouts.</w:t>
      </w:r>
    </w:p>
    <w:p>
      <w:pPr>
        <w:spacing w:after="0" w:line="82"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ind w:left="560" w:right="220"/>
        <w:spacing w:after="0" w:line="291" w:lineRule="auto"/>
        <w:rPr>
          <w:sz w:val="20"/>
          <w:szCs w:val="20"/>
          <w:color w:val="auto"/>
        </w:rPr>
      </w:pPr>
      <w:r>
        <w:rPr>
          <w:rFonts w:ascii="Arial" w:cs="Arial" w:eastAsia="Arial" w:hAnsi="Arial"/>
          <w:sz w:val="16"/>
          <w:szCs w:val="16"/>
          <w:color w:val="auto"/>
        </w:rPr>
        <w:t>On August 23, 2019, the Company acquired 100% of the ownership interests of New York-based Fiorello Pharmaceuticals, Inc. The acquisition consideration was paid using $42.6 million of cash and 1.7 million of the company’s Subordinate Voting Shares which were valued at</w:t>
      </w:r>
    </w:p>
    <w:p>
      <w:pPr>
        <w:jc w:val="both"/>
        <w:ind w:left="560"/>
        <w:spacing w:after="0" w:line="255" w:lineRule="auto"/>
        <w:rPr>
          <w:sz w:val="20"/>
          <w:szCs w:val="20"/>
          <w:color w:val="auto"/>
        </w:rPr>
      </w:pPr>
      <w:r>
        <w:rPr>
          <w:rFonts w:ascii="Arial" w:cs="Arial" w:eastAsia="Arial" w:hAnsi="Arial"/>
          <w:sz w:val="18"/>
          <w:szCs w:val="18"/>
          <w:color w:val="auto"/>
        </w:rPr>
        <w:t>$14.1 million, based on the fair value of the securities on their date of issuance, which was the closing price of GTI’s Subordinate Voting Shares as traded on the CSE on the date of the transaction. The acquisition includes the license and assets for one cultivation, one processing, and four retail facilities in the state of New York.</w:t>
      </w:r>
    </w:p>
    <w:p>
      <w:pPr>
        <w:spacing w:after="0" w:line="334"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MC Brands, LLC</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On June 27, 2019, the Company acquired the remaining 75% interest in MC Brands, LLC which is based in Colorado through the issuance of 1.7 million Subordinated Voting Shares valued at $19.4 million. The transaction was accounted for as an asset acquisition.</w:t>
      </w:r>
    </w:p>
    <w:p>
      <w:pPr>
        <w:spacing w:after="0" w:line="291"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Licenses and</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Licenses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Tradenames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and Permits</w:t>
            </w: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14,205,055</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89,705,213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90,905,693</w:t>
            </w:r>
          </w:p>
        </w:tc>
        <w:tc>
          <w:tcPr>
            <w:tcW w:w="0" w:type="dxa"/>
            <w:vAlign w:val="bottom"/>
          </w:tcPr>
          <w:p>
            <w:pPr>
              <w:spacing w:after="0"/>
              <w:rPr>
                <w:sz w:val="1"/>
                <w:szCs w:val="1"/>
                <w:color w:val="auto"/>
              </w:rPr>
            </w:pPr>
          </w:p>
        </w:tc>
      </w:tr>
      <w:tr>
        <w:trPr>
          <w:trHeight w:val="284"/>
        </w:trPr>
        <w:tc>
          <w:tcPr>
            <w:tcW w:w="4820" w:type="dxa"/>
            <w:vAlign w:val="bottom"/>
            <w:gridSpan w:val="3"/>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43,060</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2,496,955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2,540,015</w:t>
            </w: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Net book value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779,500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14,161,995</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87,382,498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615,500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88,365,678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recorded amortization expense for the years ended December 31, 2019, 2018 and 2017 of $24,466,370, $2,496,955 and $43,060,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33,427,493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33,198,048</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32,767,307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32,684,492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32,103,159</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271,066,399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435,246,898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20" w:type="dxa"/>
            <w:vAlign w:val="bottom"/>
          </w:tcPr>
          <w:p>
            <w:pPr>
              <w:spacing w:after="0"/>
              <w:rPr>
                <w:sz w:val="24"/>
                <w:szCs w:val="24"/>
                <w:color w:val="auto"/>
              </w:rPr>
            </w:pPr>
          </w:p>
        </w:tc>
        <w:tc>
          <w:tcPr>
            <w:tcW w:w="4780" w:type="dxa"/>
            <w:vAlign w:val="bottom"/>
            <w:gridSpan w:val="2"/>
          </w:tcPr>
          <w:p>
            <w:pPr>
              <w:jc w:val="right"/>
              <w:ind w:right="2390"/>
              <w:spacing w:after="0"/>
              <w:rPr>
                <w:sz w:val="20"/>
                <w:szCs w:val="20"/>
                <w:color w:val="auto"/>
              </w:rPr>
            </w:pPr>
            <w:r>
              <w:rPr>
                <w:rFonts w:ascii="Arial" w:cs="Arial" w:eastAsia="Arial" w:hAnsi="Arial"/>
                <w:sz w:val="18"/>
                <w:szCs w:val="18"/>
                <w:color w:val="auto"/>
              </w:rPr>
              <w:t>F-59</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16,756,250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44,572,349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61,328,599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46,655,753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69,323,570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115,979,323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32,936,590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120,963,598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153,900,188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8,238,808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(3,566,285)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2019</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  255,211,232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2018, Goodwill consisted of the following:</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KSGNF,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10,250,880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23,918,000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34,168,880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Compassionate Organics,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4,847,220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4,847,220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2018</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15,286,360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23,918,000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39,204,360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California Consumer Packaged Goods, Connecticut Retail and Consumer Packaged Goods, Florida Retail and Consumer Packaged Goods, Illinois Retail, Massachusetts Retail, Nevada Retail and Consumer Packaged Goods and New York Retail and Consumer Packaged Goods.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recorded right-of-use assets of $11,197,339 and corresponding lease liabilities of $11,695,585 with the difference of $498,246 recorded in opening retained earnings.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operating leases for certain Rise and Essence retail dispensaries located throughout the US and processing and cultivation facilities in Connecticut, Florida, Massachusetts, Maryland, Nevada, New York and Pennsylvania as well as corporate office space in Illinois and Nevada. Operating lease ROU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consolidated balance sheet.</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Many leases include one or more options to renew the lease at the end of the initial term. The Company considered renewals in its ROU assets and operating lease liabilities. Certain real estate leases require payment for taxes, insurance and maintenance which are considered non-lease components. The Company accounts for real estate leases and the related fixed non-lease components together as a single component</w:t>
      </w:r>
    </w:p>
    <w:p>
      <w:pPr>
        <w:spacing w:after="0" w:line="1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 Company recorded $7,291,154 in operating lease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operating leases as of and for the year ended December 31, 2019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7.42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12.0%</w:t>
            </w:r>
          </w:p>
        </w:tc>
      </w:tr>
      <w:tr>
        <w:trPr>
          <w:trHeight w:val="350"/>
        </w:trPr>
        <w:tc>
          <w:tcPr>
            <w:tcW w:w="6120" w:type="dxa"/>
            <w:vAlign w:val="bottom"/>
          </w:tcPr>
          <w:p>
            <w:pPr>
              <w:ind w:left="3580"/>
              <w:spacing w:after="0"/>
              <w:rPr>
                <w:sz w:val="20"/>
                <w:szCs w:val="20"/>
                <w:color w:val="auto"/>
              </w:rPr>
            </w:pPr>
            <w:r>
              <w:rPr>
                <w:rFonts w:ascii="Arial" w:cs="Arial" w:eastAsia="Arial" w:hAnsi="Arial"/>
                <w:sz w:val="18"/>
                <w:szCs w:val="18"/>
                <w:color w:val="auto"/>
              </w:rPr>
              <w:t>F-61</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Maturities of lease liabilities for operating leases as of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Maturities of Lease Liability</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46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Related Party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10,041,583</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1,392,233</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11,433,816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10,862,998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1,424,852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12,287,850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10,261,431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1,458,247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11,719,678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10,039,912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1,492,438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11,532,350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1,384,036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10,134,098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54,812,515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11,524,619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66,337,134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104,768,501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18,676,425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123,444,926</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(49,018,620)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(9,477,301)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(58,495,921)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55,749,881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9,199,124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64,949,005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170"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year ended December 31, 2019, the Company recorded lease expense of $710,525 associated with these lease arrangements.</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years ended December 31, 2019, 2018 and 2017, rent expense associated with these leases was $519,825, $515,064 and $87,705, respectively.</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 Teco Partners, LLC. Durango Teco Partners, LLC owns the building in which an Essence dispensary leases. The term of the lease is 10 years. For the year ended December 31, 2019, the Company recorded lease expense of $42,396 associated with this lease.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Lease Back Transaction</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$20,300,000, excluding transaction costs. The Company is also expected to make certain improvements to the property that will significantly enhance production capacity, for which IIP has agreed to provide reimbursement of up to $19,300,000. Assuming full reimbursement for such improvements, IIP’s total investment in the property will be $39.6 million. The lease was recorded as an operating lease and resulted in a right of use asset and related lease liability of $25,165,505 each and was recorded net of the improvements allowance of $19,300,000.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commitments under non-cancelable operating leases as of December 31, 2018 were expected to be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Party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$ 1,188,865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1,127,754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585,966</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1,713,720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1,123,769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597,686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1,721,455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1,040,481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504,255</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1,544,736</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1,067,783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366,802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1,434,585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3,119,021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695,291</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3,814,312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Future Minimum Lease Payments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$ 8,667,673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2"/>
              </w:rPr>
              <w:t>3,324,477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11,992,150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leases certain business facilities from third parties under operating lease agreements that specify minimum rentals. The Company’s net rent expense for the years ended December 31, 2018 and 2017 totaled approximately $1,901,000 and $927,000 for these third-party leases.</w:t>
      </w:r>
    </w:p>
    <w:p>
      <w:pPr>
        <w:spacing w:after="0" w:line="2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notes payable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$2,250,000 issued to</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accredited investors, which matures October 1, 2022; monthly payments of $55,611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interest at 12.0% per annum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3"/>
              </w:rPr>
              <w:t>accredited investors, which matures October 1, 2022; monthly payments of $112,490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including interest at 12.5% 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an acquisition completed in 2017, the Company is required to make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quarterly charitable contributions of $50,000 through October 2024. The net present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value of these required payments has been recorded as a liability with an interest 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2.17%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6"/>
              </w:rPr>
              <w:t>Private placement debt dated May 22, 2019, in the original amount of $105,466,429,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8"/>
              </w:rPr>
              <w:t>which matures on May 22, 2022. The debt was issued at a discount, the 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2"/>
              </w:rPr>
              <w:t>value of which is $15,090,517 as of December 31, 2019, and bears interest of 12.00%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90,375,912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91,346,869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91,140,194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440"/>
              <w:spacing w:after="0"/>
              <w:rPr>
                <w:sz w:val="20"/>
                <w:szCs w:val="20"/>
                <w:color w:val="auto"/>
              </w:rPr>
            </w:pPr>
            <w:r>
              <w:rPr>
                <w:rFonts w:ascii="Arial" w:cs="Arial" w:eastAsia="Arial" w:hAnsi="Arial"/>
                <w:sz w:val="18"/>
                <w:szCs w:val="18"/>
                <w:color w:val="auto"/>
              </w:rPr>
              <w:t>F-63</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80" w:hanging="393"/>
        <w:spacing w:after="0"/>
        <w:tabs>
          <w:tab w:leader="none" w:pos="1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Bridge Financing</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12, 2019, the Company completed a private placement of $12,500,000 in six-month senior secured promissory notes (the “Bridge Notes”). These Notes included Warrants to purchase 218,964 Subordinate Voting Shares at an exercise price of C$22.90, which can be exercised 42 months after the closing.</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exercise price of the warrants is denominated in Canadian dollars whereas the Company’s functional currency is USD. As such, upon issuance, the Company recorded a warrant liability and debt discount of $2,291,189 which was measured at fair value using a Monte Carlo simulation model. On May 22, 2019, the Company repaid the full principal amount and accrued interest of $12,645,833 for the Bridge Notes. The Company recognized $2,291,189 in interest expense for accretion of the debt discount upon the repayment of the April 12, 2019 Bridge Notes.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warrant liability associated with the April 12,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April 12,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12,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123.64%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3.50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1.64%</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$2,291,189</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2.78</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100.90%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$1,385,000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the Company recorded $805,788 as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Financing</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notes accrue interest at an annual rate of 12.16%, payable on a quarterly basis commencing June 30, 2019 and all principal is due on the maturity date. The Company also has the sole discretion to extend the financing an additional twelve months.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contain certain covenants which require the Company to maintain (on a daily basis) unrestricted cash and cash equivalents in an amount greater than or equal to the amount of interest that is scheduled to become due in the next 365-days and to not permit the ratio of net debt to stockholders’ equity to exceed a certain maximum as of the last day of any fiscal quarter. The Company was in compliance with such covenants as of December 31, 2019. Additionally, there are certain covenants which will require the Company to maintain a specific debt to EBITDA ratio and an interest coverage ratio which will be measured beginning June 30, 2020 as well as a fixed coverage ratio beginning December 31, 2020. Such covenants were not in effect as of December 31, 2019.</w:t>
      </w:r>
    </w:p>
    <w:p>
      <w:pPr>
        <w:spacing w:after="0" w:line="19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For the year ended December 31, 2019, the Company recognized $7,732,279 in interest expense associated with the promissory notes and $3,317,291 in interest expense for accretion of the debt discount.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C$19.39, which can be exercised at any time until 60 months after the closing of the transaction. The exercise price of the warrants is denominated in Canadian dollars whereas the Company’s functional currency is USD. As such, upon issuance, the Company recorded a warrant liability and debt discount of $15,543,468 which was measured at fair value using a Monte Carlo simulation model. In addition to the value of warrants, the debt discount included $228,761 of professional fees, and transaction related fees of $430,704 and is being accreted to interest expense over the term of the debt which approximates the effective interest method. As of December 31, 2019, the carrying value of the debt discount, net of amortization was $12,885,643.</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warrant liability associated with the May 22,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May 22,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0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9"/>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22, 2019</w:t>
            </w:r>
          </w:p>
        </w:tc>
        <w:tc>
          <w:tcPr>
            <w:tcW w:w="4180" w:type="dxa"/>
            <w:vAlign w:val="bottom"/>
            <w:gridSpan w:val="3"/>
          </w:tcPr>
          <w:p>
            <w:pPr>
              <w:jc w:val="right"/>
              <w:ind w:right="420"/>
              <w:spacing w:after="0"/>
              <w:rPr>
                <w:sz w:val="20"/>
                <w:szCs w:val="20"/>
                <w:color w:val="auto"/>
              </w:rPr>
            </w:pPr>
            <w:r>
              <w:rPr>
                <w:rFonts w:ascii="Arial" w:cs="Arial" w:eastAsia="Arial" w:hAnsi="Arial"/>
                <w:sz w:val="18"/>
                <w:szCs w:val="18"/>
                <w:color w:val="auto"/>
              </w:rPr>
              <w:t>121.14%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5.00 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$15,543,468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31, 2019</w:t>
            </w:r>
          </w:p>
        </w:tc>
        <w:tc>
          <w:tcPr>
            <w:tcW w:w="3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114.65%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$12,189,169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2019, the Company recorded $3,354,299 to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Private Placement Financing</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9, 2019, the Company amended the May 22, 2019 Private Placement Financing to allow for additional financing through sales lease back arrangements and to clarify certain aspects of the financing agreement with the lenders. Specifically, the calculation of the effective interest rate on the note was clarified to refer to a 365-day calendar year rather than LIBOR-based 360-day year. The result of this change was a reduction in the effective interest rate by approximately 16 basis points (from 12.16% to 12.0%). The Amendment also reduced the borrowing capacity from $150,000,000 to $130,000,000, which allows the Company to borrow an additional $24,533,571 over a period of 12 months from the closing date of the Note Purchase Agreement. The Company evaluated the terms of the November 9, 2019 amendment and concluded that the transaction resulted in a debt modification, which resulted in the value of the warrants being recorded as additional debt discount and is being accreted to interest expense over the remaining term of the debt which approximates the effective interest method. As part of this transaction, the Company issued 365,076 warrants allowing the lenders to purchase Subordinate Voting Shares at an exercise price of C$12.04, which can be exercised 60 months following the close of the transaction. The exercise price of the warrants is denominated in Canadian dollars whereas the Company’s functional currency is USD. As such, upon issuance, the Company recorded an additional amount to debt discount and warrant liability of $2,304,874 which was measured at fair value using a Monte Carlo simulation model. The Company did not incur any other fees related to the amendment. As of December 31, 2019, the carrying value of the debt discount, net of amortization was $2,204,874.</w:t>
      </w:r>
    </w:p>
    <w:p>
      <w:pPr>
        <w:spacing w:after="0" w:line="18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warrant liability is revalued as of each reporting date and requires various inputs including management’s estimate of volatility, remaining term and risk-free rate. The following table summarizes the significant assumptions utilized as part of estimate of the fair value of the warrant liability at November 9,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November 9,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117.43%</w:t>
            </w: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5.00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1.55%</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4.86</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116.58%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the fair value of the November 9, 2019 warrants approximated the fair value recorded upon issuance, no fair value adjustment was required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Related Parties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private placement debt and related warrant liability are held by related parties of the Company as well as un-related third parties.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all participated in the private placement financing. The following table summarizes the ownership interests in the private placement debt and warrant liability held as of December 31, 2019:</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Related Parties – Private Placement Debt</w:t>
            </w:r>
          </w:p>
        </w:tc>
        <w:tc>
          <w:tcPr>
            <w:tcW w:w="3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Related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Notes</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auto"/>
            </w:tcBorders>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89"/>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Private Placement Debt dated May 22,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89,576,809</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799,103</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90,375,912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4"/>
              </w:rPr>
              <w:t>Related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Related Parties – Warrant Liability</w:t>
            </w:r>
          </w:p>
        </w:tc>
        <w:tc>
          <w:tcPr>
            <w:tcW w:w="34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April 12,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May 22,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12,081,392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107,777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12,189,169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12, 2019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Total Warrant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15,751,712</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128,131</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15,879,843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Maturities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Company’s Notes Payable as of December 31, 2019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Maturities of Notes Payable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Private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Charitable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Placement Debt</w:t>
            </w: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184,913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105,466,429</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105,655,387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193,092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2025 and Thereafter</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amount excludes $15,090,517 of unamortized debt discount as of December 31, 2019.</w:t>
      </w:r>
    </w:p>
    <w:p>
      <w:pPr>
        <w:spacing w:after="0" w:line="370"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740—Income Taxes,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there was no Canadian tax liability and accordingly the Company filed a nil return with Canadian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2018, income taxes expense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18,095,946</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$ 214,000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22,760,946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CCEEFF"/>
          </w:tcPr>
          <w:p>
            <w:pPr>
              <w:spacing w:after="0"/>
              <w:rPr>
                <w:sz w:val="18"/>
                <w:szCs w:val="18"/>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2"/>
              </w:rPr>
              <w:t>(12,535,000)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5"/>
              <w:spacing w:after="0"/>
              <w:rPr>
                <w:sz w:val="20"/>
                <w:szCs w:val="20"/>
                <w:color w:val="auto"/>
              </w:rPr>
            </w:pPr>
            <w:r>
              <w:rPr>
                <w:rFonts w:ascii="Arial" w:cs="Arial" w:eastAsia="Arial" w:hAnsi="Arial"/>
                <w:sz w:val="18"/>
                <w:szCs w:val="18"/>
                <w:color w:val="auto"/>
              </w:rPr>
              <w:t>(881,913)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731,000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(13,416,913</w:t>
            </w:r>
          </w:p>
        </w:tc>
        <w:tc>
          <w:tcPr>
            <w:tcW w:w="300" w:type="dxa"/>
            <w:vAlign w:val="bottom"/>
          </w:tcPr>
          <w:p>
            <w:pPr>
              <w:jc w:val="right"/>
              <w:ind w:right="165"/>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4,061,000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$ 7,183,595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difference between the income tax expense for the years ended December 31, 2019, 2018 and 2017 and the expected income taxes based on the statutory tax rate applied to pre-tax earnings (loss) arises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(50,202,837)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Statutory Tax Rates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Expense/(Recovery) based on Statutory Rates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(10,542,596)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(1,062,111)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(1,536,694)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(279,899)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to Return Adjustment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(1,209,592)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Stock Compensation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(1,952,083)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14,166,223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2,263,978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 Reconciliation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7,604,098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(39,465)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7,183,595</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the components of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12,997,000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1,046,000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4,592,000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804,000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(7,604,098)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11,580,902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Fair Value Investments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(1,852,000)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(43,895,000)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(45,747,000)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(15,391,000)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(34,166,098)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(13,541,000)</w:t>
            </w:r>
          </w:p>
        </w:tc>
      </w:tr>
      <w:tr>
        <w:trPr>
          <w:trHeight w:val="20"/>
        </w:trPr>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2019, the Net Deferred Tax Liability of $36,279,361, as presented on the consolidated balance sheet, includes unrecognized tax benefits of $2,113,263 as further described below.</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 likely than not that some portion or all of the deferred tax assets will not be realized. We assess the positive and negative evidence to determine if sufficient future taxable income will be generated to use the existing deferred tax assets.</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As of December 31, 2019, we had federal net operating loss carryforwards with no expiration of $45 million and $45 million of state net operating loss carryforwards that begin to expire in 2031. Our evaluation of evidence resulted in management concluding that the majority of our net operating losses will not be realized. A valuation allowance in the amount of $7.6 million is maintained as of December 31, 2019.</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Pursuant to Section 382 and 383 of the Internal Revenue Code of 1986, as amended, utilization of our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(Topic 740, “Income Taxes”), the Company recognizes the benefits of uncertain tax positions in our consolidated financial statements only after determining that it is more likely than not that the uncertain tax positions will be sustained.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12/31/2018</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Additions for current year</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1,720,865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prior year</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392,398</w:t>
            </w: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Subtractions for current year</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12/31/2019</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2,113,263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gridSpan w:val="2"/>
          </w:tcPr>
          <w:p>
            <w:pPr>
              <w:jc w:val="right"/>
              <w:ind w:right="2720"/>
              <w:spacing w:after="0"/>
              <w:rPr>
                <w:sz w:val="20"/>
                <w:szCs w:val="20"/>
                <w:color w:val="auto"/>
              </w:rPr>
            </w:pPr>
            <w:r>
              <w:rPr>
                <w:rFonts w:ascii="Arial" w:cs="Arial" w:eastAsia="Arial" w:hAnsi="Arial"/>
                <w:sz w:val="18"/>
                <w:szCs w:val="18"/>
                <w:color w:val="auto"/>
              </w:rPr>
              <w:t>F-68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As of December 31, 2019 and 2018, we recognized an immaterial amount of interest and penalties. There are no positions for which it is reasonably possible that the uncertain tax benefit will significantly increase or decrease within twelve months. We file income tax returns in the United States, various state jurisdictions, and Canada with varying statutes of limitations. The federal statute of limitation remains open for the 2016 tax year to the present. The state income tax returns generally remain open for the 2016 tax year through the present. Net operating loss arising prior to these years are also open to examination if and when utilized.</w:t>
      </w:r>
    </w:p>
    <w:p>
      <w:pPr>
        <w:spacing w:after="0" w:line="337"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participated in various fundraises of other cannabis companies throughout 2018. The investments include convertible notes with terms to maturity ranging from 1 to 2 years that carry simple interest of 6.00% per annum and convert into common shares at pre-defined numbers of units. Management estimated that market interest rates on similar borrowings without the conversion feature was approximately 18% and has used an implied volatility of 58% in measuring the fair value. At December 31, 2019 and 2018, the fair value of these investments is $7,533,000 and $30,336,000, respectively.</w:t>
      </w:r>
    </w:p>
    <w:p>
      <w:pPr>
        <w:spacing w:after="0" w:line="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also made direct equity investments. Management estimated that market yields were approximately 15% and used an implied volatility of 106% in measuring the fair value. At December 31, 2019 and 2018, the fair value of these investments was $6,535,821 and $10,597,283, respectively.</w:t>
      </w:r>
    </w:p>
    <w:p>
      <w:pPr>
        <w:spacing w:after="0" w:line="12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addition to the investments discussed above, the Company also held an equity interest in a publicly traded company (which is considered a Level 1 investment and was accounted for as a trading investment at the date of acquisition) in the amount of $0 and $966,541 as of December 31, 2019 and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22,153,692</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16,750,000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44,703,692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15,612,026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13,586,000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4,797,283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33,995,309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(11,630,867)</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(26,134,851)</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30,336,000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10,597,283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December 31, 2019 and 2018 (see Note 18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92"/>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2.54% - 2.63%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 Volatility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58% - 106%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4"/>
              </w:rPr>
              <w:t>15%</w:t>
            </w:r>
          </w:p>
        </w:tc>
        <w:tc>
          <w:tcPr>
            <w:tcW w:w="4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92"/>
              <w:spacing w:after="0"/>
              <w:rPr>
                <w:sz w:val="20"/>
                <w:szCs w:val="20"/>
                <w:color w:val="auto"/>
              </w:rPr>
            </w:pPr>
            <w:r>
              <w:rPr>
                <w:rFonts w:ascii="Arial" w:cs="Arial" w:eastAsia="Arial" w:hAnsi="Arial"/>
                <w:sz w:val="18"/>
                <w:szCs w:val="18"/>
                <w:color w:val="auto"/>
                <w:w w:val="92"/>
              </w:rPr>
              <w:t>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50%-80%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20%-50%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13.  INVESTMENT IN ASSOCIATE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940" w:type="dxa"/>
            <w:vAlign w:val="bottom"/>
            <w:gridSpan w:val="4"/>
          </w:tcPr>
          <w:p>
            <w:pPr>
              <w:spacing w:after="0"/>
              <w:rPr>
                <w:sz w:val="20"/>
                <w:szCs w:val="20"/>
                <w:color w:val="auto"/>
              </w:rPr>
            </w:pPr>
            <w:r>
              <w:rPr>
                <w:rFonts w:ascii="Arial" w:cs="Arial" w:eastAsia="Arial" w:hAnsi="Arial"/>
                <w:sz w:val="18"/>
                <w:szCs w:val="18"/>
                <w:color w:val="auto"/>
              </w:rPr>
              <w:t>The Company’s investments in associates are as follows: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3560" w:type="dxa"/>
            <w:vAlign w:val="bottom"/>
            <w:vMerge w:val="restart"/>
          </w:tcPr>
          <w:p>
            <w:pPr>
              <w:spacing w:after="0"/>
              <w:rPr>
                <w:sz w:val="24"/>
                <w:szCs w:val="24"/>
                <w:color w:val="auto"/>
              </w:rPr>
            </w:pPr>
          </w:p>
        </w:tc>
        <w:tc>
          <w:tcPr>
            <w:tcW w:w="190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Jurisdiction</w:t>
            </w:r>
          </w:p>
        </w:tc>
        <w:tc>
          <w:tcPr>
            <w:tcW w:w="52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133"/>
        </w:trPr>
        <w:tc>
          <w:tcPr>
            <w:tcW w:w="880" w:type="dxa"/>
            <w:vAlign w:val="bottom"/>
            <w:vMerge w:val="continue"/>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860" w:type="dxa"/>
            <w:vAlign w:val="bottom"/>
            <w:vMerge w:val="restart"/>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506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Colorado</w:t>
            </w:r>
          </w:p>
        </w:tc>
        <w:tc>
          <w:tcPr>
            <w:tcW w:w="5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Cal Funding, LLC</w:t>
            </w:r>
          </w:p>
        </w:tc>
        <w:tc>
          <w:tcPr>
            <w:tcW w:w="1900" w:type="dxa"/>
            <w:vAlign w:val="bottom"/>
            <w:gridSpan w:val="4"/>
          </w:tcPr>
          <w:p>
            <w:pPr>
              <w:ind w:left="860"/>
              <w:spacing w:after="0"/>
              <w:rPr>
                <w:sz w:val="20"/>
                <w:szCs w:val="20"/>
                <w:color w:val="auto"/>
              </w:rPr>
            </w:pPr>
            <w:r>
              <w:rPr>
                <w:rFonts w:ascii="Arial" w:cs="Arial" w:eastAsia="Arial" w:hAnsi="Arial"/>
                <w:sz w:val="18"/>
                <w:szCs w:val="18"/>
                <w:color w:val="auto"/>
                <w:w w:val="84"/>
              </w:rPr>
              <w:t>Massachusetts</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During 2019, the Company acquired a 9.9% interest in Cal Funding, LLC, an investment entity that owns a Massachusetts cannabis operator as part of the acquisition of Advanced Grow Labs, LLC. In addition to the 9.9% interest acquired, the Company also indirectly controls a portion of Cal Funding, LLC through operating agreements with the former owners of the entity. This investment is being accounted for as an equity method investment as the Company exerts significant influence over Cal Funding, LLC. See Note 7—Acquisitions for additional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 xml:space="preserve">INVESTMENT IN ASSOCIATE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below is the summarized unaudited balance sheet of Cal Funding, LLC as of December 31, 2019:</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2,095,631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1,061,707</w:t>
            </w:r>
          </w:p>
        </w:tc>
      </w:tr>
      <w:tr>
        <w:trPr>
          <w:trHeight w:val="27"/>
        </w:trPr>
        <w:tc>
          <w:tcPr>
            <w:tcW w:w="10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3,157,338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6,955,118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584,557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8,527,899</w:t>
            </w:r>
          </w:p>
        </w:tc>
      </w:tr>
    </w:tbl>
    <w:p>
      <w:pPr>
        <w:spacing w:after="0" w:line="9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For the year ended December 31, 2019, Cal Funding, LLC had revenues of $7,053,953 and net income of $2,003,887 from which, the Company recorded a nominal amount in income from the investee within Other Income (Expense) in the consolidated statement of operations. The balance of GTI’s Investment was $10,350,000 as of December 31, 2019.</w:t>
      </w:r>
    </w:p>
    <w:p>
      <w:pPr>
        <w:spacing w:after="0" w:line="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Presented below is the summarized unaudited balance sheet of MC Brands, LLC as of December 31, 2018.</w:t>
      </w:r>
    </w:p>
    <w:p>
      <w:pPr>
        <w:spacing w:after="0" w:line="8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370,078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During 2018, the investee had nominal profit and loss activity from the date of the Company’s investment through December 31, 2018, and thus the Company did not record an adjustment to the carrying balance of the investment in associate. In June 2019, the Company acquired the remaining ownership interests of MC Brands, LLC. The value of the investment of $6.5 million as of the transaction date was included as part of the consideration. As of December 31, 2019, MC Brands, LLC was included within the consolidated financial statements. See Note 7 for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1"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640" w:hanging="539"/>
        <w:spacing w:after="0"/>
        <w:tabs>
          <w:tab w:leader="none" w:pos="1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 During the year ended December 31, 2019, the shareholders of the corporation converted 357,104 Multiple Voting Shares into 35,710,400 Subordinate Voting Shares.</w:t>
      </w:r>
    </w:p>
    <w:p>
      <w:pPr>
        <w:spacing w:after="0" w:line="332" w:lineRule="exact"/>
        <w:rPr>
          <w:sz w:val="20"/>
          <w:szCs w:val="20"/>
          <w:color w:val="auto"/>
        </w:rPr>
      </w:pPr>
    </w:p>
    <w:p>
      <w:pPr>
        <w:ind w:left="1640" w:hanging="539"/>
        <w:spacing w:after="0"/>
        <w:tabs>
          <w:tab w:leader="none" w:pos="1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Each Multiple Voting share is exchangeable for 100 Subordinate Voting shares and is entitled to one hundred votes per share at shareholder meetings of the Company. At December 31, 2019, the Company has 373,350 issued and outstanding multiple voting shares, which convert into 37,335,000 subordinate voting shares. The Company is authorized to issue an unlimited number of Multiple Voting shares. During the year ended December 31, 2019, the shareholders of the Corporation converted 22,224 Super Voting Shares into 22,224 Multiple Voting Shares.</w:t>
      </w:r>
    </w:p>
    <w:p>
      <w:pPr>
        <w:spacing w:after="0" w:line="332" w:lineRule="exact"/>
        <w:rPr>
          <w:sz w:val="20"/>
          <w:szCs w:val="20"/>
          <w:color w:val="auto"/>
        </w:rPr>
      </w:pPr>
    </w:p>
    <w:p>
      <w:pPr>
        <w:ind w:left="1640" w:hanging="539"/>
        <w:spacing w:after="0"/>
        <w:tabs>
          <w:tab w:leader="none" w:pos="1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Each Super Voting share is exchangeable for 100 Subordinate Voting shares and is entitled to one thousand votes per share at shareholder meetings of the Company. At December 31, 2019, the Company has 402,289 issued and outstanding Super Voting shares which convert into 40,228,900 subordinate voting shares. The Company is authorized to issue an unlimited number of super voting shares. During the year ended December 31, 2019, the shareholders of the Corporation converted 22,224 Super Voting Shares into 22,224 Multiple Voting Shares.</w:t>
      </w:r>
    </w:p>
    <w:p>
      <w:pPr>
        <w:spacing w:after="0" w:line="89"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49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2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2"/>
              </w:rPr>
              <w:t>Subordinate</w:t>
            </w: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Multiple</w:t>
            </w:r>
          </w:p>
        </w:tc>
        <w:tc>
          <w:tcPr>
            <w:tcW w:w="740" w:type="dxa"/>
            <w:vAlign w:val="bottom"/>
          </w:tcPr>
          <w:p>
            <w:pPr>
              <w:jc w:val="right"/>
              <w:ind w:right="115"/>
              <w:spacing w:after="0" w:line="123" w:lineRule="exact"/>
              <w:rPr>
                <w:sz w:val="20"/>
                <w:szCs w:val="20"/>
                <w:color w:val="auto"/>
              </w:rPr>
            </w:pPr>
            <w:r>
              <w:rPr>
                <w:rFonts w:ascii="Arial" w:cs="Arial" w:eastAsia="Arial" w:hAnsi="Arial"/>
                <w:sz w:val="14"/>
                <w:szCs w:val="14"/>
                <w:color w:val="auto"/>
              </w:rPr>
              <w:t>Super</w:t>
            </w:r>
          </w:p>
        </w:tc>
        <w:tc>
          <w:tcPr>
            <w:tcW w:w="140" w:type="dxa"/>
            <w:vAlign w:val="bottom"/>
          </w:tcPr>
          <w:p>
            <w:pPr>
              <w:spacing w:after="0"/>
              <w:rPr>
                <w:sz w:val="10"/>
                <w:szCs w:val="10"/>
                <w:color w:val="auto"/>
              </w:rPr>
            </w:pPr>
          </w:p>
        </w:tc>
      </w:tr>
      <w:tr>
        <w:trPr>
          <w:trHeight w:val="149"/>
        </w:trPr>
        <w:tc>
          <w:tcPr>
            <w:tcW w:w="4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Voting</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r>
      <w:tr>
        <w:trPr>
          <w:trHeight w:val="167"/>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Shares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43,920,131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677,230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45,571,444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adjustment for change in ownership</w:t>
            </w:r>
          </w:p>
        </w:tc>
        <w:tc>
          <w:tcPr>
            <w:tcW w:w="2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2,498,404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vesting of RSUs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1,165,630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broker options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114,080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professional fees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19,875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2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35,710,400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(334,880)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(22,224)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29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128,999,964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373,350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402,289</w:t>
            </w:r>
          </w:p>
        </w:tc>
        <w:tc>
          <w:tcPr>
            <w:tcW w:w="14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F-72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Issuances</w:t>
      </w:r>
    </w:p>
    <w:p>
      <w:pPr>
        <w:spacing w:after="0" w:line="121"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In relation to certain acquisitions as described in Note 7 - Acquisitions, certain transactions involved consideration in the form of deferred shares which are to be issued to the previous owners of each respective entity at a date post acquisition. The following is a summary of the shares to be issued as of December 31, 2019:</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Date of</w:t>
            </w:r>
          </w:p>
        </w:tc>
        <w:tc>
          <w:tcPr>
            <w:tcW w:w="23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5020" w:type="dxa"/>
            <w:vAlign w:val="bottom"/>
            <w:vMerge w:val="restart"/>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2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February 12, 2019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472,500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5,380,000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793,448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Rise Canton</w:t>
            </w:r>
          </w:p>
        </w:tc>
        <w:tc>
          <w:tcPr>
            <w:tcW w:w="1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15,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1,307,798</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1,367,643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16,587,798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540"/>
        <w:spacing w:after="0" w:line="263" w:lineRule="auto"/>
        <w:rPr>
          <w:sz w:val="20"/>
          <w:szCs w:val="20"/>
          <w:color w:val="auto"/>
        </w:rPr>
      </w:pPr>
      <w:r>
        <w:rPr>
          <w:rFonts w:ascii="Arial" w:cs="Arial" w:eastAsia="Arial" w:hAnsi="Arial"/>
          <w:sz w:val="18"/>
          <w:szCs w:val="18"/>
          <w:color w:val="auto"/>
        </w:rPr>
        <w:t>The deferred shares for each acquisition are to be issued upon the passage of 12-24 months from the close of each respective transaction as defined within each agreement. The value associated with the deferred shares is recorded within the Company’s consolidated statement of shareholders’ equity as of December 31, 2019.</w:t>
      </w:r>
    </w:p>
    <w:p>
      <w:pPr>
        <w:spacing w:after="0" w:line="85"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 free rate of 2.04%, volatility of 100%, an expected term of 60 days, and a share price of $6.00. The fair value adjustment related to the conversion feature was $1,981,358, and is included in other income on the consolidated statement of operations.</w:t>
      </w:r>
    </w:p>
    <w:p>
      <w:pPr>
        <w:spacing w:after="0" w:line="5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7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On April 25, 2018, Subscription Receipts were sold at a price of C$7.75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4"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C$11.00 per share, for gross proceeds of $61,726,497. Financing costs related to the First Offering totaled $3,133,722.</w:t>
      </w:r>
    </w:p>
    <w:p>
      <w:pPr>
        <w:spacing w:after="0" w:line="16"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C$20.00 per share, for gross proceeds of $78,562,596. Financing costs related to the Second Offering totaled $3,479,116.</w:t>
      </w:r>
    </w:p>
    <w:p>
      <w:pPr>
        <w:spacing w:after="0" w:line="25"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31" w:lineRule="exact"/>
        <w:rPr>
          <w:sz w:val="20"/>
          <w:szCs w:val="20"/>
          <w:color w:val="auto"/>
        </w:rPr>
      </w:pPr>
    </w:p>
    <w:p>
      <w:pPr>
        <w:ind w:left="1540" w:hanging="439"/>
        <w:spacing w:after="0"/>
        <w:tabs>
          <w:tab w:leader="none" w:pos="1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KW Ventures Holdings, LLC (Firefly)</w:t>
      </w:r>
    </w:p>
    <w:p>
      <w:pPr>
        <w:spacing w:after="0" w:line="121" w:lineRule="exact"/>
        <w:rPr>
          <w:sz w:val="20"/>
          <w:szCs w:val="20"/>
          <w:color w:val="auto"/>
        </w:rPr>
      </w:pPr>
    </w:p>
    <w:p>
      <w:pPr>
        <w:ind w:left="560" w:right="100"/>
        <w:spacing w:after="0" w:line="296" w:lineRule="auto"/>
        <w:rPr>
          <w:sz w:val="20"/>
          <w:szCs w:val="20"/>
          <w:color w:val="auto"/>
        </w:rPr>
      </w:pPr>
      <w:r>
        <w:rPr>
          <w:rFonts w:ascii="Arial" w:cs="Arial" w:eastAsia="Arial" w:hAnsi="Arial"/>
          <w:sz w:val="16"/>
          <w:szCs w:val="16"/>
          <w:color w:val="auto"/>
        </w:rPr>
        <w:t>On January 1, 2019, the Company closed on its acquisition of KW Ventures Holdings, LLC (Firefly). The acquisition was an all stock transaction whereby consideration was satisfied through the issuance of 542,416 Subordinate Voting Shares at a fair value of $5,364,048. In addition to the shares issued on January 1, 2019 an additional 48,450 Subordinate Voting Shares with a fair value of $434,069 were held back as part of the closing agreement. The value of those shares was recorded as a current liability and included within Accrued Liabilities on the consolidated balance sheet as of December 31, 2019. Such shares were distributed to the noncontrolling interest members in February 2020.</w:t>
      </w:r>
    </w:p>
    <w:p>
      <w:pPr>
        <w:spacing w:after="0" w:line="53"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color w:val="auto"/>
        </w:rPr>
        <w:t>Prior to January 1, 2019, 100% of Firefly was owned by the noncontrolling interest members. However, GTI considered Firefly to be a variable interest entity and accordingly, consolidated Firefly within GTI’s consolidated financial statements as GTI was determined to be the primary beneficiary of the operations of Firefly and GTI possessed the power to direct the activities of Firefly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$552,472. During 2019, GTI also made contributions to Firefly of $444,046 to cover the noncontrolling interest member’s 2018 tax liability.</w:t>
      </w:r>
    </w:p>
    <w:p>
      <w:pPr>
        <w:spacing w:after="0" w:line="96" w:lineRule="exact"/>
        <w:rPr>
          <w:sz w:val="20"/>
          <w:szCs w:val="20"/>
          <w:color w:val="auto"/>
        </w:rPr>
      </w:pPr>
    </w:p>
    <w:p>
      <w:pPr>
        <w:ind w:left="1540" w:hanging="439"/>
        <w:spacing w:after="0"/>
        <w:tabs>
          <w:tab w:leader="none" w:pos="1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Ohio, LLC</w:t>
      </w:r>
    </w:p>
    <w:p>
      <w:pPr>
        <w:spacing w:after="0" w:line="121"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On April 19, 2019, GTI Core, LLC, a wholly owned subsidiary of Green Thumb Industries Inc. entered into a membership interest purchase agreement with George Management Ltd. (George Management) to acquire 59% of the 60% interest that George Management held in the Retail and Processing License. On June 7, 2019, GTI consummated the acquisitions through the issuance of 1,233,014 Subordinate Voting shares with a fair value of $13,980,441 as well as $5,150,000 in cash of which $1,650,000 was contributed by George Management during 2019 as part of a capital call.</w:t>
      </w:r>
    </w:p>
    <w:p>
      <w:pPr>
        <w:spacing w:after="0" w:line="80"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As part of the purchase agreement, and in consideration of the cultivation license for which GTI held a 40% interest as of the date of the purchase agreement, the Company and George Management entered into a reciprocal purchase agreement that would allow GTI to purchase the remaining 59% interest through a call option or, alternatively, allow George Management to put the 59% interest to GTI. The option may only be exercised in the event the Ohio Department of Commerce approves GTI’s cultivation license application.</w:t>
      </w:r>
    </w:p>
    <w:p>
      <w:pPr>
        <w:spacing w:after="0" w:line="63"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GTI evaluated the reciprocal purchase option and determined that it represented a derivative liability that required remeasurement on a periodic basis with changes in fair value recorded through the statement of operations. As of the transaction date, the Company recorded a derivative liability of $4,526,401 using a Black Scholes option pricing model. During 2019, the Company recognized nominal gains as a result of changes in the fair value of the liability.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Noncontrolling Interest in GTI Ohio, LLC </w:t>
      </w:r>
      <w:r>
        <w:rPr>
          <w:rFonts w:ascii="Arial" w:cs="Arial" w:eastAsia="Arial" w:hAnsi="Arial"/>
          <w:sz w:val="18"/>
          <w:szCs w:val="18"/>
          <w:color w:val="auto"/>
        </w:rPr>
        <w:t>(Continued)</w:t>
      </w:r>
    </w:p>
    <w:p>
      <w:pPr>
        <w:spacing w:after="0" w:line="135"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On December 29, 2019, subsequent to the Ohio Department of Commerce’s approval of GTI’s license application, George Management exercised their put option allowing GTI to purchase 59% of the remaining 60% interest in the cultivation license. As of December 31, 2019, the Company and George Management have been unable to agree upon the value of the Ohio cultivation license. The Company derecognized the derivative liability and recorded a current liability of $5,500,000 representing management’s estimate of the expected value to be paid to George Management as of December 31, 2019. The transactions resulted in an increase to share capital and a reduction to noncontrolling interest of $4,198,173.</w:t>
      </w:r>
    </w:p>
    <w:p>
      <w:pPr>
        <w:spacing w:after="0" w:line="94"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Acquisition of Noncontrolling Interest in GTI New Jersey, LLC</w:t>
      </w:r>
    </w:p>
    <w:p>
      <w:pPr>
        <w:spacing w:after="0" w:line="12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On April 23, 2019, the Company closed on its acquisition of GTI New Jersey, LLC to acquire the remaining 16% interest held by unrelated third parties. The acquisition was an all stock transaction whereby consideration was satisfied through the issuance of 671,317 Subordinate Voting Shares at a fair value of $5,766,613. Prior to April 23, 2019, 16% of GTI-NJ was owned by the noncontrolling interest members. However, GTI considered GTI-NJ to be a variable interest entity and accordingly, consolidated GTI-NJ within GTI’s consolidated financial statements as GTI was determined to be the primary beneficiary of the operations of GTI-NJ and GTI possessed the power to direct the activities of GTI-NJ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$570,078. As part of the acquisition of GTI New Jersey, LLC, the Company also agreed to award the previous owners of the entity $1,000,000 in Subordinate Voting Shares for each additional dispensary successfully opened, up to a $3,000,000 cap. However, the ambiguity in cannabis regulations in the state of New Jersey make it unknown whether the Company would be allowed to open and operate additional dispensaries. Given the uncertainty surrounding the Company’s ability to open and operate additional dispensaries, the Company has considered the possibility of successful openings to be unlikely, and as such no amount has been recorded on the consolidated balance sheet as an obligation as of December 31, 2019.</w:t>
      </w:r>
    </w:p>
    <w:p>
      <w:pPr>
        <w:spacing w:after="0" w:line="75"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Acquisition of Noncontrolling Interest in JB17, LLC</w:t>
      </w:r>
    </w:p>
    <w:p>
      <w:pPr>
        <w:spacing w:after="0" w:line="121"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in accumulated deficit, which has been presented as a reduction to accumulated deficit, after the reclassification of the noncontrolling interest carrying balance.</w:t>
      </w:r>
    </w:p>
    <w:p>
      <w:pPr>
        <w:spacing w:after="0" w:line="59" w:lineRule="exact"/>
        <w:rPr>
          <w:sz w:val="20"/>
          <w:szCs w:val="20"/>
          <w:color w:val="auto"/>
        </w:rPr>
      </w:pPr>
    </w:p>
    <w:p>
      <w:pPr>
        <w:ind w:left="1540" w:hanging="439"/>
        <w:spacing w:after="0"/>
        <w:tabs>
          <w:tab w:leader="none" w:pos="1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Pennsylvania, LLC</w:t>
      </w:r>
    </w:p>
    <w:p>
      <w:pPr>
        <w:spacing w:after="0" w:line="121"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15 to the noncontrolling interest holders of GTI Pennsylvania, LLC. The noncontrolling interests were acquired by the Company subsequent to year-end, in January 2019. As it was determined that the Company had effective control over GTI Pennsylvania, LLC as of the put and call option issuance date, an increase to shares to be issued was reflected in the statement of equity of $27,773,234, representing the fair value of the 31,000 Multiple Voting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Acquisition of Noncontrolling Interest in GTI Nevada, LLC</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In December 2018, the Company acquired the noncontrolling interests of GTI Nevada, LLC, in exchange for 2,987,751 Subordinate Voting Shares of the Company. The shares are to be issued in seven tranches, the first of which was delivered in December 2018. The removal of the noncontrolling interests carrying balance, as well as the recording of the liability to issue the shares, resulted in a decrease of $25,917,883 to accumulated deficit as of December 31, 2018. The balance of the remaining liability at December 31, 2018 is $25,420,009 and is recorded in liability for acquisition of noncontrolling interest on the consolidated balance sheet. The remaining shares were delivered in 2019.</w:t>
      </w:r>
    </w:p>
    <w:p>
      <w:pPr>
        <w:spacing w:after="0" w:line="306"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53"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68"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Stock option activity is summarized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Weighted</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Weighted</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Number of</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Average Exercise</w:t>
            </w:r>
          </w:p>
        </w:tc>
        <w:tc>
          <w:tcPr>
            <w:tcW w:w="16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rPr>
              <w:t>Shares</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Price (CAD)</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color w:val="auto"/>
                <w:w w:val="95"/>
              </w:rPr>
              <w:t>Contractual Life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3,040,906</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(114,080)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11.79</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(765,001)</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14.01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492,833</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13.63</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116,320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6.67</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218,234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2019 and 2018, respectively, and the exercise price, multiplied by the number of in-the-money options) that would have been received by the option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holders had all option holders exercised their in-the-money options on December 31, 2019 and 2018. This amount will change in future periods based on the fair market value of the Company’s stock and the number of options outstanding.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at the grant dates during the year ended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using the following ranges of assumptions:</w:t>
      </w:r>
    </w:p>
    <w:p>
      <w:pPr>
        <w:spacing w:after="0" w:line="13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spacing w:after="0"/>
              <w:rPr>
                <w:sz w:val="20"/>
                <w:szCs w:val="20"/>
                <w:color w:val="auto"/>
              </w:rPr>
            </w:pPr>
            <w:r>
              <w:rPr>
                <w:rFonts w:ascii="Arial" w:cs="Arial" w:eastAsia="Arial" w:hAnsi="Arial"/>
                <w:sz w:val="18"/>
                <w:szCs w:val="18"/>
                <w:color w:val="auto"/>
              </w:rPr>
              <w:t>3 – 10 years</w:t>
            </w:r>
          </w:p>
        </w:tc>
      </w:tr>
    </w:tbl>
    <w:p>
      <w:pPr>
        <w:spacing w:after="0" w:line="79"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2019 and 2018 and the changes during the year ended December 31, 2019:</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2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620" w:type="dxa"/>
            <w:vAlign w:val="bottom"/>
          </w:tcPr>
          <w:p>
            <w:pPr>
              <w:spacing w:after="0"/>
              <w:rPr>
                <w:sz w:val="14"/>
                <w:szCs w:val="14"/>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Value (CAD)</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1,589,000</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1,192,678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(201,873)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(1,180,043)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stock-based compensation expense for the years ended December 31, 2019, 2018 and 2017 was as follows:</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6,393,277</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$1,876,627</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11,892,100</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4,748,444</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18,285,377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6,625,071</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related parties and un-related third parties held warrants that were valued at $128,131 and $15,751,712, respectively as of December 31, 2019. The warrant exercise prices are denominated in Canadian dollars whereas the Company’s functional currency is USD. As such, the Company classified the warrants as a liability and valued them using a Monte Carlo simulation model. See Note 10 – Notes Payable for additional details regarding the valuation methodology and significant assumptions used within the valuation. Changes in the fair value of the warrants since the transaction dates were recorded in the consolidated statement of</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000"/>
          </w:cols>
          <w:pgMar w:left="320" w:top="459" w:right="5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operations within other income (expense). The following table summarizes the number warrants issued to related parties and third parties as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and 2018 and the changes during the year ended December 31, 2019:</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Third Party</w:t>
            </w:r>
          </w:p>
        </w:tc>
        <w:tc>
          <w:tcPr>
            <w:tcW w:w="152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Related Party</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Weighted Average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of</w:t>
            </w: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rPr>
              <w:t>(CAD)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Contractual Life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18.59</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5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5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Units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7,657,700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(7,657,700)</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315"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has entered into agreements during 2019 and 2018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2019, the Company recorded a liability of $5,500,000 in connection with a 2019 agreement with George Management where the noncontrolling party exercised its put option during the year for the Company to purchase the noncontrolling interest. The transaction is expected to close in early 2020. See further discussion in Note 14—Share Capital.</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 the year ended December 31, 2018, the Company recorded a derivative liability in connection with the 2018 agreement for the put and call options using the Black Scholes options pricing model which approximates the value that would be obtained using a lattice model. The assumptions used in the calculating the fair value include a risk free rate of 2.44%, volatility of 100%, an expected term of 30 days, and a share price of $8.07. Upon initial recognition, the Company recorded a derivative liability of $7,078,792. The Company recorded a gain of $2,869,342 on revaluation of the derivative liability, which is included other income on the consolidated</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PUT AND CALL OPTIONS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statement of operations for the year ended December 31, 2018. The value of the derivative at December 31, 2018 is $4,238,701 and is recorded as a derivative liability on the consolidated balance sheet. The options were exercised and shares were issued on January 8, 2019.</w:t>
      </w:r>
    </w:p>
    <w:p>
      <w:pPr>
        <w:spacing w:after="0" w:line="291"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2018 and 2017 other income (expense) was comprised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(3,530,969)</w:t>
            </w:r>
          </w:p>
        </w:tc>
        <w:tc>
          <w:tcPr>
            <w:tcW w:w="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(1,771,420)</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13,586,000</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(132,523)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2,869,342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warrants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37,765,718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(6,608,790)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(4,206,141)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1,981,358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(3,686,921)</w:t>
            </w: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544,399</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(10,318,936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56,417,421</w:t>
            </w: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544,399</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147"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2019, medical cannabis regulations continue to evolve and are subject to differing interpretations. As a result, the Company may be subject to regulatory fines, penalties, or restrictions in the future.</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and Litigation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2019, the Company held approximately $10,877,000 of open commitments to contractors on work being performed.</w:t>
      </w:r>
    </w:p>
    <w:p>
      <w:pPr>
        <w:spacing w:after="0" w:line="392" w:lineRule="exact"/>
        <w:rPr>
          <w:rFonts w:ascii="Arial" w:cs="Arial" w:eastAsia="Arial" w:hAnsi="Arial"/>
          <w:sz w:val="18"/>
          <w:szCs w:val="18"/>
          <w:b w:val="1"/>
          <w:bCs w:val="1"/>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 The Company’s financial instruments and their classifications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-2409190</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-840740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December 31, 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46,667,334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815,937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(15,879,843)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(15,879,843)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(58,936,739)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(58,936,739)</w:t>
            </w:r>
          </w:p>
        </w:tc>
      </w:tr>
      <w:tr>
        <w:trPr>
          <w:trHeight w:val="27"/>
        </w:trPr>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(65,431,824)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(18,764,490)</w:t>
            </w: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financial instruments and their classification at December 31, 2018 is as follows: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$ 145,986,072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Notes Receivable</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10,924,727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10,924,727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966,541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39,966,742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40,933,283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(25,420,009)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(25,420,009)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4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$ 146,952,613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12,197,509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159,150,122</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5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10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-3225800</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&lt;1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1 to 3 Years</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&gt;5 Years</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82"/>
        </w:trPr>
        <w:tc>
          <w:tcPr>
            <w:tcW w:w="3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Accounts Payable and Accrued</w:t>
            </w:r>
          </w:p>
        </w:tc>
        <w:tc>
          <w:tcPr>
            <w:tcW w:w="5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$45,930,227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$45,930,227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Notes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90,942,875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197,319</w:t>
            </w:r>
          </w:p>
        </w:tc>
        <w:tc>
          <w:tcPr>
            <w:tcW w:w="3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91,346,869</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10,877,000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10,877,000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50,391,181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8,545,558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58,936,739</w:t>
            </w:r>
          </w:p>
        </w:tc>
      </w:tr>
    </w:tbl>
    <w:p>
      <w:pPr>
        <w:spacing w:after="0" w:line="89" w:lineRule="exact"/>
        <w:rPr>
          <w:sz w:val="20"/>
          <w:szCs w:val="20"/>
          <w:color w:val="auto"/>
        </w:rPr>
      </w:pPr>
    </w:p>
    <w:p>
      <w:pPr>
        <w:ind w:left="1320" w:right="8500" w:hanging="772"/>
        <w:spacing w:after="0" w:line="425" w:lineRule="auto"/>
        <w:tabs>
          <w:tab w:leader="none" w:pos="108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i w:val="1"/>
          <w:iCs w:val="1"/>
          <w:color w:val="auto"/>
        </w:rPr>
        <w:t>Interest Rate Risk</w:t>
      </w:r>
    </w:p>
    <w:p>
      <w:pPr>
        <w:ind w:left="1320" w:right="100"/>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following table represents the summarized financial information about the Company’s consolidated variable interest entities (VIEs) which are included in the consolidated balance sheets and statements of operation as of December 31, 2019 and 2018. All of these entities were determined to be VIEs as the Company possesses the power to direct activities through management services agreements (MSAs).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Chesapeake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Illinois</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Chesapeake</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Illinois</w:t>
            </w:r>
          </w:p>
        </w:tc>
        <w:tc>
          <w:tcPr>
            <w:tcW w:w="8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material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Alternatives, LLC</w:t>
            </w: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Disp, LLC</w:t>
            </w:r>
          </w:p>
        </w:tc>
        <w:tc>
          <w:tcPr>
            <w:tcW w:w="8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Disp,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19,455,533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$1,381,716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1,352,935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6,508,304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1,279,049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3,083,659</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2,534,297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1,728,594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2,958,845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78,910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149,498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783,682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3,014,764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1,392,559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137,736</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855,440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2,089,071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1,486,062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(105,402)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2,089,070</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2,270,598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1,529,037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16,056,521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5,857,946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3,516,164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13,783,876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4,555,543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699,624</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(112,245)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1,407,266</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8"/>
              </w:rPr>
              <w:t>(582,280)</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attributable to Green Thumb Industries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1,807,229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699,625</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(79,402)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(102,037)</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1,399,249</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(191,647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1,407,266</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(684,317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VIEs included in the Other Non-material VIEs are Bluepoint Wellness of Westport LLC and Meshow, LLC as of December 31, 2019. VIEs included in the Other Non-material VIEs are KW Ventures Holdings, LLC; Meshow, LLC; and Ohio Investors 2017, LLC as of December 31,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2019 and 2018:</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Variable Interest Entities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Chesapeake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Illinois</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Other Non-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1"/>
              <w:spacing w:after="0" w:line="149" w:lineRule="exact"/>
              <w:rPr>
                <w:sz w:val="20"/>
                <w:szCs w:val="20"/>
                <w:color w:val="auto"/>
              </w:rPr>
            </w:pPr>
            <w:r>
              <w:rPr>
                <w:rFonts w:ascii="Arial" w:cs="Arial" w:eastAsia="Arial" w:hAnsi="Arial"/>
                <w:sz w:val="14"/>
                <w:szCs w:val="14"/>
                <w:b w:val="1"/>
                <w:bCs w:val="1"/>
                <w:color w:val="auto"/>
                <w:w w:val="96"/>
              </w:rPr>
              <w:t>material</w:t>
            </w: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Disp,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VIEs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3,196,301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1,896,546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(164,635)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1,731,911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683,513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21,106,610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21,983,751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(40,819,508)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1,217,385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(582,280)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27,115,990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27,811,696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Changes in ownership</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(10,439,741)</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1,957,147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(105,402)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3,497,459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Contributions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1,650,000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(1,135,856)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(5,812,505)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(7,516,061)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(112,245)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(1,017,842)</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(430,463)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5,311,978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5,311,978</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2,089,071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(217,647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291,283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F-82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2019, the Company acquired the noncontrolling interests for Ohio Investors 2017, LLC; KW Ventures Holdings, LLC (Firefly); and GTI New Jersey, LLC. The activity for these entities is included within the Other Noncontrolling Interests column in the above table. See Note 14—Share Capital for additional discussion.</w:t>
      </w:r>
    </w:p>
    <w:p>
      <w:pPr>
        <w:spacing w:after="0" w:line="328"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below table presents revenues by type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109,930,160</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25,706,134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8,375,953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137,809,904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41,994,791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(31,307,459)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(5,207,245)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216,432,605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62,493,680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28,670,519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2,811,821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31,482,340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3,727,292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2,245,450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9,905,876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(4,289,135)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7,183,595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total assets by type as of December 31, 2019 and 2018:</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648,080,341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104,514,162</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164,308,187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105,293,320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1,961,227,868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209,879,995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(1,606,079,772)</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(1,338,911)</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7"/>
              </w:rPr>
              <w:t>1,167,536,624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418,348,566</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Goodwill assigned to the Consumer Packaged Goods segment as of December 31, 2019 and 2018 was $255,211,232 and $23,918,000, respectively. Intangible assets, net assigned to the Consumer Packaged Goods segment as of December 31, 2019 and 2018 was $228,795,692 and $46,540,000, respectively.</w:t>
      </w:r>
    </w:p>
    <w:p>
      <w:pPr>
        <w:spacing w:after="0" w:line="184" w:lineRule="exact"/>
        <w:rPr>
          <w:sz w:val="20"/>
          <w:szCs w:val="20"/>
          <w:color w:val="auto"/>
        </w:rPr>
      </w:pPr>
    </w:p>
    <w:p>
      <w:pPr>
        <w:ind w:left="560" w:right="180"/>
        <w:spacing w:after="0" w:line="308" w:lineRule="auto"/>
        <w:rPr>
          <w:sz w:val="20"/>
          <w:szCs w:val="20"/>
          <w:color w:val="auto"/>
        </w:rPr>
      </w:pPr>
      <w:r>
        <w:rPr>
          <w:rFonts w:ascii="Arial" w:cs="Arial" w:eastAsia="Arial" w:hAnsi="Arial"/>
          <w:sz w:val="17"/>
          <w:szCs w:val="17"/>
          <w:color w:val="auto"/>
        </w:rPr>
        <w:t>Goodwill assigned to the Retail segment as of December 31, 2019 and 2018 was $119,873,759 and $15,286,360, respectively. Intangible assets, net assigned to the Retail segment as of December 31, 2019 and 2018 was $207,002,644 and $41,825,678, respectively.</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320" w:lineRule="exact"/>
        <w:rPr>
          <w:rFonts w:ascii="Arial" w:cs="Arial" w:eastAsia="Arial" w:hAnsi="Arial"/>
          <w:sz w:val="18"/>
          <w:szCs w:val="18"/>
          <w:b w:val="1"/>
          <w:bCs w:val="1"/>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-1439545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an unrelated third party. GTI will lease back the facility via a long-term agreement and continue to operate and manage it. The purchase price for the property was $2.9 million, excluding transaction costs. GTI is also expected to make certain improvements to the property that will significantly enhance production capacity, for which GTI will be reimbursed up to $4.3 million. Assuming full reimbursement for such improvements, the total investment in the property will be $7.2 million.</w:t>
      </w:r>
    </w:p>
    <w:p>
      <w:pPr>
        <w:spacing w:after="0" w:line="188"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an unrelated third party. GTI will lease back the facility via a long-term agreement and continue to operate and manage it. The purchase price for the property was $9.0 million, excluding transaction costs. GTI is also expected to make certain improvements to the property that will significantly enhance production capacity, for which GTI will be reimbursed up to $41.0 million. Assuming full reimbursement for such improvements, the total investment in the property will be $50.0 million.</w:t>
      </w:r>
    </w:p>
    <w:p>
      <w:pPr>
        <w:spacing w:after="0" w:line="332"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COVID-19 Global Pandemic</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(or medical patients only in Massachusetts). The uncertain nature of the spread of COVID-19 globally may impact our business operations for reasons including the potential quarantine of our employees, customers, and third-party service providers. At this time, the Company is unable to estimate the impact of this event on its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contains selected quarterly data for 2019 and 2018.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Full</w:t>
            </w: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27,913,163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44,726,777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67,990,907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75,801,758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216,432,605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(13,629,660)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(9,326,730)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(27,690,702)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(9,563,056)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(20,892,049)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(14,590,793)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(14,070,509)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(59,116,407)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167,171,886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182,261,947</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204,709,085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207,666,666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190,602,400</w:t>
            </w:r>
          </w:p>
        </w:tc>
      </w:tr>
      <w:tr>
        <w:trPr>
          <w:trHeight w:val="94"/>
        </w:trPr>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10,925,898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13,624,658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17,171,710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20,771,414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62,493,680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(3,325,725)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(16,793,608)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(26,340,158)</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6"/>
              </w:rPr>
              <w:t>Net (loss) earnings attributable to Green Thumb Industries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2,595,022</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(3,523,222)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(3,303,708)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(5,243,917)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107,528,100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113,492,970</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142,365,356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151,274,619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130,102,523</w:t>
            </w: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F-85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548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43"/>
          <w:szCs w:val="43"/>
          <w:b w:val="1"/>
          <w:bCs w:val="1"/>
          <w:color w:val="auto"/>
        </w:rPr>
        <w:t>GREEN THUMB INDUSTRIES INC.</w:t>
      </w: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color w:val="auto"/>
        </w:rPr>
        <w:t>●</w:t>
      </w:r>
      <w:r>
        <w:rPr>
          <w:rFonts w:ascii="Arial" w:cs="Arial" w:eastAsia="Arial" w:hAnsi="Arial"/>
          <w:sz w:val="25"/>
          <w:szCs w:val="25"/>
          <w:b w:val="1"/>
          <w:bCs w:val="1"/>
          <w:color w:val="auto"/>
        </w:rPr>
        <w: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2237740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2297430</wp:posOffset>
            </wp:positionV>
            <wp:extent cx="699516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the costs and expenses payable by us in connection with the registration of the securities being registered hereby. All such expenses are estimated except for the SEC registration fee.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Printing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are subject to the provisions of Part 5, 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Under Section 160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we may, subject to Section 163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Columbia):</w:t>
      </w:r>
    </w:p>
    <w:p>
      <w:pPr>
        <w:spacing w:after="0" w:line="116"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is or was a director or officer of another corporation (A) at a time when such corporation is or was an affiliate of our company; or</w:t>
      </w:r>
    </w:p>
    <w:p>
      <w:pPr>
        <w:spacing w:after="0" w:line="46"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(B) at our request, or</w:t>
      </w:r>
    </w:p>
    <w:p>
      <w:pPr>
        <w:spacing w:after="0" w:line="116" w:lineRule="exact"/>
        <w:rPr>
          <w:rFonts w:ascii="Arial" w:cs="Arial" w:eastAsia="Arial" w:hAnsi="Arial"/>
          <w:sz w:val="16"/>
          <w:szCs w:val="16"/>
          <w:color w:val="auto"/>
        </w:rPr>
      </w:pPr>
    </w:p>
    <w:p>
      <w:pPr>
        <w:ind w:left="1540" w:right="140" w:hanging="439"/>
        <w:spacing w:after="0" w:line="277" w:lineRule="auto"/>
        <w:tabs>
          <w:tab w:leader="none" w:pos="15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at our request, is or was, or holds or held a position equivalent to that of, a director or officer of a partnership, trust, joint venture or other unincorporated entity,</w:t>
      </w:r>
    </w:p>
    <w:p>
      <w:pPr>
        <w:spacing w:after="0" w:line="62" w:lineRule="exact"/>
        <w:rPr>
          <w:sz w:val="20"/>
          <w:szCs w:val="20"/>
          <w:color w:val="auto"/>
        </w:rPr>
      </w:pPr>
    </w:p>
    <w:p>
      <w:pPr>
        <w:ind w:left="1100" w:right="380"/>
        <w:spacing w:after="0" w:line="308" w:lineRule="auto"/>
        <w:rPr>
          <w:sz w:val="20"/>
          <w:szCs w:val="20"/>
          <w:color w:val="auto"/>
        </w:rPr>
      </w:pPr>
      <w:r>
        <w:rPr>
          <w:rFonts w:ascii="Arial" w:cs="Arial" w:eastAsia="Arial" w:hAnsi="Arial"/>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pacing w:after="0" w:line="52" w:lineRule="exact"/>
        <w:rPr>
          <w:sz w:val="20"/>
          <w:szCs w:val="20"/>
          <w:color w:val="auto"/>
        </w:rPr>
      </w:pPr>
    </w:p>
    <w:p>
      <w:pPr>
        <w:ind w:left="1080" w:right="260" w:hanging="532"/>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75" w:lineRule="exact"/>
        <w:rPr>
          <w:rFonts w:ascii="Arial" w:cs="Arial" w:eastAsia="Arial" w:hAnsi="Arial"/>
          <w:sz w:val="18"/>
          <w:szCs w:val="18"/>
          <w:color w:val="auto"/>
        </w:rPr>
      </w:pPr>
    </w:p>
    <w:p>
      <w:pPr>
        <w:ind w:left="1540" w:right="720" w:hanging="439"/>
        <w:spacing w:after="0" w:line="277" w:lineRule="auto"/>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“eligible penalty” means a judgment, penalty or fine awarded or imposed in, or an amount paid in settlement of, an eligible proceeding,</w:t>
      </w:r>
    </w:p>
    <w:p>
      <w:pPr>
        <w:spacing w:after="0" w:line="75" w:lineRule="exact"/>
        <w:rPr>
          <w:rFonts w:ascii="Arial" w:cs="Arial" w:eastAsia="Arial" w:hAnsi="Arial"/>
          <w:sz w:val="18"/>
          <w:szCs w:val="18"/>
          <w:color w:val="auto"/>
        </w:rPr>
      </w:pPr>
    </w:p>
    <w:p>
      <w:pPr>
        <w:ind w:left="1540" w:right="40" w:hanging="439"/>
        <w:spacing w:after="0" w:line="301" w:lineRule="auto"/>
        <w:tabs>
          <w:tab w:leader="none" w:pos="15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62" w:lineRule="exact"/>
        <w:rPr>
          <w:rFonts w:ascii="Arial" w:cs="Arial" w:eastAsia="Arial" w:hAnsi="Arial"/>
          <w:sz w:val="16"/>
          <w:szCs w:val="16"/>
          <w:color w:val="auto"/>
        </w:rPr>
      </w:pPr>
    </w:p>
    <w:p>
      <w:pPr>
        <w:ind w:left="1540" w:right="180" w:hanging="439"/>
        <w:spacing w:after="0" w:line="277" w:lineRule="auto"/>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“expenses” includes costs, charges and expenses, including legal and other fees, but does not include judgments, penalties, fines or amounts paid in settlement of a proceeding,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pending or completed.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Under Section 161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and subject to Section 163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Under Section 162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subject to Section 163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eligible party will repay the amounts advanced.</w:t>
      </w:r>
    </w:p>
    <w:p>
      <w:pPr>
        <w:spacing w:after="0" w:line="18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 xml:space="preserve">Under Section 163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we must not indemnify an eligible party against eligible penalties to which the eligible party is or may be liable or pay the expenses of an eligible party in respect of that proceeding under Sections 160, 161 or 162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(British Columbia), as the case may be, if any of the following circumstances apply:</w:t>
      </w:r>
    </w:p>
    <w:p>
      <w:pPr>
        <w:spacing w:after="0" w:line="71" w:lineRule="exact"/>
        <w:rPr>
          <w:sz w:val="20"/>
          <w:szCs w:val="20"/>
          <w:color w:val="auto"/>
        </w:rPr>
      </w:pPr>
    </w:p>
    <w:p>
      <w:pPr>
        <w:ind w:left="1080" w:right="480" w:hanging="532"/>
        <w:spacing w:after="0" w:line="263"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w:t>
      </w:r>
    </w:p>
    <w:p>
      <w:pPr>
        <w:spacing w:after="0" w:line="89" w:lineRule="exact"/>
        <w:rPr>
          <w:rFonts w:ascii="Arial" w:cs="Arial" w:eastAsia="Arial" w:hAnsi="Arial"/>
          <w:sz w:val="18"/>
          <w:szCs w:val="18"/>
          <w:color w:val="auto"/>
        </w:rPr>
      </w:pPr>
    </w:p>
    <w:p>
      <w:pPr>
        <w:jc w:val="both"/>
        <w:ind w:left="1080" w:right="460" w:hanging="532"/>
        <w:spacing w:after="0" w:line="342"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If an eligible proceeding is brought against an eligible party by or on behalf of our company or by or on behalf of an associated corporation, we must not either indemnify the eligible party under Section 160(a)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against eligible penalties to which the eligible party is or may be liable, or pay the expenses of the eligible party under Sections 160(b), 161 or 162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as the case may be, in respect of the proceeding.</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Under Section 164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despite any other provision of Part 5, Division 5 of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(British Columbia) and whether or not payment of expenses or indemnification has been sought, authorized or declined under Part 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on application of our company or an eligible party, the court may do one or more of the following:</w:t>
      </w:r>
    </w:p>
    <w:p>
      <w:pPr>
        <w:spacing w:after="0" w:line="92" w:lineRule="exact"/>
        <w:rPr>
          <w:sz w:val="20"/>
          <w:szCs w:val="20"/>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order the enforcement of, or any payment under, an agreement of indemnification entered into by us;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order us to pay some or all of the expenses actually and reasonably incurred by any person in obtaining an order under Section 164 of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(British Columbia);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165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Under Part 21.2 of our Articles,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us on the terms of the indemnity contained in our Articles.</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Under Part 21.3 of our Articles, and subject to any restrictions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may indemnify any person.</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indemnification agreements, each director and executive officer is entitled, subject to the terms and conditions thereof, to the right of indemnification and contribution for certain expenses to the fullest extent permitted by applicable law. We believe that these indemnification agreements are necessary to attract and retain qualified individuals to serve as directors and executive officers.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Pursuant to Part 21.4 of our Articles, the failure of an eligible party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or our Articles does not invalidate any indemnity to which he or she is entitled under our Articles.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Part 21.5 of our Articles, we may purchase and maintain insurance for the benefit of any person (or his or her heirs or legal personal representatives) who: (1) is or was our director, alternate director, officer, employee or agent; (2) is or was a director, alternate director, officer, employee or agent of a corporation at a time when the corporation is or was our affiliate; (3) at our request, is or was a director, alternate director, officer, employee or agent of a corporation or of a partnership, trust, joint venture or other unincorporated entity; or (4) at our request,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19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following information represents securities sold by Green Thumb Industries Inc. within the past three years through June 26, 2020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We sold all of the securities listed below pursuant to the exemption from registration provided by Section 4(a)(2) of the Securities Act, or Regulation D or Regulation S promulgated thereunder.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Subordinate Voting Shares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On June 12, 2018, we issued 10,744,995 Subordinate Voting Shares as part of the approximately C$87 million SR Offering at C$7.75. The financing was underwritten by GMP Securities L.P., Canaccord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Genuity Corp., Beacon Securities Limited, Echelon Wealth Partners Inc., and Eight Capital Corp. In addition, pursuant to the RTO transaction, Bayswater Uranium Corporation’s existing 185,186,988 common shares were converted into 500,439 Subordinate Voting shares of the Company. The value assigned to these shares was $3,002,634, which was based on a per-share price of $6.00 on the RTO date.</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June 26, 2020, our shareholders converted an additional 260,591 Multiple Voting Shares into 26,059,100 Subordinate Voting Shares.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August 2, 2018, we issued 7,300,000 Subordinate Voting Shares as part of a C$80.3 million bought deal for a value of C$11.00 per share. The financing was underwritten by Canaccord Genuity Corp., GMP Securities L.P., Beacon Securities Limited, Echelon Wealth Partners Inc. and Eight Capital Corp.</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On September 7, 2018, September 13, 2018, December 31, 2019, February 20, 2020, and May 31, 2020, the holders of Compensation Options issued to underwriters of the Transaction financing exercised options, which converted into 285,200 Subordinate Voting Shares.</w:t>
      </w:r>
    </w:p>
    <w:p>
      <w:pPr>
        <w:spacing w:after="0" w:line="14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Between October 9, 2018 and through December 31, 2018, we issued, in total, 87,742 Subordinate Voting Shares for 100% of the membership interests or shares of privately held companies, continuing through December 31, 2019, we issued, in total, an additional 12,462,174 Subordinate Voting Shares and continuing through May 15, 2020, we issued, in total, an additional 929,835 Subordinate Voting Shares.</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On October 17, 2018, we issued 5,083,000 Subordinate Voting Shares as part of a C$101.7 million bought deal for a value of C$20.00 per share. The financing was underwritten by GMP Securities L.P., Beacon Securities Limited, Cormark Securities Inc., Echelon Wealth Partners Inc. and Eight Capital Corp.</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Between December 6, 2018 and through December 31, 2018, we issued 489,347 Subordinate Voting Shares to buyout the membership interests of joint venture partners pursuant to agreements between the parties and, continuing through December 31, 2019, we issued an additional 4,402,735 Subordinate Voting Shares.</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Between February 11, 2019, January 3, 2020 and May 18, 2020, we issued, in total, 7,936,279 Subordinate Voting Shares for 100% of the membership interest of Advanced Grow Labs, LLC as well as for certain achieved milestone events.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22, 2019 and May 24, 2019, we issued 19,875 Subordinate Voting Shares to the lead lender pursuant to the Note Purchase Agreement.</w:t>
      </w:r>
    </w:p>
    <w:p>
      <w:pPr>
        <w:spacing w:after="0" w:line="24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June 5, 2019, June 21, 2019, August 12, 2019 and May 25, 2020, we issued, in total, 24,933,813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Between July 2, 2019 and December 31, 2019, we issued, in total, 1,165,630 Subordinate Voting Shares to holders of our restricted stock units issued under our 2018 Stock and Incentive Plan, which vested over the same period. From January 1, 2020 through February 19, 2020 (the effective date of the filing of our registration statement on Form S-8), we issued, in total, 14,724 Subordinate Voting Shares to holders of our restricted stock units issued under our 2018 Stock and Incentive Plan, which vested over the same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Multiple Voting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12, 2018, we issued 830,975 Multiple Voting Shares to prior holders of VCP23, LLC membership interests pursuant to the Transaction.</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June 26, 2020, our shareholders converted an additional 147,805 Multiple Voting Shares into 14,807,500 Subordinate Voting Shares. On November 7, 2018, we issued 32,965 Multiple Voting Shares in exchange for 3,296,500 subscription receipts held by the owners of a privately held company.</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and, continuing through June 26, 2020, our shareholders converted an additional 13,953 Super Voting Shares into 13,953 Multiple Voting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Super Voting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June 12, 2018, we issued 433,409 Super Voting Shares to prior holders of VCP23, LLC membership interests pursuant to the Transaction and prior holders of Bayswater Uranium Corporation.</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and continuing through June 26, 2020, our shareholders converted an additional 13,953 Super Voting Shares into 13,953 Multiple Voting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right="20" w:hanging="532"/>
        <w:spacing w:after="0" w:line="259"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20" w:type="dxa"/>
            <w:vAlign w:val="bottom"/>
            <w:vMerge w:val="restart"/>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3"/>
              </w:rPr>
              <w:t>Description of Exhibit</w:t>
            </w:r>
          </w:p>
        </w:tc>
        <w:tc>
          <w:tcPr>
            <w:tcW w:w="4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8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1.1†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Amended and Restated Articles of Green Thumb Industries Inc.</w:t>
            </w:r>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2"/>
              </w:rPr>
              <w:t>Coattail Agreement, dated June 12, 2018, by and among the Shareholders, Green Thumb Industries Inc. and Odyssey Trust Company.</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2"/>
              </w:rPr>
              <w:t>Business Combination Agreement, dated June 12, 2018, by and among Bayswater Uranium Corporation, VCP23, LLC, GTI Finco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1165318 B.C. Ltd. and GTI23, Inc.</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89"/>
              </w:rPr>
              <w:t>Membership Interest Purchase Agreement, dated November 12, 2018, by and among the Seller Parties, GTI Core, LLC and Green Thumb</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Industries Inc.</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89"/>
              </w:rPr>
              <w:t>Amendment No. 1 to Membership Interest Purchase Agreement, dated June 5, 2019, by and among the Seller Parties, GTI Core, LLC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Green Thumb Industries Inc.</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10.4*#</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0"/>
              </w:rPr>
              <w:t>Agreement and Plan of Merger and Reorganization, dated January 4, 2019, by and among Green Thumb Industries Inc., GTI Merger Sub,</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LLC and Advanced Grow Labs, LLC</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10.5*#</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4"/>
              </w:rPr>
              <w:t>First Amendment to the Agreement and Plan of Merger and Reorganization, dated February 11, 2019, by and among Green Thumb</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Industries Inc., GTI Merger Sub, LLC and Advanced Grow Labs, LLC.</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10.6*#</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Note Purchase Agreement, dated May 22, 2019, by and among the Issuers, the Purchasers and the Agents.</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10.7*#</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0"/>
              </w:rPr>
              <w:t>First Amendment to the Note Purchase Agreement, dated November 9, 2019, by and among the Issuers, the Purchasers and the Agents.</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Green Thumb Industries Inc. 2018 Stock and Incentive Plan, dated June 11, 2018.</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Amendment No. 1 to the Green Thumb Industries Inc. 2018 Stock and Incentive Plan, dated August 30, 2019.</w:t>
            </w:r>
          </w:p>
        </w:tc>
        <w:tc>
          <w:tcPr>
            <w:tcW w:w="0" w:type="dxa"/>
            <w:vAlign w:val="bottom"/>
          </w:tcPr>
          <w:p>
            <w:pPr>
              <w:spacing w:after="0"/>
              <w:rPr>
                <w:sz w:val="1"/>
                <w:szCs w:val="1"/>
                <w:color w:val="auto"/>
              </w:rPr>
            </w:pPr>
          </w:p>
        </w:tc>
      </w:tr>
      <w:tr>
        <w:trPr>
          <w:trHeight w:val="310"/>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10.10#</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w w:val="94"/>
              </w:rPr>
              <w:t>Form of Notice of Option Grant (incorporated by reference to Exhibit 10.10 to the registration statement on Form 10 of Green Thumb</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Industries Inc., filed on December 20, 2019) (File No. 000-56132).</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Form of Option Agreement.</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10.12#</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Form of Notice of RSU Grant and Agreement.</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21.1#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List of Subsidiaries of Green Thumb Industries Inc.</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24.1</w:t>
            </w:r>
          </w:p>
        </w:tc>
        <w:tc>
          <w:tcPr>
            <w:tcW w:w="10420" w:type="dxa"/>
            <w:vAlign w:val="bottom"/>
            <w:gridSpan w:val="3"/>
          </w:tcPr>
          <w:p>
            <w:pPr>
              <w:ind w:left="500"/>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as an exhibit to an amendment to this registration statement.</w:t>
      </w:r>
    </w:p>
    <w:p>
      <w:pPr>
        <w:spacing w:after="0" w:line="23" w:lineRule="exact"/>
        <w:rPr>
          <w:sz w:val="20"/>
          <w:szCs w:val="20"/>
          <w:color w:val="auto"/>
        </w:rPr>
      </w:pPr>
    </w:p>
    <w:p>
      <w:pPr>
        <w:ind w:left="340" w:right="280" w:hanging="224"/>
        <w:spacing w:after="0" w:line="250" w:lineRule="auto"/>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5480" w:right="1980" w:hanging="5364"/>
        <w:spacing w:after="0" w:line="433" w:lineRule="auto"/>
        <w:tabs>
          <w:tab w:leader="none" w:pos="32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10 filed on December 20, 2019 (File No. 000-56132). II-7</w:t>
      </w:r>
    </w:p>
    <w:p>
      <w:pPr>
        <w:sectPr>
          <w:pgSz w:w="11900" w:h="16838" w:orient="portrait"/>
          <w:cols w:equalWidth="0" w:num="1">
            <w:col w:w="11040"/>
          </w:cols>
          <w:pgMar w:left="320" w:top="459" w:right="5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the City of Chicago, State of Illinois on June 30, 2020.</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231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Benjamin Kovler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Each person whose signature appears below constitutes and appoints each of Benjamin Kovler and Anthony Georgiadis,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 or substitutes, may lawfully do or cause to be done by virtue hereof.</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Benjamin Kovler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w w:val="99"/>
              </w:rPr>
              <w:t>Chairman of the Board and Chief Executive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4"/>
              </w:rPr>
              <w:t>Benjamin Kovler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Anthony Georgiadis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 and 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Anthony Georgiadis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Wendy Berger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Wendy Berger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Glen Senk</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Glen Senk</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Westley Moore</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Westley Moore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Gruver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4"/>
              </w:rPr>
              <w:t>William Gruver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Alejandro Yemenidjian</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Alejandro Yemenidjian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II-8</w:t>
            </w: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decimal"/>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1)"/>
      <w:numFmt w:val="lowerRoman"/>
      <w:start w:val="1"/>
    </w:lvl>
  </w:abstractNum>
  <w:abstractNum w:abstractNumId="4">
    <w:nsid w:val="7DE67713"/>
    <w:multiLevelType w:val="hybridMultilevel"/>
    <w:lvl w:ilvl="0">
      <w:lvlJc w:val="left"/>
      <w:lvlText w:val="(%1)"/>
      <w:numFmt w:val="lowerRoman"/>
      <w:start w:val="2"/>
    </w:lvl>
  </w:abstractNum>
  <w:abstractNum w:abstractNumId="5">
    <w:nsid w:val="555C55B5"/>
    <w:multiLevelType w:val="hybridMultilevel"/>
    <w:lvl w:ilvl="0">
      <w:lvlJc w:val="left"/>
      <w:lvlText w:val="%1"/>
      <w:numFmt w:val="upperLetter"/>
      <w:start w:val="61"/>
    </w:lvl>
  </w:abstractNum>
  <w:abstractNum w:abstractNumId="6">
    <w:nsid w:val="3FA62ACA"/>
    <w:multiLevelType w:val="hybridMultilevel"/>
    <w:lvl w:ilvl="0">
      <w:lvlJc w:val="left"/>
      <w:lvlText w:val="(%1)"/>
      <w:numFmt w:val="lowerRoman"/>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1)"/>
      <w:numFmt w:val="lowerRoman"/>
      <w:start w:val="1"/>
    </w:lvl>
  </w:abstractNum>
  <w:abstractNum w:abstractNumId="10">
    <w:nsid w:val="9DAF632"/>
    <w:multiLevelType w:val="hybridMultilevel"/>
    <w:lvl w:ilvl="0">
      <w:lvlJc w:val="left"/>
      <w:lvlText w:val="(%1)"/>
      <w:numFmt w:val="lowerLetter"/>
      <w:start w:val="1"/>
    </w:lvl>
  </w:abstractNum>
  <w:abstractNum w:abstractNumId="11">
    <w:nsid w:val="53299938"/>
    <w:multiLevelType w:val="hybridMultilevel"/>
    <w:lvl w:ilvl="0">
      <w:lvlJc w:val="left"/>
      <w:lvlText w:val="(%1)"/>
      <w:numFmt w:val="lowerRoman"/>
      <w:start w:val="1"/>
    </w:lvl>
  </w:abstractNum>
  <w:abstractNum w:abstractNumId="12">
    <w:nsid w:val="1FBFE8E0"/>
    <w:multiLevelType w:val="hybridMultilevel"/>
    <w:lvl w:ilvl="0">
      <w:lvlJc w:val="left"/>
      <w:lvlText w:val="(%1)"/>
      <w:numFmt w:val="lowerLetter"/>
      <w:start w:val="5"/>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1"/>
      <w:numFmt w:val="upperLetter"/>
      <w:start w:val="61"/>
    </w:lvl>
  </w:abstractNum>
  <w:abstractNum w:abstractNumId="18">
    <w:nsid w:val="1D9F6E5F"/>
    <w:multiLevelType w:val="hybridMultilevel"/>
    <w:lvl w:ilvl="0">
      <w:lvlJc w:val="left"/>
      <w:lvlText w:val="(%1)"/>
      <w:numFmt w:val="decimal"/>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1."/>
      <w:numFmt w:val="decimal"/>
      <w:start w:val="1"/>
    </w:lvl>
  </w:abstractNum>
  <w:abstractNum w:abstractNumId="27">
    <w:nsid w:val="5C10FE21"/>
    <w:multiLevelType w:val="hybridMultilevel"/>
    <w:lvl w:ilvl="0">
      <w:lvlJc w:val="left"/>
      <w:lvlText w:val="%1."/>
      <w:numFmt w:val="decimal"/>
      <w:start w:val="3"/>
    </w:lvl>
  </w:abstractNum>
  <w:abstractNum w:abstractNumId="28">
    <w:nsid w:val="E7FFA2B"/>
    <w:multiLevelType w:val="hybridMultilevel"/>
    <w:lvl w:ilvl="0">
      <w:lvlJc w:val="left"/>
      <w:lvlText w:val="(%1)"/>
      <w:numFmt w:val="decimal"/>
      <w:start w:val="1"/>
    </w:lvl>
  </w:abstractNum>
  <w:abstractNum w:abstractNumId="29">
    <w:nsid w:val="3C5991AA"/>
    <w:multiLevelType w:val="hybridMultilevel"/>
    <w:lvl w:ilvl="0">
      <w:lvlJc w:val="left"/>
      <w:lvlText w:val="(%1)"/>
      <w:numFmt w:val="decimal"/>
      <w:start w:val="4"/>
    </w:lvl>
  </w:abstractNum>
  <w:abstractNum w:abstractNumId="30">
    <w:nsid w:val="4BD8591A"/>
    <w:multiLevelType w:val="hybridMultilevel"/>
    <w:lvl w:ilvl="0">
      <w:lvlJc w:val="left"/>
      <w:lvlText w:val="(%1)"/>
      <w:numFmt w:val="decimal"/>
      <w:start w:val="1"/>
    </w:lvl>
  </w:abstractNum>
  <w:abstractNum w:abstractNumId="31">
    <w:nsid w:val="78DF6A55"/>
    <w:multiLevelType w:val="hybridMultilevel"/>
    <w:lvl w:ilvl="0">
      <w:lvlJc w:val="left"/>
      <w:lvlText w:val="(%1)"/>
      <w:numFmt w:val="decimal"/>
      <w:start w:val="2"/>
    </w:lvl>
  </w:abstractNum>
  <w:abstractNum w:abstractNumId="32">
    <w:nsid w:val="39B7AAA2"/>
    <w:multiLevelType w:val="hybridMultilevel"/>
    <w:lvl w:ilvl="0">
      <w:lvlJc w:val="left"/>
      <w:lvlText w:val="(%1)"/>
      <w:numFmt w:val="decimal"/>
      <w:start w:val="1"/>
    </w:lvl>
  </w:abstractNum>
  <w:abstractNum w:abstractNumId="33">
    <w:nsid w:val="2B0D8DBE"/>
    <w:multiLevelType w:val="hybridMultilevel"/>
    <w:lvl w:ilvl="0">
      <w:lvlJc w:val="left"/>
      <w:lvlText w:val="(%1)"/>
      <w:numFmt w:val="decimal"/>
      <w:start w:val="1"/>
    </w:lvl>
  </w:abstractNum>
  <w:abstractNum w:abstractNumId="34">
    <w:nsid w:val="6C80EC70"/>
    <w:multiLevelType w:val="hybridMultilevel"/>
    <w:lvl w:ilvl="0">
      <w:lvlJc w:val="left"/>
      <w:lvlText w:val="(%1)"/>
      <w:numFmt w:val="decimal"/>
      <w:start w:val="2"/>
    </w:lvl>
    <w:lvl w:ilvl="1">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1)"/>
      <w:numFmt w:val="decimal"/>
      <w:start w:val="1"/>
    </w:lvl>
  </w:abstractNum>
  <w:abstractNum w:abstractNumId="39">
    <w:nsid w:val="6AA7B75C"/>
    <w:multiLevelType w:val="hybridMultilevel"/>
    <w:lvl w:ilvl="0">
      <w:lvlJc w:val="left"/>
      <w:lvlText w:val="(%1)"/>
      <w:numFmt w:val="decimal"/>
      <w:start w:val="1"/>
    </w:lvl>
  </w:abstractNum>
  <w:abstractNum w:abstractNumId="40">
    <w:nsid w:val="1DF029D3"/>
    <w:multiLevelType w:val="hybridMultilevel"/>
    <w:lvl w:ilvl="0">
      <w:lvlJc w:val="left"/>
      <w:lvlText w:val="(%1)"/>
      <w:numFmt w:val="decimal"/>
      <w:start w:val="1"/>
    </w:lvl>
  </w:abstractNum>
  <w:abstractNum w:abstractNumId="41">
    <w:nsid w:val="5675FF36"/>
    <w:multiLevelType w:val="hybridMultilevel"/>
    <w:lvl w:ilvl="0">
      <w:lvlJc w:val="left"/>
      <w:lvlText w:val="(%1)"/>
      <w:numFmt w:val="lowerLetter"/>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1)"/>
      <w:numFmt w:val="lowerLetter"/>
      <w:start w:val="3"/>
    </w:lvl>
  </w:abstractNum>
  <w:abstractNum w:abstractNumId="45">
    <w:nsid w:val="5B25ACE2"/>
    <w:multiLevelType w:val="hybridMultilevel"/>
    <w:lvl w:ilvl="0">
      <w:lvlJc w:val="left"/>
      <w:lvlText w:val="(%1)"/>
      <w:numFmt w:val="lowerLetter"/>
      <w:start w:val="2"/>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1)"/>
      <w:numFmt w:val="lowerLetter"/>
      <w:start w:val="1"/>
    </w:lvl>
  </w:abstractNum>
  <w:abstractNum w:abstractNumId="52">
    <w:nsid w:val="519E3149"/>
    <w:multiLevelType w:val="hybridMultilevel"/>
    <w:lvl w:ilvl="0">
      <w:lvlJc w:val="left"/>
      <w:lvlText w:val="(%1)"/>
      <w:numFmt w:val="lowerLetter"/>
      <w:start w:val="2"/>
    </w:lvl>
  </w:abstractNum>
  <w:abstractNum w:abstractNumId="53">
    <w:nsid w:val="2C6E4AFD"/>
    <w:multiLevelType w:val="hybridMultilevel"/>
    <w:lvl w:ilvl="0">
      <w:lvlJc w:val="left"/>
      <w:lvlText w:val="%1."/>
      <w:numFmt w:val="decimal"/>
      <w:start w:val="1"/>
    </w:lvl>
  </w:abstractNum>
  <w:abstractNum w:abstractNumId="54">
    <w:nsid w:val="17A1B582"/>
    <w:multiLevelType w:val="hybridMultilevel"/>
    <w:lvl w:ilvl="0">
      <w:lvlJc w:val="left"/>
      <w:lvlText w:val="%1."/>
      <w:numFmt w:val="decimal"/>
      <w:start w:val="1"/>
    </w:lvl>
  </w:abstractNum>
  <w:abstractNum w:abstractNumId="55">
    <w:nsid w:val="4DF72E4E"/>
    <w:multiLevelType w:val="hybridMultilevel"/>
    <w:lvl w:ilvl="0">
      <w:lvlJc w:val="left"/>
      <w:lvlText w:val="%1"/>
      <w:numFmt w:val="lowerRoman"/>
      <w:start w:val="1"/>
    </w:lvl>
    <w:lvl w:ilvl="1">
      <w:lvlJc w:val="left"/>
      <w:lvlText w:val="(%2)"/>
      <w:numFmt w:val="lowerLetter"/>
      <w:start w:val="5"/>
    </w:lvl>
  </w:abstractNum>
  <w:abstractNum w:abstractNumId="56">
    <w:nsid w:val="5046B5A9"/>
    <w:multiLevelType w:val="hybridMultilevel"/>
    <w:lvl w:ilvl="0">
      <w:lvlJc w:val="left"/>
      <w:lvlText w:val="%1"/>
      <w:numFmt w:val="lowerRoman"/>
      <w:start w:val="1"/>
    </w:lvl>
    <w:lvl w:ilvl="1">
      <w:lvlJc w:val="left"/>
      <w:lvlText w:val="(%2)"/>
      <w:numFmt w:val="lowerLetter"/>
      <w:start w:val="9"/>
    </w:lvl>
  </w:abstractNum>
  <w:abstractNum w:abstractNumId="57">
    <w:nsid w:val="5D888A08"/>
    <w:multiLevelType w:val="hybridMultilevel"/>
    <w:lvl w:ilvl="0">
      <w:lvlJc w:val="left"/>
      <w:lvlText w:val="%1"/>
      <w:numFmt w:val="lowerRoman"/>
      <w:start w:val="1"/>
    </w:lvl>
    <w:lvl w:ilvl="1">
      <w:lvlJc w:val="left"/>
      <w:lvlText w:val="(%2)"/>
      <w:numFmt w:val="lowerLetter"/>
      <w:start w:val="35"/>
    </w:lvl>
  </w:abstractNum>
  <w:abstractNum w:abstractNumId="58">
    <w:nsid w:val="2A082C70"/>
    <w:multiLevelType w:val="hybridMultilevel"/>
    <w:lvl w:ilvl="0">
      <w:lvlJc w:val="left"/>
      <w:lvlText w:val="%1."/>
      <w:numFmt w:val="decimal"/>
      <w:start w:val="1"/>
    </w:lvl>
  </w:abstractNum>
  <w:abstractNum w:abstractNumId="59">
    <w:nsid w:val="5EC6AFD4"/>
    <w:multiLevelType w:val="hybridMultilevel"/>
    <w:lvl w:ilvl="0">
      <w:lvlJc w:val="left"/>
      <w:lvlText w:val="%1."/>
      <w:numFmt w:val="decimal"/>
      <w:start w:val="2"/>
    </w:lvl>
  </w:abstractNum>
  <w:abstractNum w:abstractNumId="60">
    <w:nsid w:val="19E21BB2"/>
    <w:multiLevelType w:val="hybridMultilevel"/>
    <w:lvl w:ilvl="0">
      <w:lvlJc w:val="left"/>
      <w:lvlText w:val="%1."/>
      <w:numFmt w:val="decimal"/>
      <w:start w:val="3"/>
    </w:lvl>
  </w:abstractNum>
  <w:abstractNum w:abstractNumId="61">
    <w:nsid w:val="75E0858A"/>
    <w:multiLevelType w:val="hybridMultilevel"/>
    <w:lvl w:ilvl="0">
      <w:lvlJc w:val="left"/>
      <w:lvlText w:val="%1."/>
      <w:numFmt w:val="decimal"/>
      <w:start w:val="3"/>
    </w:lvl>
  </w:abstractNum>
  <w:abstractNum w:abstractNumId="62">
    <w:nsid w:val="57A61A29"/>
    <w:multiLevelType w:val="hybridMultilevel"/>
    <w:lvl w:ilvl="0">
      <w:lvlJc w:val="left"/>
      <w:lvlText w:val="%1."/>
      <w:numFmt w:val="decimal"/>
      <w:start w:val="4"/>
    </w:lvl>
  </w:abstractNum>
  <w:abstractNum w:abstractNumId="63">
    <w:nsid w:val="5399C654"/>
    <w:multiLevelType w:val="hybridMultilevel"/>
    <w:lvl w:ilvl="0">
      <w:lvlJc w:val="left"/>
      <w:lvlText w:val="%1."/>
      <w:numFmt w:val="decimal"/>
      <w:start w:val="4"/>
    </w:lvl>
  </w:abstractNum>
  <w:abstractNum w:abstractNumId="64">
    <w:nsid w:val="20EE1348"/>
    <w:multiLevelType w:val="hybridMultilevel"/>
    <w:lvl w:ilvl="0">
      <w:lvlJc w:val="left"/>
      <w:lvlText w:val="%1."/>
      <w:numFmt w:val="decimal"/>
      <w:start w:val="4"/>
    </w:lvl>
  </w:abstractNum>
  <w:abstractNum w:abstractNumId="65">
    <w:nsid w:val="4427069A"/>
    <w:multiLevelType w:val="hybridMultilevel"/>
    <w:lvl w:ilvl="0">
      <w:lvlJc w:val="left"/>
      <w:lvlText w:val="%1."/>
      <w:numFmt w:val="decimal"/>
      <w:start w:val="5"/>
    </w:lvl>
  </w:abstractNum>
  <w:abstractNum w:abstractNumId="66">
    <w:nsid w:val="B37E80A"/>
    <w:multiLevelType w:val="hybridMultilevel"/>
    <w:lvl w:ilvl="0">
      <w:lvlJc w:val="left"/>
      <w:lvlText w:val="%1."/>
      <w:numFmt w:val="decimal"/>
      <w:start w:val="5"/>
    </w:lvl>
  </w:abstractNum>
  <w:abstractNum w:abstractNumId="67">
    <w:nsid w:val="2157F6BC"/>
    <w:multiLevelType w:val="hybridMultilevel"/>
    <w:lvl w:ilvl="0">
      <w:lvlJc w:val="left"/>
      <w:lvlText w:val="%1."/>
      <w:numFmt w:val="decimal"/>
      <w:start w:val="7"/>
    </w:lvl>
  </w:abstractNum>
  <w:abstractNum w:abstractNumId="68">
    <w:nsid w:val="704E1DD5"/>
    <w:multiLevelType w:val="hybridMultilevel"/>
    <w:lvl w:ilvl="0">
      <w:lvlJc w:val="left"/>
      <w:lvlText w:val="%1."/>
      <w:numFmt w:val="decimal"/>
      <w:start w:val="8"/>
    </w:lvl>
  </w:abstractNum>
  <w:abstractNum w:abstractNumId="69">
    <w:nsid w:val="57D2F10E"/>
    <w:multiLevelType w:val="hybridMultilevel"/>
    <w:lvl w:ilvl="0">
      <w:lvlJc w:val="left"/>
      <w:lvlText w:val="%1."/>
      <w:numFmt w:val="decimal"/>
      <w:start w:val="9"/>
    </w:lvl>
  </w:abstractNum>
  <w:abstractNum w:abstractNumId="70">
    <w:nsid w:val="BFFAE18"/>
    <w:multiLevelType w:val="hybridMultilevel"/>
    <w:lvl w:ilvl="0">
      <w:lvlJc w:val="left"/>
      <w:lvlText w:val="%1."/>
      <w:numFmt w:val="decimal"/>
      <w:start w:val="9"/>
    </w:lvl>
  </w:abstractNum>
  <w:abstractNum w:abstractNumId="71">
    <w:nsid w:val="E3E47A8"/>
    <w:multiLevelType w:val="hybridMultilevel"/>
    <w:lvl w:ilvl="0">
      <w:lvlJc w:val="left"/>
      <w:lvlText w:val="%1."/>
      <w:numFmt w:val="decimal"/>
      <w:start w:val="10"/>
    </w:lvl>
  </w:abstractNum>
  <w:abstractNum w:abstractNumId="72">
    <w:nsid w:val="2E48F044"/>
    <w:multiLevelType w:val="hybridMultilevel"/>
    <w:lvl w:ilvl="0">
      <w:lvlJc w:val="left"/>
      <w:lvlText w:val="(%1)"/>
      <w:numFmt w:val="lowerLetter"/>
      <w:start w:val="1"/>
    </w:lvl>
  </w:abstractNum>
  <w:abstractNum w:abstractNumId="73">
    <w:nsid w:val="49D0FEAC"/>
    <w:multiLevelType w:val="hybridMultilevel"/>
    <w:lvl w:ilvl="0">
      <w:lvlJc w:val="left"/>
      <w:lvlText w:val="(%1)"/>
      <w:numFmt w:val="lowerRoman"/>
      <w:start w:val="1"/>
    </w:lvl>
  </w:abstractNum>
  <w:abstractNum w:abstractNumId="74">
    <w:nsid w:val="4BEE5A5B"/>
    <w:multiLevelType w:val="hybridMultilevel"/>
    <w:lvl w:ilvl="0">
      <w:lvlJc w:val="left"/>
      <w:lvlText w:val="%1."/>
      <w:numFmt w:val="decimal"/>
      <w:start w:val="10"/>
    </w:lvl>
    <w:lvl w:ilvl="1">
      <w:lvlJc w:val="left"/>
      <w:lvlText w:val="(%2)"/>
      <w:numFmt w:val="lowerLetter"/>
      <w:start w:val="1"/>
    </w:lvl>
  </w:abstractNum>
  <w:abstractNum w:abstractNumId="75">
    <w:nsid w:val="5551B9F3"/>
    <w:multiLevelType w:val="hybridMultilevel"/>
    <w:lvl w:ilvl="0">
      <w:lvlJc w:val="left"/>
      <w:lvlText w:val="(%1)"/>
      <w:numFmt w:val="lowerRoman"/>
      <w:start w:val="2"/>
    </w:lvl>
  </w:abstractNum>
  <w:abstractNum w:abstractNumId="76">
    <w:nsid w:val="24F6AB8E"/>
    <w:multiLevelType w:val="hybridMultilevel"/>
    <w:lvl w:ilvl="0">
      <w:lvlJc w:val="left"/>
      <w:lvlText w:val="(%1)"/>
      <w:numFmt w:val="lowerLetter"/>
      <w:start w:val="2"/>
    </w:lvl>
  </w:abstractNum>
  <w:abstractNum w:abstractNumId="77">
    <w:nsid w:val="634C574C"/>
    <w:multiLevelType w:val="hybridMultilevel"/>
    <w:lvl w:ilvl="0">
      <w:lvlJc w:val="left"/>
      <w:lvlText w:val="(%1)"/>
      <w:numFmt w:val="lowerLetter"/>
      <w:start w:val="3"/>
    </w:lvl>
  </w:abstractNum>
  <w:abstractNum w:abstractNumId="78">
    <w:nsid w:val="24E99DD7"/>
    <w:multiLevelType w:val="hybridMultilevel"/>
    <w:lvl w:ilvl="0">
      <w:lvlJc w:val="left"/>
      <w:lvlText w:val="%1."/>
      <w:numFmt w:val="decimal"/>
      <w:start w:val="10"/>
    </w:lvl>
  </w:abstractNum>
  <w:abstractNum w:abstractNumId="79">
    <w:nsid w:val="2A31B62D"/>
    <w:multiLevelType w:val="hybridMultilevel"/>
    <w:lvl w:ilvl="0">
      <w:lvlJc w:val="left"/>
      <w:lvlText w:val="(%1)"/>
      <w:numFmt w:val="lowerLetter"/>
      <w:start w:val="3"/>
    </w:lvl>
  </w:abstractNum>
  <w:abstractNum w:abstractNumId="80">
    <w:nsid w:val="1849C29B"/>
    <w:multiLevelType w:val="hybridMultilevel"/>
    <w:lvl w:ilvl="0">
      <w:lvlJc w:val="left"/>
      <w:lvlText w:val="%1."/>
      <w:numFmt w:val="decimal"/>
      <w:start w:val="10"/>
    </w:lvl>
  </w:abstractNum>
  <w:abstractNum w:abstractNumId="81">
    <w:nsid w:val="7DFF9D09"/>
    <w:multiLevelType w:val="hybridMultilevel"/>
    <w:lvl w:ilvl="0">
      <w:lvlJc w:val="left"/>
      <w:lvlText w:val="(%1)"/>
      <w:numFmt w:val="lowerLetter"/>
      <w:start w:val="3"/>
    </w:lvl>
  </w:abstractNum>
  <w:abstractNum w:abstractNumId="82">
    <w:nsid w:val="754342"/>
    <w:multiLevelType w:val="hybridMultilevel"/>
    <w:lvl w:ilvl="0">
      <w:lvlJc w:val="left"/>
      <w:lvlText w:val="(%1)"/>
      <w:numFmt w:val="lowerLetter"/>
      <w:start w:val="4"/>
    </w:lvl>
  </w:abstractNum>
  <w:abstractNum w:abstractNumId="83">
    <w:nsid w:val="69E7F3E5"/>
    <w:multiLevelType w:val="hybridMultilevel"/>
    <w:lvl w:ilvl="0">
      <w:lvlJc w:val="left"/>
      <w:lvlText w:val="%1."/>
      <w:numFmt w:val="decimal"/>
      <w:start w:val="11"/>
    </w:lvl>
  </w:abstractNum>
  <w:abstractNum w:abstractNumId="84">
    <w:nsid w:val="2A6DE806"/>
    <w:multiLevelType w:val="hybridMultilevel"/>
    <w:lvl w:ilvl="0">
      <w:lvlJc w:val="left"/>
      <w:lvlText w:val="(%1)"/>
      <w:numFmt w:val="lowerLetter"/>
      <w:start w:val="1"/>
    </w:lvl>
  </w:abstractNum>
  <w:abstractNum w:abstractNumId="85">
    <w:nsid w:val="1816F8C4"/>
    <w:multiLevelType w:val="hybridMultilevel"/>
    <w:lvl w:ilvl="0">
      <w:lvlJc w:val="left"/>
      <w:lvlText w:val="(%1)"/>
      <w:numFmt w:val="lowerLetter"/>
      <w:start w:val="1"/>
    </w:lvl>
  </w:abstractNum>
  <w:abstractNum w:abstractNumId="86">
    <w:nsid w:val="37DF2233"/>
    <w:multiLevelType w:val="hybridMultilevel"/>
    <w:lvl w:ilvl="0">
      <w:lvlJc w:val="left"/>
      <w:lvlText w:val="(%1)"/>
      <w:numFmt w:val="lowerLetter"/>
      <w:start w:val="3"/>
    </w:lvl>
  </w:abstractNum>
  <w:abstractNum w:abstractNumId="87">
    <w:nsid w:val="7AB49DAF"/>
    <w:multiLevelType w:val="hybridMultilevel"/>
    <w:lvl w:ilvl="0">
      <w:lvlJc w:val="left"/>
      <w:lvlText w:val="%1."/>
      <w:numFmt w:val="decimal"/>
      <w:start w:val="15"/>
    </w:lvl>
  </w:abstractNum>
  <w:abstractNum w:abstractNumId="88">
    <w:nsid w:val="759F82CD"/>
    <w:multiLevelType w:val="hybridMultilevel"/>
    <w:lvl w:ilvl="0">
      <w:lvlJc w:val="left"/>
      <w:lvlText w:val="%1."/>
      <w:numFmt w:val="decimal"/>
      <w:start w:val="15"/>
    </w:lvl>
  </w:abstractNum>
  <w:abstractNum w:abstractNumId="89">
    <w:nsid w:val="61E74EA3"/>
    <w:multiLevelType w:val="hybridMultilevel"/>
    <w:lvl w:ilvl="0">
      <w:lvlJc w:val="left"/>
      <w:lvlText w:val="%1."/>
      <w:numFmt w:val="decimal"/>
      <w:start w:val="1"/>
    </w:lvl>
  </w:abstractNum>
  <w:abstractNum w:abstractNumId="90">
    <w:nsid w:val="597B4D84"/>
    <w:multiLevelType w:val="hybridMultilevel"/>
    <w:lvl w:ilvl="0">
      <w:lvlJc w:val="left"/>
      <w:lvlText w:val="%1."/>
      <w:numFmt w:val="decimal"/>
      <w:start w:val="2"/>
    </w:lvl>
    <w:lvl w:ilvl="1">
      <w:lvlJc w:val="left"/>
      <w:lvlText w:val="(%2)"/>
      <w:numFmt w:val="lowerLetter"/>
      <w:start w:val="1"/>
    </w:lvl>
  </w:abstractNum>
  <w:abstractNum w:abstractNumId="91">
    <w:nsid w:val="F819E7F"/>
    <w:multiLevelType w:val="hybridMultilevel"/>
    <w:lvl w:ilvl="0">
      <w:lvlJc w:val="left"/>
      <w:lvlText w:val="%1."/>
      <w:numFmt w:val="decimal"/>
      <w:start w:val="2"/>
    </w:lvl>
    <w:lvl w:ilvl="1">
      <w:lvlJc w:val="left"/>
      <w:lvlText w:val="(%2)"/>
      <w:numFmt w:val="lowerLetter"/>
      <w:start w:val="4"/>
    </w:lvl>
  </w:abstractNum>
  <w:abstractNum w:abstractNumId="92">
    <w:nsid w:val="57C7D42D"/>
    <w:multiLevelType w:val="hybridMultilevel"/>
    <w:lvl w:ilvl="0">
      <w:lvlJc w:val="left"/>
      <w:lvlText w:val="%1."/>
      <w:numFmt w:val="decimal"/>
      <w:start w:val="2"/>
    </w:lvl>
    <w:lvl w:ilvl="1">
      <w:lvlJc w:val="left"/>
      <w:lvlText w:val="(%2)"/>
      <w:numFmt w:val="lowerLetter"/>
      <w:start w:val="4"/>
    </w:lvl>
  </w:abstractNum>
  <w:abstractNum w:abstractNumId="93">
    <w:nsid w:val="312167AD"/>
    <w:multiLevelType w:val="hybridMultilevel"/>
    <w:lvl w:ilvl="0">
      <w:lvlJc w:val="left"/>
      <w:lvlText w:val="(%1)"/>
      <w:numFmt w:val="lowerLetter"/>
      <w:start w:val="5"/>
    </w:lvl>
  </w:abstractNum>
  <w:abstractNum w:abstractNumId="94">
    <w:nsid w:val="631B64D4"/>
    <w:multiLevelType w:val="hybridMultilevel"/>
    <w:lvl w:ilvl="0">
      <w:lvlJc w:val="left"/>
      <w:lvlText w:val="%1."/>
      <w:numFmt w:val="decimal"/>
      <w:start w:val="2"/>
    </w:lvl>
    <w:lvl w:ilvl="1">
      <w:lvlJc w:val="left"/>
      <w:lvlText w:val="(%2)"/>
      <w:numFmt w:val="lowerLetter"/>
      <w:start w:val="5"/>
    </w:lvl>
  </w:abstractNum>
  <w:abstractNum w:abstractNumId="95">
    <w:nsid w:val="78B5E776"/>
    <w:multiLevelType w:val="hybridMultilevel"/>
    <w:lvl w:ilvl="0">
      <w:lvlJc w:val="left"/>
      <w:lvlText w:val="%1."/>
      <w:numFmt w:val="decimal"/>
      <w:start w:val="2"/>
    </w:lvl>
    <w:lvl w:ilvl="1">
      <w:lvlJc w:val="left"/>
      <w:lvlText w:val="(%2)"/>
      <w:numFmt w:val="lowerLetter"/>
      <w:start w:val="10"/>
    </w:lvl>
  </w:abstractNum>
  <w:abstractNum w:abstractNumId="96">
    <w:nsid w:val="75486E47"/>
    <w:multiLevelType w:val="hybridMultilevel"/>
    <w:lvl w:ilvl="0">
      <w:lvlJc w:val="left"/>
      <w:lvlText w:val="(%1)"/>
      <w:numFmt w:val="lowerLetter"/>
      <w:start w:val="11"/>
    </w:lvl>
  </w:abstractNum>
  <w:abstractNum w:abstractNumId="97">
    <w:nsid w:val="6E534CDE"/>
    <w:multiLevelType w:val="hybridMultilevel"/>
    <w:lvl w:ilvl="0">
      <w:lvlJc w:val="left"/>
      <w:lvlText w:val="%1."/>
      <w:numFmt w:val="decimal"/>
      <w:start w:val="2"/>
    </w:lvl>
    <w:lvl w:ilvl="1">
      <w:lvlJc w:val="left"/>
      <w:lvlText w:val="(%2)"/>
      <w:numFmt w:val="lowerLetter"/>
      <w:start w:val="12"/>
    </w:lvl>
  </w:abstractNum>
  <w:abstractNum w:abstractNumId="98">
    <w:nsid w:val="1A0DDE32"/>
    <w:multiLevelType w:val="hybridMultilevel"/>
    <w:lvl w:ilvl="0">
      <w:lvlJc w:val="left"/>
      <w:lvlText w:val="(%1)"/>
      <w:numFmt w:val="lowerLetter"/>
      <w:start w:val="13"/>
    </w:lvl>
  </w:abstractNum>
  <w:abstractNum w:abstractNumId="99">
    <w:nsid w:val="65968C1C"/>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100">
    <w:nsid w:val="46263DEC"/>
    <w:multiLevelType w:val="hybridMultilevel"/>
    <w:lvl w:ilvl="0">
      <w:lvlJc w:val="left"/>
      <w:lvlText w:val="(%1)"/>
      <w:numFmt w:val="lowerLetter"/>
      <w:start w:val="16"/>
    </w:lvl>
  </w:abstractNum>
  <w:abstractNum w:abstractNumId="101">
    <w:nsid w:val="260D8C4A"/>
    <w:multiLevelType w:val="hybridMultilevel"/>
    <w:lvl w:ilvl="0">
      <w:lvlJc w:val="left"/>
      <w:lvlText w:val="%1."/>
      <w:numFmt w:val="decimal"/>
      <w:start w:val="2"/>
    </w:lvl>
    <w:lvl w:ilvl="1">
      <w:lvlJc w:val="left"/>
      <w:lvlText w:val="(%2)"/>
      <w:numFmt w:val="lowerLetter"/>
      <w:start w:val="17"/>
    </w:lvl>
  </w:abstractNum>
  <w:abstractNum w:abstractNumId="102">
    <w:nsid w:val="73D4D3C4"/>
    <w:multiLevelType w:val="hybridMultilevel"/>
    <w:lvl w:ilvl="0">
      <w:lvlJc w:val="left"/>
      <w:lvlText w:val="(%1)"/>
      <w:numFmt w:val="lowerLetter"/>
      <w:start w:val="18"/>
    </w:lvl>
  </w:abstractNum>
  <w:abstractNum w:abstractNumId="103">
    <w:nsid w:val="746F2E30"/>
    <w:multiLevelType w:val="hybridMultilevel"/>
    <w:lvl w:ilvl="0">
      <w:lvlJc w:val="left"/>
      <w:lvlText w:val="%1."/>
      <w:numFmt w:val="decimal"/>
      <w:start w:val="2"/>
    </w:lvl>
    <w:lvl w:ilvl="1">
      <w:lvlJc w:val="left"/>
      <w:lvlText w:val="(%2)"/>
      <w:numFmt w:val="lowerLetter"/>
      <w:start w:val="20"/>
    </w:lvl>
  </w:abstractNum>
  <w:abstractNum w:abstractNumId="104">
    <w:nsid w:val="6FDE8AF6"/>
    <w:multiLevelType w:val="hybridMultilevel"/>
    <w:lvl w:ilvl="0">
      <w:lvlJc w:val="left"/>
      <w:lvlText w:val="%1."/>
      <w:numFmt w:val="decimal"/>
      <w:start w:val="2"/>
    </w:lvl>
    <w:lvl w:ilvl="1">
      <w:lvlJc w:val="left"/>
      <w:lvlText w:val="(%2)"/>
      <w:numFmt w:val="lowerLetter"/>
      <w:start w:val="23"/>
    </w:lvl>
    <w:lvl w:ilvl="2">
      <w:lvlJc w:val="left"/>
      <w:lvlText w:val="(%3)"/>
      <w:numFmt w:val="lowerRoman"/>
      <w:start w:val="1"/>
    </w:lvl>
  </w:abstractNum>
  <w:abstractNum w:abstractNumId="105">
    <w:nsid w:val="3FC32E20"/>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4"/>
    </w:lvl>
  </w:abstractNum>
  <w:abstractNum w:abstractNumId="106">
    <w:nsid w:val="49C0E823"/>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9"/>
    </w:lvl>
  </w:abstractNum>
  <w:abstractNum w:abstractNumId="107">
    <w:nsid w:val="14D53685"/>
    <w:multiLevelType w:val="hybridMultilevel"/>
    <w:lvl w:ilvl="0">
      <w:lvlJc w:val="left"/>
      <w:lvlText w:val="(%1)"/>
      <w:numFmt w:val="lowerLetter"/>
      <w:start w:val="25"/>
    </w:lvl>
    <w:lvl w:ilvl="1">
      <w:lvlJc w:val="left"/>
      <w:lvlText w:val="(%2)"/>
      <w:numFmt w:val="lowerRoman"/>
      <w:start w:val="1"/>
    </w:lvl>
  </w:abstractNum>
  <w:abstractNum w:abstractNumId="108">
    <w:nsid w:val="230F856C"/>
    <w:multiLevelType w:val="hybridMultilevel"/>
    <w:lvl w:ilvl="0">
      <w:lvlJc w:val="left"/>
      <w:lvlText w:val="%1."/>
      <w:numFmt w:val="decimal"/>
      <w:start w:val="2"/>
    </w:lvl>
  </w:abstractNum>
  <w:abstractNum w:abstractNumId="109">
    <w:nsid w:val="6EAA85FB"/>
    <w:multiLevelType w:val="hybridMultilevel"/>
    <w:lvl w:ilvl="0">
      <w:lvlJc w:val="left"/>
      <w:lvlText w:val="(%1)"/>
      <w:numFmt w:val="lowerLetter"/>
      <w:start w:val="25"/>
    </w:lvl>
  </w:abstractNum>
  <w:abstractNum w:abstractNumId="110">
    <w:nsid w:val="3F06ECB2"/>
    <w:multiLevelType w:val="hybridMultilevel"/>
    <w:lvl w:ilvl="0">
      <w:lvlJc w:val="left"/>
      <w:lvlText w:val="(%1)"/>
      <w:numFmt w:val="lowerRoman"/>
      <w:start w:val="4"/>
    </w:lvl>
  </w:abstractNum>
  <w:abstractNum w:abstractNumId="111">
    <w:nsid w:val="3B594807"/>
    <w:multiLevelType w:val="hybridMultilevel"/>
    <w:lvl w:ilvl="0">
      <w:lvlJc w:val="left"/>
      <w:lvlText w:val="%1."/>
      <w:numFmt w:val="decimal"/>
      <w:start w:val="3"/>
    </w:lvl>
  </w:abstractNum>
  <w:abstractNum w:abstractNumId="112">
    <w:nsid w:val="6CAA2304"/>
    <w:multiLevelType w:val="hybridMultilevel"/>
    <w:lvl w:ilvl="0">
      <w:lvlJc w:val="left"/>
      <w:lvlText w:val="%1."/>
      <w:numFmt w:val="decimal"/>
      <w:start w:val="3"/>
    </w:lvl>
  </w:abstractNum>
  <w:abstractNum w:abstractNumId="113">
    <w:nsid w:val="3F7C2FF4"/>
    <w:multiLevelType w:val="hybridMultilevel"/>
    <w:lvl w:ilvl="0">
      <w:lvlJc w:val="left"/>
      <w:lvlText w:val="%1."/>
      <w:numFmt w:val="decimal"/>
      <w:start w:val="4"/>
    </w:lvl>
  </w:abstractNum>
  <w:abstractNum w:abstractNumId="114">
    <w:nsid w:val="25413BEC"/>
    <w:multiLevelType w:val="hybridMultilevel"/>
    <w:lvl w:ilvl="0">
      <w:lvlJc w:val="left"/>
      <w:lvlText w:val="%1."/>
      <w:numFmt w:val="decimal"/>
      <w:start w:val="5"/>
    </w:lvl>
  </w:abstractNum>
  <w:abstractNum w:abstractNumId="115">
    <w:nsid w:val="17180B0B"/>
    <w:multiLevelType w:val="hybridMultilevel"/>
    <w:lvl w:ilvl="0">
      <w:lvlJc w:val="left"/>
      <w:lvlText w:val="%1."/>
      <w:numFmt w:val="decimal"/>
      <w:start w:val="5"/>
    </w:lvl>
  </w:abstractNum>
  <w:abstractNum w:abstractNumId="116">
    <w:nsid w:val="579328B9"/>
    <w:multiLevelType w:val="hybridMultilevel"/>
    <w:lvl w:ilvl="0">
      <w:lvlJc w:val="left"/>
      <w:lvlText w:val="%1."/>
      <w:numFmt w:val="decimal"/>
      <w:start w:val="6"/>
    </w:lvl>
  </w:abstractNum>
  <w:abstractNum w:abstractNumId="117">
    <w:nsid w:val="5D205E20"/>
    <w:multiLevelType w:val="hybridMultilevel"/>
    <w:lvl w:ilvl="0">
      <w:lvlJc w:val="left"/>
      <w:lvlText w:val="%1."/>
      <w:numFmt w:val="decimal"/>
      <w:start w:val="6"/>
    </w:lvl>
  </w:abstractNum>
  <w:abstractNum w:abstractNumId="118">
    <w:nsid w:val="11CCA8BA"/>
    <w:multiLevelType w:val="hybridMultilevel"/>
    <w:lvl w:ilvl="0">
      <w:lvlJc w:val="left"/>
      <w:lvlText w:val="%1."/>
      <w:numFmt w:val="decimal"/>
      <w:start w:val="7"/>
    </w:lvl>
  </w:abstractNum>
  <w:abstractNum w:abstractNumId="119">
    <w:nsid w:val="4D32AB86"/>
    <w:multiLevelType w:val="hybridMultilevel"/>
    <w:lvl w:ilvl="0">
      <w:lvlJc w:val="left"/>
      <w:lvlText w:val="%1."/>
      <w:numFmt w:val="decimal"/>
      <w:start w:val="7"/>
    </w:lvl>
  </w:abstractNum>
  <w:abstractNum w:abstractNumId="120">
    <w:nsid w:val="3F07ACC3"/>
    <w:multiLevelType w:val="hybridMultilevel"/>
    <w:lvl w:ilvl="0">
      <w:lvlJc w:val="left"/>
      <w:lvlText w:val="%1."/>
      <w:numFmt w:val="decimal"/>
      <w:start w:val="7"/>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1"/>
    </w:lvl>
  </w:abstractNum>
  <w:abstractNum w:abstractNumId="123">
    <w:nsid w:val="16CF80F1"/>
    <w:multiLevelType w:val="hybridMultilevel"/>
    <w:lvl w:ilvl="0">
      <w:lvlJc w:val="left"/>
      <w:lvlText w:val="%1."/>
      <w:numFmt w:val="decimal"/>
      <w:start w:val="7"/>
    </w:lvl>
  </w:abstractNum>
  <w:abstractNum w:abstractNumId="124">
    <w:nsid w:val="1C695DEC"/>
    <w:multiLevelType w:val="hybridMultilevel"/>
    <w:lvl w:ilvl="0">
      <w:lvlJc w:val="left"/>
      <w:lvlText w:val="(%1)"/>
      <w:numFmt w:val="lowerLetter"/>
      <w:start w:val="2"/>
    </w:lvl>
  </w:abstractNum>
  <w:abstractNum w:abstractNumId="125">
    <w:nsid w:val="3FCFAED9"/>
    <w:multiLevelType w:val="hybridMultilevel"/>
    <w:lvl w:ilvl="0">
      <w:lvlJc w:val="left"/>
      <w:lvlText w:val="(%1)"/>
      <w:numFmt w:val="lowerLetter"/>
      <w:start w:val="1"/>
    </w:lvl>
  </w:abstractNum>
  <w:abstractNum w:abstractNumId="126">
    <w:nsid w:val="F856867"/>
    <w:multiLevelType w:val="hybridMultilevel"/>
    <w:lvl w:ilvl="0">
      <w:lvlJc w:val="left"/>
      <w:lvlText w:val="(%1)"/>
      <w:numFmt w:val="lowerLetter"/>
      <w:start w:val="1"/>
    </w:lvl>
  </w:abstractNum>
  <w:abstractNum w:abstractNumId="127">
    <w:nsid w:val="11B1CC33"/>
    <w:multiLevelType w:val="hybridMultilevel"/>
    <w:lvl w:ilvl="0">
      <w:lvlJc w:val="left"/>
      <w:lvlText w:val="(%1)"/>
      <w:numFmt w:val="lowerLetter"/>
      <w:start w:val="2"/>
    </w:lvl>
  </w:abstractNum>
  <w:abstractNum w:abstractNumId="128">
    <w:nsid w:val="2E22FBB7"/>
    <w:multiLevelType w:val="hybridMultilevel"/>
    <w:lvl w:ilvl="0">
      <w:lvlJc w:val="left"/>
      <w:lvlText w:val="%1."/>
      <w:numFmt w:val="decimal"/>
      <w:start w:val="7"/>
    </w:lvl>
  </w:abstractNum>
  <w:abstractNum w:abstractNumId="129">
    <w:nsid w:val="29934699"/>
    <w:multiLevelType w:val="hybridMultilevel"/>
    <w:lvl w:ilvl="0">
      <w:lvlJc w:val="left"/>
      <w:lvlText w:val="(%1)"/>
      <w:numFmt w:val="lowerLetter"/>
      <w:start w:val="3"/>
    </w:lvl>
  </w:abstractNum>
  <w:abstractNum w:abstractNumId="130">
    <w:nsid w:val="77485850"/>
    <w:multiLevelType w:val="hybridMultilevel"/>
    <w:lvl w:ilvl="0">
      <w:lvlJc w:val="left"/>
      <w:lvlText w:val="(%1)"/>
      <w:numFmt w:val="lowerLetter"/>
      <w:start w:val="4"/>
    </w:lvl>
  </w:abstractNum>
  <w:abstractNum w:abstractNumId="131">
    <w:nsid w:val="744939A3"/>
    <w:multiLevelType w:val="hybridMultilevel"/>
    <w:lvl w:ilvl="0">
      <w:lvlJc w:val="left"/>
      <w:lvlText w:val="(%1)"/>
      <w:numFmt w:val="lowerLetter"/>
      <w:start w:val="5"/>
    </w:lvl>
  </w:abstractNum>
  <w:abstractNum w:abstractNumId="132">
    <w:nsid w:val="4FA0D2E3"/>
    <w:multiLevelType w:val="hybridMultilevel"/>
    <w:lvl w:ilvl="0">
      <w:lvlJc w:val="left"/>
      <w:lvlText w:val="%1."/>
      <w:numFmt w:val="decimal"/>
      <w:start w:val="8"/>
    </w:lvl>
  </w:abstractNum>
  <w:abstractNum w:abstractNumId="133">
    <w:nsid w:val="6B1D2C14"/>
    <w:multiLevelType w:val="hybridMultilevel"/>
    <w:lvl w:ilvl="0">
      <w:lvlJc w:val="left"/>
      <w:lvlText w:val="%1."/>
      <w:numFmt w:val="decimal"/>
      <w:start w:val="8"/>
    </w:lvl>
  </w:abstractNum>
  <w:abstractNum w:abstractNumId="134">
    <w:nsid w:val="68B867D3"/>
    <w:multiLevelType w:val="hybridMultilevel"/>
    <w:lvl w:ilvl="0">
      <w:lvlJc w:val="left"/>
      <w:lvlText w:val="%1."/>
      <w:numFmt w:val="decimal"/>
      <w:start w:val="8"/>
    </w:lvl>
  </w:abstractNum>
  <w:abstractNum w:abstractNumId="135">
    <w:nsid w:val="3F7F5DD9"/>
    <w:multiLevelType w:val="hybridMultilevel"/>
    <w:lvl w:ilvl="0">
      <w:lvlJc w:val="left"/>
      <w:lvlText w:val="%1."/>
      <w:numFmt w:val="decimal"/>
      <w:start w:val="9"/>
    </w:lvl>
  </w:abstractNum>
  <w:abstractNum w:abstractNumId="136">
    <w:nsid w:val="2AE05A34"/>
    <w:multiLevelType w:val="hybridMultilevel"/>
    <w:lvl w:ilvl="0">
      <w:lvlJc w:val="left"/>
      <w:lvlText w:val="%1."/>
      <w:numFmt w:val="decimal"/>
      <w:start w:val="9"/>
    </w:lvl>
  </w:abstractNum>
  <w:abstractNum w:abstractNumId="137">
    <w:nsid w:val="32794FF7"/>
    <w:multiLevelType w:val="hybridMultilevel"/>
    <w:lvl w:ilvl="0">
      <w:lvlJc w:val="left"/>
      <w:lvlText w:val="%1."/>
      <w:numFmt w:val="decimal"/>
      <w:start w:val="9"/>
    </w:lvl>
  </w:abstractNum>
  <w:abstractNum w:abstractNumId="138">
    <w:nsid w:val="5454945E"/>
    <w:multiLevelType w:val="hybridMultilevel"/>
    <w:lvl w:ilvl="0">
      <w:lvlJc w:val="left"/>
      <w:lvlText w:val="%1."/>
      <w:numFmt w:val="decimal"/>
      <w:start w:val="10"/>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lowerLetter"/>
      <w:start w:val="2"/>
    </w:lvl>
  </w:abstractNum>
  <w:abstractNum w:abstractNumId="141">
    <w:nsid w:val="135B8110"/>
    <w:multiLevelType w:val="hybridMultilevel"/>
    <w:lvl w:ilvl="0">
      <w:lvlJc w:val="left"/>
      <w:lvlText w:val="%1."/>
      <w:numFmt w:val="decimal"/>
      <w:start w:val="10"/>
    </w:lvl>
  </w:abstractNum>
  <w:abstractNum w:abstractNumId="142">
    <w:nsid w:val="94927A8"/>
    <w:multiLevelType w:val="hybridMultilevel"/>
    <w:lvl w:ilvl="0">
      <w:lvlJc w:val="left"/>
      <w:lvlText w:val="(%1)"/>
      <w:numFmt w:val="lowerLetter"/>
      <w:start w:val="3"/>
    </w:lvl>
  </w:abstractNum>
  <w:abstractNum w:abstractNumId="143">
    <w:nsid w:val="DCDF8F6"/>
    <w:multiLevelType w:val="hybridMultilevel"/>
    <w:lvl w:ilvl="0">
      <w:lvlJc w:val="left"/>
      <w:lvlText w:val="%1."/>
      <w:numFmt w:val="decimal"/>
      <w:start w:val="10"/>
    </w:lvl>
  </w:abstractNum>
  <w:abstractNum w:abstractNumId="144">
    <w:nsid w:val="52D7B105"/>
    <w:multiLevelType w:val="hybridMultilevel"/>
    <w:lvl w:ilvl="0">
      <w:lvlJc w:val="left"/>
      <w:lvlText w:val="(%1)"/>
      <w:numFmt w:val="lowerLetter"/>
      <w:start w:val="5"/>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decimal"/>
      <w:start w:val="11"/>
    </w:lvl>
  </w:abstractNum>
  <w:abstractNum w:abstractNumId="147">
    <w:nsid w:val="2A6AD9BE"/>
    <w:multiLevelType w:val="hybridMultilevel"/>
    <w:lvl w:ilvl="0">
      <w:lvlJc w:val="left"/>
      <w:lvlText w:val="%1."/>
      <w:numFmt w:val="decimal"/>
      <w:start w:val="11"/>
    </w:lvl>
  </w:abstractNum>
  <w:abstractNum w:abstractNumId="148">
    <w:nsid w:val="BAAC1B4"/>
    <w:multiLevelType w:val="hybridMultilevel"/>
    <w:lvl w:ilvl="0">
      <w:lvlJc w:val="left"/>
      <w:lvlText w:val="%1."/>
      <w:numFmt w:val="decimal"/>
      <w:start w:val="11"/>
    </w:lvl>
  </w:abstractNum>
  <w:abstractNum w:abstractNumId="149">
    <w:nsid w:val="36B2ACBC"/>
    <w:multiLevelType w:val="hybridMultilevel"/>
    <w:lvl w:ilvl="0">
      <w:lvlJc w:val="left"/>
      <w:lvlText w:val="%1."/>
      <w:numFmt w:val="decimal"/>
      <w:start w:val="11"/>
    </w:lvl>
  </w:abstractNum>
  <w:abstractNum w:abstractNumId="150">
    <w:nsid w:val="779D8544"/>
    <w:multiLevelType w:val="hybridMultilevel"/>
    <w:lvl w:ilvl="0">
      <w:lvlJc w:val="left"/>
      <w:lvlText w:val="%1."/>
      <w:numFmt w:val="decimal"/>
      <w:start w:val="12"/>
    </w:lvl>
  </w:abstractNum>
  <w:abstractNum w:abstractNumId="151">
    <w:nsid w:val="4AB26E78"/>
    <w:multiLevelType w:val="hybridMultilevel"/>
    <w:lvl w:ilvl="0">
      <w:lvlJc w:val="left"/>
      <w:lvlText w:val="%1."/>
      <w:numFmt w:val="decimal"/>
      <w:start w:val="12"/>
    </w:lvl>
  </w:abstractNum>
  <w:abstractNum w:abstractNumId="152">
    <w:nsid w:val="21FAA2FA"/>
    <w:multiLevelType w:val="hybridMultilevel"/>
    <w:lvl w:ilvl="0">
      <w:lvlJc w:val="left"/>
      <w:lvlText w:val="%1."/>
      <w:numFmt w:val="decimal"/>
      <w:start w:val="14"/>
    </w:lvl>
  </w:abstractNum>
  <w:abstractNum w:abstractNumId="153">
    <w:nsid w:val="5451CF49"/>
    <w:multiLevelType w:val="hybridMultilevel"/>
    <w:lvl w:ilvl="0">
      <w:lvlJc w:val="left"/>
      <w:lvlText w:val="(%1)"/>
      <w:numFmt w:val="lowerLetter"/>
      <w:start w:val="1"/>
    </w:lvl>
  </w:abstractNum>
  <w:abstractNum w:abstractNumId="154">
    <w:nsid w:val="6181EF69"/>
    <w:multiLevelType w:val="hybridMultilevel"/>
    <w:lvl w:ilvl="0">
      <w:lvlJc w:val="left"/>
      <w:lvlText w:val="(%1)"/>
      <w:numFmt w:val="lowerRoman"/>
      <w:start w:val="1"/>
    </w:lvl>
  </w:abstractNum>
  <w:abstractNum w:abstractNumId="155">
    <w:nsid w:val="3E6400E6"/>
    <w:multiLevelType w:val="hybridMultilevel"/>
    <w:lvl w:ilvl="0">
      <w:lvlJc w:val="left"/>
      <w:lvlText w:val="(%1)"/>
      <w:numFmt w:val="lowerRoman"/>
      <w:start w:val="2"/>
    </w:lvl>
  </w:abstractNum>
  <w:abstractNum w:abstractNumId="156">
    <w:nsid w:val="14217E23"/>
    <w:multiLevelType w:val="hybridMultilevel"/>
    <w:lvl w:ilvl="0">
      <w:lvlJc w:val="left"/>
      <w:lvlText w:val="(%1)"/>
      <w:numFmt w:val="lowerRoman"/>
      <w:start w:val="3"/>
    </w:lvl>
  </w:abstractNum>
  <w:abstractNum w:abstractNumId="157">
    <w:nsid w:val="710757D0"/>
    <w:multiLevelType w:val="hybridMultilevel"/>
    <w:lvl w:ilvl="0">
      <w:lvlJc w:val="left"/>
      <w:lvlText w:val="(%1)"/>
      <w:numFmt w:val="lowerLetter"/>
      <w:start w:val="2"/>
    </w:lvl>
  </w:abstractNum>
  <w:abstractNum w:abstractNumId="158">
    <w:nsid w:val="5015CD1A"/>
    <w:multiLevelType w:val="hybridMultilevel"/>
    <w:lvl w:ilvl="0">
      <w:lvlJc w:val="left"/>
      <w:lvlText w:val="%1."/>
      <w:numFmt w:val="decimal"/>
      <w:start w:val="14"/>
    </w:lvl>
  </w:abstractNum>
  <w:abstractNum w:abstractNumId="159">
    <w:nsid w:val="424479DA"/>
    <w:multiLevelType w:val="hybridMultilevel"/>
    <w:lvl w:ilvl="0">
      <w:lvlJc w:val="left"/>
      <w:lvlText w:val="(%1)"/>
      <w:numFmt w:val="lowerLetter"/>
      <w:start w:val="3"/>
    </w:lvl>
  </w:abstractNum>
  <w:abstractNum w:abstractNumId="160">
    <w:nsid w:val="1A9A9E69"/>
    <w:multiLevelType w:val="hybridMultilevel"/>
    <w:lvl w:ilvl="0">
      <w:lvlJc w:val="left"/>
      <w:lvlText w:val="(%1)"/>
      <w:numFmt w:val="lowerLetter"/>
      <w:start w:val="4"/>
    </w:lvl>
  </w:abstractNum>
  <w:abstractNum w:abstractNumId="161">
    <w:nsid w:val="475E256A"/>
    <w:multiLevelType w:val="hybridMultilevel"/>
    <w:lvl w:ilvl="0">
      <w:lvlJc w:val="left"/>
      <w:lvlText w:val="%1."/>
      <w:numFmt w:val="decimal"/>
      <w:start w:val="14"/>
    </w:lvl>
  </w:abstractNum>
  <w:abstractNum w:abstractNumId="162">
    <w:nsid w:val="368DB37E"/>
    <w:multiLevelType w:val="hybridMultilevel"/>
    <w:lvl w:ilvl="0">
      <w:lvlJc w:val="left"/>
      <w:lvlText w:val="(%1)"/>
      <w:numFmt w:val="lowerLetter"/>
      <w:start w:val="5"/>
    </w:lvl>
  </w:abstractNum>
  <w:abstractNum w:abstractNumId="163">
    <w:nsid w:val="6A3B714C"/>
    <w:multiLevelType w:val="hybridMultilevel"/>
    <w:lvl w:ilvl="0">
      <w:lvlJc w:val="left"/>
      <w:lvlText w:val="(%1)"/>
      <w:numFmt w:val="lowerLetter"/>
      <w:start w:val="6"/>
    </w:lvl>
  </w:abstractNum>
  <w:abstractNum w:abstractNumId="164">
    <w:nsid w:val="327B517E"/>
    <w:multiLevelType w:val="hybridMultilevel"/>
    <w:lvl w:ilvl="0">
      <w:lvlJc w:val="left"/>
      <w:lvlText w:val="(%1)"/>
      <w:numFmt w:val="lowerRoman"/>
      <w:start w:val="1"/>
    </w:lvl>
  </w:abstractNum>
  <w:abstractNum w:abstractNumId="165">
    <w:nsid w:val="1F461B51"/>
    <w:multiLevelType w:val="hybridMultilevel"/>
    <w:lvl w:ilvl="0">
      <w:lvlJc w:val="left"/>
      <w:lvlText w:val="(%1)"/>
      <w:numFmt w:val="lowerRoman"/>
      <w:start w:val="2"/>
    </w:lvl>
  </w:abstractNum>
  <w:abstractNum w:abstractNumId="166">
    <w:nsid w:val="29BACF25"/>
    <w:multiLevelType w:val="hybridMultilevel"/>
    <w:lvl w:ilvl="0">
      <w:lvlJc w:val="left"/>
      <w:lvlText w:val="%1."/>
      <w:numFmt w:val="decimal"/>
      <w:start w:val="14"/>
    </w:lvl>
  </w:abstractNum>
  <w:abstractNum w:abstractNumId="167">
    <w:nsid w:val="5D5BABB3"/>
    <w:multiLevelType w:val="hybridMultilevel"/>
    <w:lvl w:ilvl="0">
      <w:lvlJc w:val="left"/>
      <w:lvlText w:val="(%1)"/>
      <w:numFmt w:val="lowerLetter"/>
      <w:start w:val="6"/>
    </w:lvl>
    <w:lvl w:ilvl="1">
      <w:lvlJc w:val="left"/>
      <w:lvlText w:val="(%2)"/>
      <w:numFmt w:val="lowerLetter"/>
      <w:start w:val="35"/>
    </w:lvl>
  </w:abstractNum>
  <w:abstractNum w:abstractNumId="168">
    <w:nsid w:val="51BF6B48"/>
    <w:multiLevelType w:val="hybridMultilevel"/>
    <w:lvl w:ilvl="0">
      <w:lvlJc w:val="left"/>
      <w:lvlText w:val="(%1)"/>
      <w:numFmt w:val="lowerRoman"/>
      <w:start w:val="5"/>
    </w:lvl>
  </w:abstractNum>
  <w:abstractNum w:abstractNumId="169">
    <w:nsid w:val="7E0F6384"/>
    <w:multiLevelType w:val="hybridMultilevel"/>
    <w:lvl w:ilvl="0">
      <w:lvlJc w:val="left"/>
      <w:lvlText w:val="%1."/>
      <w:numFmt w:val="decimal"/>
      <w:start w:val="14"/>
    </w:lvl>
    <w:lvl w:ilvl="1">
      <w:lvlJc w:val="left"/>
      <w:lvlText w:val="(%2)"/>
      <w:numFmt w:val="lowerLetter"/>
      <w:start w:val="6"/>
    </w:lvl>
  </w:abstractNum>
  <w:abstractNum w:abstractNumId="170">
    <w:nsid w:val="2B4B8B53"/>
    <w:multiLevelType w:val="hybridMultilevel"/>
    <w:lvl w:ilvl="0">
      <w:lvlJc w:val="left"/>
      <w:lvlText w:val="(%1)"/>
      <w:numFmt w:val="lowerLetter"/>
      <w:start w:val="7"/>
    </w:lvl>
  </w:abstractNum>
  <w:abstractNum w:abstractNumId="171">
    <w:nsid w:val="72E3413A"/>
    <w:multiLevelType w:val="hybridMultilevel"/>
    <w:lvl w:ilvl="0">
      <w:lvlJc w:val="left"/>
      <w:lvlText w:val="%1."/>
      <w:numFmt w:val="decimal"/>
      <w:start w:val="14"/>
    </w:lvl>
  </w:abstractNum>
  <w:abstractNum w:abstractNumId="172">
    <w:nsid w:val="116AE494"/>
    <w:multiLevelType w:val="hybridMultilevel"/>
    <w:lvl w:ilvl="0">
      <w:lvlJc w:val="left"/>
      <w:lvlText w:val="(%1)"/>
      <w:numFmt w:val="lowerLetter"/>
      <w:start w:val="7"/>
    </w:lvl>
  </w:abstractNum>
  <w:abstractNum w:abstractNumId="173">
    <w:nsid w:val="3494B2FB"/>
    <w:multiLevelType w:val="hybridMultilevel"/>
    <w:lvl w:ilvl="0">
      <w:lvlJc w:val="left"/>
      <w:lvlText w:val="(%1)"/>
      <w:numFmt w:val="lowerLetter"/>
      <w:start w:val="8"/>
    </w:lvl>
  </w:abstractNum>
  <w:abstractNum w:abstractNumId="174">
    <w:nsid w:val="B13A31"/>
    <w:multiLevelType w:val="hybridMultilevel"/>
    <w:lvl w:ilvl="0">
      <w:lvlJc w:val="left"/>
      <w:lvlText w:val="%1."/>
      <w:numFmt w:val="decimal"/>
      <w:start w:val="14"/>
    </w:lvl>
  </w:abstractNum>
  <w:abstractNum w:abstractNumId="175">
    <w:nsid w:val="64429599"/>
    <w:multiLevelType w:val="hybridMultilevel"/>
    <w:lvl w:ilvl="0">
      <w:lvlJc w:val="left"/>
      <w:lvlText w:val="(%1)"/>
      <w:numFmt w:val="lowerLetter"/>
      <w:start w:val="8"/>
    </w:lvl>
  </w:abstractNum>
  <w:abstractNum w:abstractNumId="176">
    <w:nsid w:val="631F1690"/>
    <w:multiLevelType w:val="hybridMultilevel"/>
    <w:lvl w:ilvl="0">
      <w:lvlJc w:val="left"/>
      <w:lvlText w:val="(%1)"/>
      <w:numFmt w:val="lowerRoman"/>
      <w:start w:val="1"/>
    </w:lvl>
  </w:abstractNum>
  <w:abstractNum w:abstractNumId="177">
    <w:nsid w:val="25973E32"/>
    <w:multiLevelType w:val="hybridMultilevel"/>
    <w:lvl w:ilvl="0">
      <w:lvlJc w:val="left"/>
      <w:lvlText w:val="%1."/>
      <w:numFmt w:val="decimal"/>
      <w:start w:val="15"/>
    </w:lvl>
  </w:abstractNum>
  <w:abstractNum w:abstractNumId="178">
    <w:nsid w:val="EAD6F57"/>
    <w:multiLevelType w:val="hybridMultilevel"/>
    <w:lvl w:ilvl="0">
      <w:lvlJc w:val="left"/>
      <w:lvlText w:val="%1."/>
      <w:numFmt w:val="decimal"/>
      <w:start w:val="15"/>
    </w:lvl>
  </w:abstractNum>
  <w:abstractNum w:abstractNumId="179">
    <w:nsid w:val="6EC9D844"/>
    <w:multiLevelType w:val="hybridMultilevel"/>
    <w:lvl w:ilvl="0">
      <w:lvlJc w:val="left"/>
      <w:lvlText w:val="%1."/>
      <w:numFmt w:val="decimal"/>
      <w:start w:val="16"/>
    </w:lvl>
  </w:abstractNum>
  <w:abstractNum w:abstractNumId="180">
    <w:nsid w:val="5C49EAEE"/>
    <w:multiLevelType w:val="hybridMultilevel"/>
    <w:lvl w:ilvl="0">
      <w:lvlJc w:val="left"/>
      <w:lvlText w:val="%1."/>
      <w:numFmt w:val="decimal"/>
      <w:start w:val="17"/>
    </w:lvl>
  </w:abstractNum>
  <w:abstractNum w:abstractNumId="181">
    <w:nsid w:val="64AF49B"/>
    <w:multiLevelType w:val="hybridMultilevel"/>
    <w:lvl w:ilvl="0">
      <w:lvlJc w:val="left"/>
      <w:lvlText w:val="(%1)"/>
      <w:numFmt w:val="lowerLetter"/>
      <w:start w:val="1"/>
    </w:lvl>
  </w:abstractNum>
  <w:abstractNum w:abstractNumId="182">
    <w:nsid w:val="397C46BC"/>
    <w:multiLevelType w:val="hybridMultilevel"/>
    <w:lvl w:ilvl="0">
      <w:lvlJc w:val="left"/>
      <w:lvlText w:val="%1."/>
      <w:numFmt w:val="decimal"/>
      <w:start w:val="17"/>
    </w:lvl>
    <w:lvl w:ilvl="1">
      <w:lvlJc w:val="left"/>
      <w:lvlText w:val="(%2)"/>
      <w:numFmt w:val="lowerLetter"/>
      <w:start w:val="2"/>
    </w:lvl>
  </w:abstractNum>
  <w:abstractNum w:abstractNumId="183">
    <w:nsid w:val="7E448DE9"/>
    <w:multiLevelType w:val="hybridMultilevel"/>
    <w:lvl w:ilvl="0">
      <w:lvlJc w:val="left"/>
      <w:lvlText w:val="%1."/>
      <w:numFmt w:val="decimal"/>
      <w:start w:val="18"/>
    </w:lvl>
    <w:lvl w:ilvl="1">
      <w:lvlJc w:val="left"/>
      <w:lvlText w:val="(%2)"/>
      <w:numFmt w:val="lowerLetter"/>
      <w:start w:val="1"/>
    </w:lvl>
  </w:abstractNum>
  <w:abstractNum w:abstractNumId="184">
    <w:nsid w:val="5A9CC3E5"/>
    <w:multiLevelType w:val="hybridMultilevel"/>
    <w:lvl w:ilvl="0">
      <w:lvlJc w:val="left"/>
      <w:lvlText w:val="(%1)"/>
      <w:numFmt w:val="lowerLetter"/>
      <w:start w:val="3"/>
    </w:lvl>
  </w:abstractNum>
  <w:abstractNum w:abstractNumId="185">
    <w:nsid w:val="1AFE3625"/>
    <w:multiLevelType w:val="hybridMultilevel"/>
    <w:lvl w:ilvl="0">
      <w:lvlJc w:val="left"/>
      <w:lvlText w:val="%1."/>
      <w:numFmt w:val="decimal"/>
      <w:start w:val="19"/>
    </w:lvl>
  </w:abstractNum>
  <w:abstractNum w:abstractNumId="186">
    <w:nsid w:val="3CA88ECF"/>
    <w:multiLevelType w:val="hybridMultilevel"/>
    <w:lvl w:ilvl="0">
      <w:lvlJc w:val="left"/>
      <w:lvlText w:val="%1."/>
      <w:numFmt w:val="decimal"/>
      <w:start w:val="19"/>
    </w:lvl>
  </w:abstractNum>
  <w:abstractNum w:abstractNumId="187">
    <w:nsid w:val="6EBE4208"/>
    <w:multiLevelType w:val="hybridMultilevel"/>
    <w:lvl w:ilvl="0">
      <w:lvlJc w:val="left"/>
      <w:lvlText w:val="%1."/>
      <w:numFmt w:val="decimal"/>
      <w:start w:val="20"/>
    </w:lvl>
  </w:abstractNum>
  <w:abstractNum w:abstractNumId="188">
    <w:nsid w:val="C058DF5"/>
    <w:multiLevelType w:val="hybridMultilevel"/>
    <w:lvl w:ilvl="0">
      <w:lvlJc w:val="left"/>
      <w:lvlText w:val="%1."/>
      <w:numFmt w:val="decimal"/>
      <w:start w:val="20"/>
    </w:lvl>
    <w:lvl w:ilvl="1">
      <w:lvlJc w:val="left"/>
      <w:lvlText w:val="(%2)"/>
      <w:numFmt w:val="lowerLetter"/>
      <w:start w:val="1"/>
    </w:lvl>
  </w:abstractNum>
  <w:abstractNum w:abstractNumId="189">
    <w:nsid w:val="CBE5BE9"/>
    <w:multiLevelType w:val="hybridMultilevel"/>
    <w:lvl w:ilvl="0">
      <w:lvlJc w:val="left"/>
      <w:lvlText w:val="(%1)"/>
      <w:numFmt w:val="lowerLetter"/>
      <w:start w:val="2"/>
    </w:lvl>
  </w:abstractNum>
  <w:abstractNum w:abstractNumId="190">
    <w:nsid w:val="3102BBE2"/>
    <w:multiLevelType w:val="hybridMultilevel"/>
    <w:lvl w:ilvl="0">
      <w:lvlJc w:val="left"/>
      <w:lvlText w:val="%1."/>
      <w:numFmt w:val="decimal"/>
      <w:start w:val="22"/>
    </w:lvl>
  </w:abstractNum>
  <w:abstractNum w:abstractNumId="191">
    <w:nsid w:val="26A02C5E"/>
    <w:multiLevelType w:val="hybridMultilevel"/>
    <w:lvl w:ilvl="0">
      <w:lvlJc w:val="left"/>
      <w:lvlText w:val="(%1)"/>
      <w:numFmt w:val="lowerLetter"/>
      <w:start w:val="1"/>
    </w:lvl>
    <w:lvl w:ilvl="1">
      <w:lvlJc w:val="left"/>
      <w:lvlText w:val="(%2)"/>
      <w:numFmt w:val="lowerRoman"/>
      <w:start w:val="1"/>
    </w:lvl>
  </w:abstractNum>
  <w:abstractNum w:abstractNumId="192">
    <w:nsid w:val="541C8153"/>
    <w:multiLevelType w:val="hybridMultilevel"/>
    <w:lvl w:ilvl="0">
      <w:lvlJc w:val="left"/>
      <w:lvlText w:val="(%1)"/>
      <w:numFmt w:val="lowerLetter"/>
      <w:start w:val="2"/>
    </w:lvl>
    <w:lvl w:ilvl="1">
      <w:lvlJc w:val="left"/>
      <w:lvlText w:val="(%2)"/>
      <w:numFmt w:val="lowerRoman"/>
      <w:start w:val="1"/>
    </w:lvl>
  </w:abstractNum>
  <w:abstractNum w:abstractNumId="193">
    <w:nsid w:val="67906F60"/>
    <w:multiLevelType w:val="hybridMultilevel"/>
    <w:lvl w:ilvl="0">
      <w:lvlJc w:val="left"/>
      <w:lvlText w:val="(%1)"/>
      <w:numFmt w:val="lowerLetter"/>
      <w:start w:val="1"/>
    </w:lvl>
  </w:abstractNum>
  <w:abstractNum w:abstractNumId="194">
    <w:nsid w:val="10DB9DAA"/>
    <w:multiLevelType w:val="hybridMultilevel"/>
    <w:lvl w:ilvl="0">
      <w:lvlJc w:val="left"/>
      <w:lvlText w:val="(%1)"/>
      <w:numFmt w:val="lowerLetter"/>
      <w:start w:val="1"/>
    </w:lvl>
  </w:abstractNum>
  <w:abstractNum w:abstractNumId="195">
    <w:nsid w:val="697D2D2"/>
    <w:multiLevelType w:val="hybridMultilevel"/>
    <w:lvl w:ilvl="0">
      <w:lvlJc w:val="left"/>
      <w:lvlText w:val="(%1)"/>
      <w:numFmt w:val="lowerLetter"/>
      <w:start w:val="5"/>
    </w:lvl>
  </w:abstractNum>
  <w:abstractNum w:abstractNumId="196">
    <w:nsid w:val="6D68AB2"/>
    <w:multiLevelType w:val="hybridMultilevel"/>
    <w:lvl w:ilvl="0">
      <w:lvlJc w:val="left"/>
      <w:lvlText w:val="(%1)"/>
      <w:numFmt w:val="decimal"/>
      <w:start w:val="1"/>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2020-08-21T23:08:11Z</dcterms:created>
  <dcterms:modified xsi:type="dcterms:W3CDTF">2020-08-21T23:08:11Z</dcterms:modified>
</cp:coreProperties>
</file>