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tbif-20260810.htm"/>
      <w:bookmarkStart w:id="1" w:name="ksgtbif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GREEN THUMB INDUSTRIES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British Columbia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000-56132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98-1437430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325 West Huron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471-6720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1.01.</w:t>
      </w:r>
      <w:r>
        <w:rPr>
          <w:rFonts w:ascii="Times New Roman" w:hAnsi="Times New Roman"/>
          <w:color w:val="000000"/>
          <w:sz w:val="20"/>
        </w:rPr>
        <w:t xml:space="preserve"> </w:t>
      </w:r>
      <w:r>
        <w:rPr>
          <w:rFonts w:ascii="Times New Roman" w:hAnsi="Times New Roman"/>
          <w:b/>
          <w:color w:val="000000"/>
          <w:sz w:val="20"/>
        </w:rPr>
        <w:t>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On August 10, 2026, RSLGH, LLC (“RSLGH”) and Vision Management Services, LLC (“VMS”), subsidiaries of Green Thumb Industries Inc. (the “Company”) entered into an amendment agreement (the “Amendment”) with RYTHM, Inc. (“RYM”). The Amendment was entered into following RYM’s special meeting of stockholders held earlier that day and, among other things, permitted the Amendment. Benjamin Kovler, the Company’s Chairman and Chief Executive Officer, also serves as RYM’s Chairman and Interim Chief Executive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Amendment, upon its effective date, will amend the terms of (i) outstanding pre-funded warrants (the “Warrants”) to purchase an aggregate of up to 9,731,638 shares of RYMs common stock, par value $0.001 per share held by RSLGH, (ii) outstanding secured convertible notes held by RSLGH with an aggregate original principal amount of $72.0 million (the “Notes”), and (iii) the Amended and Restated Shared Services Agreement originally entered into between the RYM and VMS on May 20, 2025 (the “Services Agreement”). Pursuant to the Amendment, the Notes, the Warrants and the Services Agreement will be amended to remove all beneficial ownership limitations with respect to the conversion of the Notes, the exercise of the Warrants, and the exercise of certain pre-funded warrants that may be issued in the future pursuant to conversion of the Notes or under the Services Agreement. The effective date of the Amendment is October 10,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summary of the Amendment does not purport to be complete and is qualified in its entirety by reference to a copy of the Amendment, which is filed as Exhibit 10.1 hereto.</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Item 8.01.</w:t>
      </w:r>
      <w:r>
        <w:rPr>
          <w:rFonts w:ascii="Times New Roman" w:hAnsi="Times New Roman"/>
          <w:color w:val="000000"/>
          <w:sz w:val="20"/>
        </w:rPr>
        <w:t xml:space="preserve"> </w:t>
      </w:r>
      <w:r>
        <w:rPr>
          <w:rFonts w:ascii="Times New Roman" w:hAnsi="Times New Roman"/>
          <w:b/>
          <w:color w:val="000000"/>
          <w:sz w:val="20"/>
        </w:rPr>
        <w:t>Other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of the removal of the 49.99% beneficial ownership limitation described in Item 1.01, the Company will be required to consolidate RYM in the Company's financial statements beginning October 10, 2026 (the "Consolidation Date"), in accordance with applicable accounting standards. The Company does not currently intend to exercise any of the Securities prior to the Consolidation Date or thereafter, and the consolidation will occur solely by operation of the terms of the Amendments.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8"/>
        <w:gridCol w:w="109"/>
        <w:gridCol w:w="9208"/>
      </w:tblGrid>
      <w:tr>
        <w:trPr/>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r>
      <w:tr>
        <w:trPr/>
        <w:tc>
          <w:tcPr>
            <w:tcW w:w="888"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8"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 to Secured Convertible Notes, Pre-Funded Common Stock Purchase Warrants, and Amended and Restated Shared Services Agreement effective October 10, 2026, among RYTHM, Inc., RSLGH, LLC and Vision Management Services, LLC</w:t>
            </w:r>
          </w:p>
        </w:tc>
      </w:tr>
      <w:tr>
        <w:trPr/>
        <w:tc>
          <w:tcPr>
            <w:tcW w:w="8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507" w:type="dxa"/>
        <w:jc w:val="left"/>
        <w:tblInd w:w="0" w:type="dxa"/>
        <w:tblLayout w:type="fixed"/>
        <w:tblCellMar>
          <w:top w:w="28" w:type="dxa"/>
          <w:left w:w="28" w:type="dxa"/>
          <w:bottom w:w="28" w:type="dxa"/>
          <w:right w:w="28" w:type="dxa"/>
        </w:tblCellMar>
      </w:tblPr>
      <w:tblGrid>
        <w:gridCol w:w="691"/>
        <w:gridCol w:w="628"/>
        <w:gridCol w:w="631"/>
        <w:gridCol w:w="146"/>
        <w:gridCol w:w="146"/>
        <w:gridCol w:w="146"/>
        <w:gridCol w:w="942"/>
        <w:gridCol w:w="942"/>
        <w:gridCol w:w="1235"/>
      </w:tblGrid>
      <w:tr>
        <w:trPr/>
        <w:tc>
          <w:tcPr>
            <w:tcW w:w="69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 THUMB INDUSTRIES INC.</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Bret Kravitz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Bret Kravitz</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tbif-ex10_1.htm"/>
      <w:bookmarkStart w:id="3" w:name="ksgtbifex10_1"/>
      <w:bookmarkEnd w:id="2"/>
      <w:bookmarkEnd w:id="3"/>
      <w:r>
        <w:rPr/>
        <w:t> </w:t>
      </w:r>
      <w:r>
        <w:br w:type="page"/>
      </w:r>
    </w:p>
    <w:p>
      <w:pPr>
        <w:pStyle w:val="TextBody"/>
        <w:bidi w:val="0"/>
        <w:jc w:val="center"/>
        <w:rPr>
          <w:rFonts w:ascii="Times New Roman" w:hAnsi="Times New Roman"/>
          <w:sz w:val="20"/>
        </w:rPr>
      </w:pPr>
      <w:r>
        <w:rPr>
          <w:rFonts w:ascii="Times New Roman" w:hAnsi="Times New Roman"/>
          <w:b/>
          <w:smallCaps/>
          <w:color w:val="000000"/>
          <w:sz w:val="22"/>
        </w:rPr>
        <w:t>AMENDMENT TO</w:t>
      </w:r>
      <w:r>
        <w:rPr>
          <w:rFonts w:ascii="Times New Roman" w:hAnsi="Times New Roman"/>
          <w:smallCaps/>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SECURED CONVERTIBLE NOTES,</w:t>
      </w:r>
    </w:p>
    <w:p>
      <w:pPr>
        <w:pStyle w:val="TextBody"/>
        <w:bidi w:val="0"/>
        <w:jc w:val="center"/>
        <w:rPr>
          <w:rFonts w:ascii="Times New Roman" w:hAnsi="Times New Roman"/>
          <w:b/>
          <w:color w:val="000000"/>
          <w:sz w:val="22"/>
        </w:rPr>
      </w:pPr>
      <w:r>
        <w:rPr>
          <w:rFonts w:ascii="Times New Roman" w:hAnsi="Times New Roman"/>
          <w:b/>
          <w:color w:val="000000"/>
          <w:sz w:val="22"/>
        </w:rPr>
        <w:t>PRE-FUNDED COMMON STOCK PURCHASE WARRANTS, AND</w:t>
      </w:r>
    </w:p>
    <w:p>
      <w:pPr>
        <w:pStyle w:val="TextBody"/>
        <w:bidi w:val="0"/>
        <w:jc w:val="center"/>
        <w:rPr>
          <w:rFonts w:ascii="Times New Roman" w:hAnsi="Times New Roman"/>
          <w:b/>
          <w:color w:val="000000"/>
          <w:sz w:val="22"/>
        </w:rPr>
      </w:pPr>
      <w:r>
        <w:rPr>
          <w:rFonts w:ascii="Times New Roman" w:hAnsi="Times New Roman"/>
          <w:b/>
          <w:color w:val="000000"/>
          <w:sz w:val="22"/>
        </w:rPr>
        <w:t>AMENDED AND RESTATED SHARED SERVICES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This </w:t>
      </w:r>
      <w:r>
        <w:rPr>
          <w:rFonts w:ascii="Times New Roman" w:hAnsi="Times New Roman"/>
          <w:smallCaps/>
          <w:color w:val="000000"/>
          <w:sz w:val="22"/>
        </w:rPr>
        <w:t xml:space="preserve">AMENDMENT TO </w:t>
      </w:r>
      <w:r>
        <w:rPr>
          <w:rFonts w:ascii="Times New Roman" w:hAnsi="Times New Roman"/>
          <w:color w:val="000000"/>
          <w:sz w:val="22"/>
        </w:rPr>
        <w:t>SECURED CONVERTIBLE NOTES, PRE-FUNDED COMMON STOCK PURCHASE WARRANTS, AND AMENDED AND RESTATED SHARED SERVICES AGREEMENT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is entered into as of August 10, 2026 and shall be effective as of October 10, 2026 (the “</w:t>
      </w:r>
      <w:r>
        <w:rPr>
          <w:rFonts w:ascii="Times New Roman" w:hAnsi="Times New Roman"/>
          <w:color w:val="000000"/>
          <w:sz w:val="22"/>
          <w:u w:val="single"/>
        </w:rPr>
        <w:t>Amendment Effective Date</w:t>
      </w:r>
      <w:r>
        <w:rPr>
          <w:rFonts w:ascii="Times New Roman" w:hAnsi="Times New Roman"/>
          <w:color w:val="000000"/>
          <w:sz w:val="20"/>
        </w:rPr>
        <w:t>”</w:t>
      </w:r>
      <w:r>
        <w:rPr>
          <w:rFonts w:ascii="Times New Roman" w:hAnsi="Times New Roman"/>
          <w:color w:val="000000"/>
          <w:sz w:val="22"/>
        </w:rPr>
        <w:t>), by and among</w:t>
      </w:r>
      <w:r>
        <w:rPr>
          <w:rFonts w:ascii="Times New Roman" w:hAnsi="Times New Roman"/>
          <w:color w:val="000000"/>
          <w:sz w:val="20"/>
        </w:rPr>
        <w:t xml:space="preserve"> </w:t>
      </w:r>
      <w:r>
        <w:rPr>
          <w:rFonts w:ascii="Times New Roman" w:hAnsi="Times New Roman"/>
          <w:color w:val="000000"/>
          <w:sz w:val="22"/>
        </w:rPr>
        <w:t>RYTHM, Inc., a Nevada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RSLGH, LLC, a Delaware limited liability company (“</w:t>
      </w:r>
      <w:r>
        <w:rPr>
          <w:rFonts w:ascii="Times New Roman" w:hAnsi="Times New Roman"/>
          <w:color w:val="000000"/>
          <w:sz w:val="22"/>
          <w:u w:val="single"/>
        </w:rPr>
        <w:t>RSLGH</w:t>
      </w:r>
      <w:r>
        <w:rPr>
          <w:rFonts w:ascii="Times New Roman" w:hAnsi="Times New Roman"/>
          <w:color w:val="000000"/>
          <w:sz w:val="20"/>
        </w:rPr>
        <w:t>”</w:t>
      </w:r>
      <w:r>
        <w:rPr>
          <w:rFonts w:ascii="Times New Roman" w:hAnsi="Times New Roman"/>
          <w:color w:val="000000"/>
          <w:sz w:val="22"/>
        </w:rPr>
        <w:t>), and Vision Management Services, LLC, a Delaware limited liability company (“</w:t>
      </w:r>
      <w:r>
        <w:rPr>
          <w:rFonts w:ascii="Times New Roman" w:hAnsi="Times New Roman"/>
          <w:color w:val="000000"/>
          <w:sz w:val="22"/>
          <w:u w:val="single"/>
        </w:rPr>
        <w:t>VMS</w:t>
      </w:r>
      <w:r>
        <w:rPr>
          <w:rFonts w:ascii="Times New Roman" w:hAnsi="Times New Roman"/>
          <w:color w:val="000000"/>
          <w:sz w:val="20"/>
        </w:rPr>
        <w:t>”</w:t>
      </w:r>
      <w:r>
        <w:rPr>
          <w:rFonts w:ascii="Times New Roman" w:hAnsi="Times New Roman"/>
          <w:color w:val="000000"/>
          <w:sz w:val="22"/>
        </w:rPr>
        <w:t>), with reference to the following facts:</w:t>
      </w:r>
    </w:p>
    <w:p>
      <w:pPr>
        <w:pStyle w:val="TextBody"/>
        <w:bidi w:val="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On November 5, 2024, the Company issued to RSLGH a Secured Convertible Note with an original principal amount of $10.0 million, which was amended by Amendment No. 1 on May 8, 2025 and by Amendment No. 2 on August 25, 2025 (as amended, the “</w:t>
      </w:r>
      <w:r>
        <w:rPr>
          <w:rFonts w:ascii="Times New Roman" w:hAnsi="Times New Roman"/>
          <w:color w:val="000000"/>
          <w:sz w:val="22"/>
          <w:u w:val="single"/>
        </w:rPr>
        <w:t>November 2024 Note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On November 5, 2024, RSLGH acquired pre-funded warrants (the “</w:t>
      </w:r>
      <w:r>
        <w:rPr>
          <w:rFonts w:ascii="Times New Roman" w:hAnsi="Times New Roman"/>
          <w:color w:val="000000"/>
          <w:sz w:val="22"/>
          <w:u w:val="single"/>
        </w:rPr>
        <w:t>November 2024 Acquired Warrants</w:t>
      </w:r>
      <w:r>
        <w:rPr>
          <w:color w:val="000000"/>
        </w:rPr>
        <w:t>”</w:t>
      </w:r>
      <w:r>
        <w:rPr>
          <w:rFonts w:ascii="Times New Roman" w:hAnsi="Times New Roman"/>
          <w:color w:val="000000"/>
          <w:sz w:val="22"/>
        </w:rPr>
        <w:t>) to purchase an aggregate of up to 6,169,702 shares of the Company’s common stock, par value $0.001 per share (the “</w:t>
      </w:r>
      <w:r>
        <w:rPr>
          <w:rFonts w:ascii="Times New Roman" w:hAnsi="Times New Roman"/>
          <w:color w:val="000000"/>
          <w:sz w:val="22"/>
          <w:u w:val="single"/>
        </w:rPr>
        <w:t>Common Stock</w:t>
      </w:r>
      <w:r>
        <w:rPr>
          <w:color w:val="000000"/>
        </w:rPr>
        <w:t>”</w:t>
      </w:r>
      <w:r>
        <w:rPr>
          <w:rFonts w:ascii="Times New Roman" w:hAnsi="Times New Roman"/>
          <w:color w:val="000000"/>
          <w:sz w:val="22"/>
        </w:rPr>
        <w:t>) from a prior holder of such warrants.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On May 8, 2025 and September 1, 2025, the Company issued pre-funded warrants to purchase an aggregate of up to 29,987 shares of Common Stock to RSLGH as payments of interest pursuant to the November 2024 Note, and on November 3, 2025, RSLGH elected to convert the November 2024 Note and $175,000 of accrued interest thereon into pre-funded warrants to purchase up to 3,222,997 shares of Common Stock (all such pre-funded warrants, collectively, the “</w:t>
      </w:r>
      <w:r>
        <w:rPr>
          <w:rFonts w:ascii="Times New Roman" w:hAnsi="Times New Roman"/>
          <w:color w:val="000000"/>
          <w:sz w:val="22"/>
          <w:u w:val="single"/>
        </w:rPr>
        <w:t>November 2024 Note Warrants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On May 22, 2025, the Company issued to RSLGH a Secured Convertible Note with an original principal amount of $27.0 million, which was amended by Amendment No. 1 on August 25, 2025 (as amended, the “</w:t>
      </w:r>
      <w:r>
        <w:rPr>
          <w:rFonts w:ascii="Times New Roman" w:hAnsi="Times New Roman"/>
          <w:color w:val="000000"/>
          <w:sz w:val="22"/>
          <w:u w:val="single"/>
        </w:rPr>
        <w:t>May 2025 Note</w:t>
      </w:r>
      <w:r>
        <w:rPr>
          <w:color w:val="000000"/>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On September 1, 2025 and on March 1, 2026, the Company issued pre-funded warrants to purchase an aggregate of up to 89,150 shares of Common Stock to RSLGH as payments of interest pursuant to the May 2025 Note (collectively, the “</w:t>
      </w:r>
      <w:r>
        <w:rPr>
          <w:rFonts w:ascii="Times New Roman" w:hAnsi="Times New Roman"/>
          <w:color w:val="000000"/>
          <w:sz w:val="22"/>
          <w:u w:val="single"/>
        </w:rPr>
        <w:t>May 2025 Note Warrants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rPr>
        <w:t>On August 25, 2025, the Company issued to RSLGH a Secured Convertible Note with an original principal amount of $45.0 million (the “</w:t>
      </w:r>
      <w:r>
        <w:rPr>
          <w:rFonts w:ascii="Times New Roman" w:hAnsi="Times New Roman"/>
          <w:color w:val="000000"/>
          <w:sz w:val="22"/>
          <w:u w:val="single"/>
        </w:rPr>
        <w:t>August 2025 Note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On March 9, 2026, the Company issued pre-funded warrants to purchase up to 78,459 shares of Common Stock to RSLGH as a payment of interest pursuant to the August 2025 Note (collectively, the “</w:t>
      </w:r>
      <w:r>
        <w:rPr>
          <w:rFonts w:ascii="Times New Roman" w:hAnsi="Times New Roman"/>
          <w:color w:val="000000"/>
          <w:sz w:val="22"/>
          <w:u w:val="single"/>
        </w:rPr>
        <w:t>August 2025 Note Warrants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rPr>
        <w:t>On May 20, 2025, the Company entered into an Amended and Restated Shared Services Agreement with VMS (the “</w:t>
      </w:r>
      <w:r>
        <w:rPr>
          <w:rFonts w:ascii="Times New Roman" w:hAnsi="Times New Roman"/>
          <w:color w:val="000000"/>
          <w:sz w:val="22"/>
          <w:u w:val="single"/>
        </w:rPr>
        <w:t>Services Agreement</w:t>
      </w:r>
      <w:r>
        <w:rPr>
          <w:color w:val="000000"/>
        </w:rPr>
        <w:t>”</w:t>
      </w:r>
      <w:r>
        <w:rPr>
          <w:rFonts w:ascii="Times New Roman" w:hAnsi="Times New Roman"/>
          <w:color w:val="000000"/>
          <w:sz w:val="22"/>
        </w:rPr>
        <w:t>), pursuant to which VMS provides certain services to the Company and its subsidiaries, which provides that payment for such services may be made in the form of cash, in shares of Common Stock, or in pre-funded warrants.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On October 20, 2025, the Company issued pre-funded warrants to purchase up to 141,343 shares of Common Stock to RSLGH, as assignee of VMS, as payment of amounts due pursuant to the Services Agreement (collectively, the “</w:t>
      </w:r>
      <w:r>
        <w:rPr>
          <w:rFonts w:ascii="Times New Roman" w:hAnsi="Times New Roman"/>
          <w:color w:val="000000"/>
          <w:sz w:val="22"/>
          <w:u w:val="single"/>
        </w:rPr>
        <w:t>Services Agreement Warrants</w:t>
      </w:r>
      <w:r>
        <w:rPr>
          <w:color w:val="000000"/>
        </w:rPr>
        <w:t>”</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- 2</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rPr>
        <w:t>Pursuant to Section 18 of each of the May 2025 Note and the August 2025 Note (collectively, the “</w:t>
      </w:r>
      <w:r>
        <w:rPr>
          <w:rFonts w:ascii="Times New Roman" w:hAnsi="Times New Roman"/>
          <w:color w:val="000000"/>
          <w:sz w:val="22"/>
          <w:u w:val="single"/>
        </w:rPr>
        <w:t>Notes</w:t>
      </w:r>
      <w:r>
        <w:rPr>
          <w:color w:val="000000"/>
        </w:rPr>
        <w:t>”</w:t>
      </w:r>
      <w:r>
        <w:rPr>
          <w:rFonts w:ascii="Times New Roman" w:hAnsi="Times New Roman"/>
          <w:color w:val="000000"/>
          <w:sz w:val="22"/>
        </w:rPr>
        <w:t>), each such Note may only be amended, waived or modified in writing by the Company and by holders of a majority of the principal amount outstanding, as of the date of such amendment, waiver and/or modification, under all notes of the same series issued concurrently with each Note (such holders, the “</w:t>
      </w:r>
      <w:r>
        <w:rPr>
          <w:rFonts w:ascii="Times New Roman" w:hAnsi="Times New Roman"/>
          <w:color w:val="000000"/>
          <w:sz w:val="22"/>
          <w:u w:val="single"/>
        </w:rPr>
        <w:t>Required Holders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RSLGH constitutes the Required Holders under each of the Notes and is the holder of each of the Warrants.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rPr>
        <w:t>Pursuant to Section 5(l) of each of the November 2024 Note Warrants, the November 2024 Acquired Warrants, the May 2025 Note Warrants, the August 2025 Note Warrants, and the Services Agreement Warrants (collectively, the “</w:t>
      </w:r>
      <w:r>
        <w:rPr>
          <w:rFonts w:ascii="Times New Roman" w:hAnsi="Times New Roman"/>
          <w:color w:val="000000"/>
          <w:sz w:val="22"/>
          <w:u w:val="single"/>
        </w:rPr>
        <w:t>Warrants</w:t>
      </w:r>
      <w:r>
        <w:rPr>
          <w:color w:val="000000"/>
        </w:rPr>
        <w:t>”</w:t>
      </w:r>
      <w:r>
        <w:rPr>
          <w:rFonts w:ascii="Times New Roman" w:hAnsi="Times New Roman"/>
          <w:color w:val="000000"/>
          <w:sz w:val="22"/>
        </w:rPr>
        <w:t>), each Warrant may only be amended, waived or modified in writing by the Company and by the holder of such Warrant.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rPr>
        <w:t>Each of the Notes, each of the Warrants, and each of the forms of pre-funded warrants attached as exhibits to each Note and to the Shared Services Agreement contain (i) beneficial ownership limitations that prohibit exercise or conversion, as applicable, to the extent that after giving effect to such conversion or exercise, the holder of the applicable Note or Warrant, together with its affiliates and any other persons acting as a group, would beneficially own more than 49.99% of the Common Stock outstanding immediately after giving effect to the issuance of such shares, and (ii) as applicable, a prohibition on exercise or conversion, as applicable, to the extent that the Company determines that the approval of its stockholders is required by the applicable rules of the Nasdaq Capital Market (clauses (i) and (ii), collectively, the “</w:t>
      </w:r>
      <w:r>
        <w:rPr>
          <w:rFonts w:ascii="Times New Roman" w:hAnsi="Times New Roman"/>
          <w:color w:val="000000"/>
          <w:sz w:val="22"/>
          <w:u w:val="single"/>
        </w:rPr>
        <w:t>Ownership Limitations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RSLGH and VMS desire to amend each Note, the Services Agreement, and each Warrant to remove all references therein to the Ownership Limitations, effective as of the Amendment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execution and delivery of the parties hereto and other good and valuable consideration, the receipt and sufficiency of which are hereby acknowledged, and intending to be legally bound hereby, the parties to this Amendment hereby further agree as follows: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2"/>
          <w:u w:val="single"/>
        </w:rPr>
        <w:t>Recitals</w:t>
      </w:r>
      <w:r>
        <w:rPr>
          <w:rFonts w:ascii="Times New Roman" w:hAnsi="Times New Roman"/>
          <w:color w:val="000000"/>
          <w:sz w:val="22"/>
        </w:rPr>
        <w:t>. The foregoing recitals are true and correct and are incorporated herein in their entirety.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2"/>
          <w:u w:val="single"/>
        </w:rPr>
        <w:t>Amendments to the May 2025 Note</w:t>
      </w:r>
      <w:r>
        <w:rPr>
          <w:rFonts w:ascii="Times New Roman" w:hAnsi="Times New Roman"/>
          <w:color w:val="000000"/>
          <w:sz w:val="22"/>
        </w:rPr>
        <w:t xml:space="preserve">. As of the Amendment Effective Date, the May 2025 Note is hereby amended or modified as follows: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May 2025 Note is hereby amended by deleting Section 7(I) in its entirety.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Exhibit B to the May 2025 Note is hereby amended by deleting Section 2(e) in its entirety.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Exhibit B to the May 2025 Note is hereby amended by deleting Sections 3(b) and 3(c) in their entirety and, in lieu thereof, replacing such sections with new Sections 3(b) and 3(c) as set forth in </w:t>
      </w:r>
      <w:r>
        <w:rPr>
          <w:rFonts w:ascii="Times New Roman" w:hAnsi="Times New Roman"/>
          <w:color w:val="000000"/>
          <w:sz w:val="22"/>
          <w:u w:val="single"/>
        </w:rPr>
        <w:t>Exhibit I</w:t>
      </w:r>
      <w:r>
        <w:rPr>
          <w:color w:val="000000"/>
        </w:rPr>
        <w:t xml:space="preserve"> </w:t>
      </w:r>
      <w:r>
        <w:rPr>
          <w:rFonts w:ascii="Times New Roman" w:hAnsi="Times New Roman"/>
          <w:color w:val="000000"/>
          <w:sz w:val="22"/>
        </w:rPr>
        <w:t>hereto.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- 3</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2"/>
          <w:u w:val="single"/>
        </w:rPr>
        <w:t>Amendments to the August 2025 Note</w:t>
      </w:r>
      <w:r>
        <w:rPr>
          <w:rFonts w:ascii="Times New Roman" w:hAnsi="Times New Roman"/>
          <w:color w:val="000000"/>
          <w:sz w:val="22"/>
        </w:rPr>
        <w:t xml:space="preserve">. As of the Amendment Effective Date, the August 2025 Note is hereby amended or modified as follows: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August 2025 Note is hereby amended by deleting Section 5(C) in its entirety and, in lieu thereof, replacing such section with new Section 5(C) as set forth in </w:t>
      </w:r>
      <w:r>
        <w:rPr>
          <w:rFonts w:ascii="Times New Roman" w:hAnsi="Times New Roman"/>
          <w:color w:val="000000"/>
          <w:sz w:val="22"/>
          <w:u w:val="single"/>
        </w:rPr>
        <w:t>Exhibit II</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August 2025 Note is hereby amended by deleting Section 7(I) in its entirety.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Exhibit B to the August 2025 Note is hereby amended by deleting Section 2(e) in its entirety.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Exhibit B to the August 2025 Note is hereby amended by deleting Sections 3(b) and 3(c) in their entirety and, in lieu thereof, replacing such sections with new Sections 3(b) and 3(c) as set forth in </w:t>
      </w:r>
      <w:r>
        <w:rPr>
          <w:rFonts w:ascii="Times New Roman" w:hAnsi="Times New Roman"/>
          <w:color w:val="000000"/>
          <w:sz w:val="22"/>
          <w:u w:val="single"/>
        </w:rPr>
        <w:t>Exhibit I</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2"/>
          <w:u w:val="single"/>
        </w:rPr>
        <w:t>Amendments to the Services Agreement</w:t>
      </w:r>
      <w:r>
        <w:rPr>
          <w:rFonts w:ascii="Times New Roman" w:hAnsi="Times New Roman"/>
          <w:color w:val="000000"/>
          <w:sz w:val="22"/>
        </w:rPr>
        <w:t xml:space="preserve">. As of the Amendment Effective Date, the Services Agreement is hereby amended or modified as follows: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Exhibit A to the Services Agreement is hereby amended by deleting Section 2(e) in its entirety.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Exhibit A to the Services Agreement is hereby amended by deleting Sections 3(b) and 3(c) in their entirety and, in lieu thereof, replacing such sections with new Sections 3(b) and 3(c) as set forth in </w:t>
      </w:r>
      <w:r>
        <w:rPr>
          <w:rFonts w:ascii="Times New Roman" w:hAnsi="Times New Roman"/>
          <w:color w:val="000000"/>
          <w:sz w:val="22"/>
          <w:u w:val="single"/>
        </w:rPr>
        <w:t>Exhibit I</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2"/>
          <w:u w:val="single"/>
        </w:rPr>
        <w:t>Amendments to the Warrants</w:t>
      </w:r>
      <w:r>
        <w:rPr>
          <w:rFonts w:ascii="Times New Roman" w:hAnsi="Times New Roman"/>
          <w:color w:val="000000"/>
          <w:sz w:val="22"/>
        </w:rPr>
        <w:t xml:space="preserve">. As of the Amendment Effective Date, each Warrant is hereby amended or modified as follows: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Warrant is hereby amended by deleting Section 2(e) in its entirety.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Each Warrant is hereby amended by deleting Sections 3(b) and 3(c) in their entirety and, in lieu thereof, replacing such sections with new Sections 3(b) and 3(c) as set forth in </w:t>
      </w:r>
      <w:r>
        <w:rPr>
          <w:rFonts w:ascii="Times New Roman" w:hAnsi="Times New Roman"/>
          <w:color w:val="000000"/>
          <w:sz w:val="22"/>
          <w:u w:val="single"/>
        </w:rPr>
        <w:t>Exhibit I</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2"/>
          <w:u w:val="single"/>
        </w:rPr>
        <w:t>Limited Effect</w:t>
      </w:r>
      <w:r>
        <w:rPr>
          <w:rFonts w:ascii="Times New Roman" w:hAnsi="Times New Roman"/>
          <w:color w:val="000000"/>
          <w:sz w:val="22"/>
        </w:rPr>
        <w:t xml:space="preserve">. The Notes, the Warrants, and the Services Agreement are not amended in any other respect. All other terms and provisions of each Note, each Warrant, and the Services Agreement not herein specifically modified and amended shall remain in full force and effect as originally set forth therein. All references in each Warrant shall be deemed a reference to such Warrant as modified and amended herein. All references in each Note, the related security agreement or any other related document or agreement (collectively, the </w:t>
      </w:r>
      <w:r>
        <w:rPr>
          <w:rFonts w:ascii="Times New Roman" w:hAnsi="Times New Roman"/>
          <w:color w:val="000000"/>
          <w:sz w:val="22"/>
          <w:u w:val="single"/>
        </w:rPr>
        <w:t>Loan Documents</w:t>
      </w:r>
      <w:r>
        <w:rPr>
          <w:color w:val="000000"/>
        </w:rPr>
        <w:t>”</w:t>
      </w:r>
      <w:r>
        <w:rPr>
          <w:rFonts w:ascii="Times New Roman" w:hAnsi="Times New Roman"/>
          <w:color w:val="000000"/>
          <w:sz w:val="22"/>
        </w:rPr>
        <w:t xml:space="preserve">) shall be deemed a reference to such Note as modified and amended herein. The Company agrees that its obligations under each Warrant, each Note and each other Loan Document are its valid and binding obligations, enforceable in accordance with their terms, subject to no defense, counterclaim, or objection. This Amendment amends each Note, each Warrant and the Services Agreement, and is intended to be a continuation of the obligations set forth therein and in each other Loan Document. Nothing in this Amendment is intended, nor shall be construed, to constitute a novation or an accord or satisfaction of any Note or any other Loan Document.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20"/>
        </w:rPr>
        <w:t>- 4</w:t>
      </w:r>
      <w:r>
        <w:rPr>
          <w:rFonts w:ascii="Times New Roman" w:hAnsi="Times New Roman"/>
          <w:color w:val="000000"/>
          <w:sz w:val="20"/>
        </w:rPr>
        <w:t xml:space="preserve"> </w:t>
      </w:r>
      <w:r>
        <w:rPr>
          <w:rFonts w:ascii="Arial" w:hAnsi="Arial"/>
          <w:color w:val="000000"/>
          <w:sz w:val="20"/>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2"/>
          <w:u w:val="single"/>
        </w:rPr>
        <w:t>Miscellaneous</w:t>
      </w:r>
      <w:r>
        <w:rPr>
          <w:rFonts w:ascii="Times New Roman" w:hAnsi="Times New Roman"/>
          <w:color w:val="000000"/>
          <w:sz w:val="22"/>
        </w:rPr>
        <w:t>. This Amendment shall be governed by and construed under the laws of the State of Delaware, without giving effect to conflicts of laws principles.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hereto have executed this Amendment, effective as of the Amendment Effective Date set forth above.</w:t>
      </w:r>
    </w:p>
    <w:p>
      <w:pPr>
        <w:pStyle w:val="TextBody"/>
        <w:bidi w:val="0"/>
        <w:jc w:val="both"/>
        <w:rPr/>
      </w:pPr>
      <w:r>
        <w:rPr/>
        <w:t> </w:t>
      </w:r>
    </w:p>
    <w:tbl>
      <w:tblPr>
        <w:tblW w:w="4737" w:type="dxa"/>
        <w:jc w:val="left"/>
        <w:tblInd w:w="0" w:type="dxa"/>
        <w:tblLayout w:type="fixed"/>
        <w:tblCellMar>
          <w:top w:w="28" w:type="dxa"/>
          <w:left w:w="28" w:type="dxa"/>
          <w:bottom w:w="28" w:type="dxa"/>
          <w:right w:w="28" w:type="dxa"/>
        </w:tblCellMar>
      </w:tblPr>
      <w:tblGrid>
        <w:gridCol w:w="161"/>
        <w:gridCol w:w="4576"/>
      </w:tblGrid>
      <w:tr>
        <w:trPr/>
        <w:tc>
          <w:tcPr>
            <w:tcW w:w="161"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576" w:type="dxa"/>
            <w:tcBorders/>
            <w:tcMar>
              <w:top w:w="0" w:type="dxa"/>
              <w:left w:w="0" w:type="dxa"/>
              <w:bottom w:w="0" w:type="dxa"/>
              <w:right w:w="0" w:type="dxa"/>
            </w:tcMar>
            <w:vAlign w:val="center"/>
          </w:tcPr>
          <w:p>
            <w:pPr>
              <w:pStyle w:val="TableContents"/>
              <w:bidi w:val="0"/>
              <w:spacing w:before="480" w:after="240"/>
              <w:jc w:val="both"/>
              <w:rPr>
                <w:rFonts w:ascii="Times New Roman" w:hAnsi="Times New Roman"/>
                <w:b/>
                <w:color w:val="000000"/>
                <w:sz w:val="22"/>
                <w:u w:val="single"/>
              </w:rPr>
            </w:pPr>
            <w:r>
              <w:rPr>
                <w:rFonts w:ascii="Times New Roman" w:hAnsi="Times New Roman"/>
                <w:b/>
                <w:color w:val="000000"/>
                <w:sz w:val="22"/>
                <w:u w:val="single"/>
              </w:rPr>
              <w:t>COMPANY</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RYTHM, INC.</w:t>
            </w:r>
          </w:p>
          <w:p>
            <w:pPr>
              <w:pStyle w:val="TableContents"/>
              <w:bidi w:val="0"/>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Benjamin Kovler</w:t>
            </w:r>
            <w:r>
              <w:rPr>
                <w:rFonts w:ascii="Times New Roman" w:hAnsi="Times New Roman"/>
                <w:color w:val="000000"/>
                <w:sz w:val="22"/>
              </w:rPr>
              <w:t>__________________</w:t>
            </w:r>
          </w:p>
          <w:p>
            <w:pPr>
              <w:pStyle w:val="TableContents"/>
              <w:bidi w:val="0"/>
              <w:jc w:val="left"/>
              <w:rPr>
                <w:rFonts w:ascii="Times New Roman" w:hAnsi="Times New Roman"/>
                <w:color w:val="000000"/>
                <w:sz w:val="22"/>
              </w:rPr>
            </w:pPr>
            <w:r>
              <w:rPr>
                <w:rFonts w:ascii="Times New Roman" w:hAnsi="Times New Roman"/>
                <w:color w:val="000000"/>
                <w:sz w:val="22"/>
              </w:rPr>
              <w:t>Name: Benjamin Kovler</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Interim Chief Executive Officer</w:t>
            </w:r>
          </w:p>
        </w:tc>
      </w:tr>
    </w:tbl>
    <w:p>
      <w:pPr>
        <w:pStyle w:val="TextBody"/>
        <w:bidi w:val="0"/>
        <w:jc w:val="left"/>
        <w:rPr/>
      </w:pPr>
      <w:r>
        <w:rPr/>
        <w:t> </w:t>
      </w:r>
    </w:p>
    <w:p>
      <w:pPr>
        <w:pStyle w:val="TextBody"/>
        <w:bidi w:val="0"/>
        <w:jc w:val="both"/>
        <w:rPr/>
      </w:pPr>
      <w:r>
        <w:rPr/>
        <w:t> </w:t>
      </w:r>
    </w:p>
    <w:p>
      <w:pPr>
        <w:pStyle w:val="TextBody"/>
        <w:bidi w:val="0"/>
        <w:jc w:val="left"/>
        <w:rPr/>
      </w:pPr>
      <w:r>
        <w:rPr/>
        <w:t> </w:t>
      </w:r>
    </w:p>
    <w:tbl>
      <w:tblPr>
        <w:tblW w:w="4737" w:type="dxa"/>
        <w:jc w:val="left"/>
        <w:tblInd w:w="0" w:type="dxa"/>
        <w:tblLayout w:type="fixed"/>
        <w:tblCellMar>
          <w:top w:w="28" w:type="dxa"/>
          <w:left w:w="28" w:type="dxa"/>
          <w:bottom w:w="28" w:type="dxa"/>
          <w:right w:w="28" w:type="dxa"/>
        </w:tblCellMar>
      </w:tblPr>
      <w:tblGrid>
        <w:gridCol w:w="161"/>
        <w:gridCol w:w="4576"/>
      </w:tblGrid>
      <w:tr>
        <w:trPr/>
        <w:tc>
          <w:tcPr>
            <w:tcW w:w="161"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576" w:type="dxa"/>
            <w:tcBorders/>
            <w:tcMar>
              <w:top w:w="0" w:type="dxa"/>
              <w:left w:w="0" w:type="dxa"/>
              <w:bottom w:w="0" w:type="dxa"/>
              <w:right w:w="0" w:type="dxa"/>
            </w:tcMar>
            <w:vAlign w:val="center"/>
          </w:tcPr>
          <w:p>
            <w:pPr>
              <w:pStyle w:val="TableContents"/>
              <w:bidi w:val="0"/>
              <w:spacing w:before="480" w:after="240"/>
              <w:jc w:val="both"/>
              <w:rPr>
                <w:rFonts w:ascii="Times New Roman" w:hAnsi="Times New Roman"/>
                <w:b/>
                <w:color w:val="000000"/>
                <w:sz w:val="22"/>
                <w:u w:val="single"/>
              </w:rPr>
            </w:pPr>
            <w:r>
              <w:rPr>
                <w:rFonts w:ascii="Times New Roman" w:hAnsi="Times New Roman"/>
                <w:b/>
                <w:color w:val="000000"/>
                <w:sz w:val="22"/>
                <w:u w:val="single"/>
              </w:rPr>
              <w:t>RSLGH</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57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RSLGH, LLC</w:t>
            </w:r>
          </w:p>
          <w:p>
            <w:pPr>
              <w:pStyle w:val="TableContents"/>
              <w:bidi w:val="0"/>
              <w:jc w:val="both"/>
              <w:rPr/>
            </w:pPr>
            <w:r>
              <w:rPr/>
              <w:t> </w:t>
            </w:r>
          </w:p>
          <w:p>
            <w:pPr>
              <w:pStyle w:val="TableContents"/>
              <w:bidi w:val="0"/>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Bret Kravitz</w:t>
            </w:r>
            <w:r>
              <w:rPr>
                <w:rFonts w:ascii="Times New Roman" w:hAnsi="Times New Roman"/>
                <w:color w:val="000000"/>
                <w:sz w:val="22"/>
              </w:rPr>
              <w:t>_____________________</w:t>
            </w:r>
          </w:p>
          <w:p>
            <w:pPr>
              <w:pStyle w:val="TableContents"/>
              <w:bidi w:val="0"/>
              <w:jc w:val="left"/>
              <w:rPr>
                <w:rFonts w:ascii="Times New Roman" w:hAnsi="Times New Roman"/>
                <w:color w:val="000000"/>
                <w:sz w:val="22"/>
              </w:rPr>
            </w:pPr>
            <w:r>
              <w:rPr>
                <w:rFonts w:ascii="Times New Roman" w:hAnsi="Times New Roman"/>
                <w:color w:val="000000"/>
                <w:sz w:val="22"/>
              </w:rPr>
              <w:t>Name: Bret Kravitz</w:t>
            </w:r>
          </w:p>
          <w:p>
            <w:pPr>
              <w:pStyle w:val="TableContents"/>
              <w:bidi w:val="0"/>
              <w:jc w:val="left"/>
              <w:rPr>
                <w:rFonts w:ascii="Times New Roman" w:hAnsi="Times New Roman"/>
                <w:color w:val="000000"/>
                <w:sz w:val="22"/>
              </w:rPr>
            </w:pPr>
            <w:r>
              <w:rPr>
                <w:rFonts w:ascii="Times New Roman" w:hAnsi="Times New Roman"/>
                <w:color w:val="000000"/>
                <w:sz w:val="22"/>
              </w:rPr>
              <w:t>Title: Corporate Secretary</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b/>
                <w:color w:val="000000"/>
                <w:sz w:val="22"/>
                <w:u w:val="single"/>
              </w:rPr>
            </w:pPr>
            <w:r>
              <w:rPr>
                <w:rFonts w:ascii="Times New Roman" w:hAnsi="Times New Roman"/>
                <w:b/>
                <w:color w:val="000000"/>
                <w:sz w:val="22"/>
                <w:u w:val="single"/>
              </w:rPr>
              <w:t>VMS</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VISION MANAGEMENT SERVICES, LLC</w:t>
            </w:r>
          </w:p>
          <w:p>
            <w:pPr>
              <w:pStyle w:val="TableContents"/>
              <w:bidi w:val="0"/>
              <w:jc w:val="both"/>
              <w:rPr/>
            </w:pPr>
            <w:r>
              <w:rPr/>
              <w:t> </w:t>
            </w:r>
          </w:p>
          <w:p>
            <w:pPr>
              <w:pStyle w:val="TableContents"/>
              <w:bidi w:val="0"/>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Benjamin Kovler</w:t>
            </w:r>
            <w:r>
              <w:rPr>
                <w:rFonts w:ascii="Times New Roman" w:hAnsi="Times New Roman"/>
                <w:color w:val="000000"/>
                <w:sz w:val="22"/>
              </w:rPr>
              <w:t>__________________</w:t>
            </w:r>
          </w:p>
          <w:p>
            <w:pPr>
              <w:pStyle w:val="TableContents"/>
              <w:bidi w:val="0"/>
              <w:jc w:val="left"/>
              <w:rPr>
                <w:rFonts w:ascii="Times New Roman" w:hAnsi="Times New Roman"/>
                <w:color w:val="000000"/>
                <w:sz w:val="22"/>
              </w:rPr>
            </w:pPr>
            <w:r>
              <w:rPr>
                <w:rFonts w:ascii="Times New Roman" w:hAnsi="Times New Roman"/>
                <w:color w:val="000000"/>
                <w:sz w:val="22"/>
              </w:rPr>
              <w:t>Name: Benjamin Kovler</w:t>
            </w:r>
          </w:p>
          <w:p>
            <w:pPr>
              <w:pStyle w:val="TableContents"/>
              <w:bidi w:val="0"/>
              <w:jc w:val="left"/>
              <w:rPr>
                <w:rFonts w:ascii="Times New Roman" w:hAnsi="Times New Roman"/>
                <w:color w:val="000000"/>
                <w:sz w:val="22"/>
              </w:rPr>
            </w:pPr>
            <w:r>
              <w:rPr>
                <w:rFonts w:ascii="Times New Roman" w:hAnsi="Times New Roman"/>
                <w:color w:val="000000"/>
                <w:sz w:val="22"/>
              </w:rPr>
              <w:t>Title: Authorized Manager</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b/>
          <w:color w:val="000000"/>
          <w:sz w:val="16"/>
        </w:rPr>
      </w:pPr>
      <w:r>
        <w:rPr>
          <w:rFonts w:ascii="sans-serif" w:hAnsi="sans-serif"/>
          <w:b/>
          <w:color w:val="000000"/>
          <w:sz w:val="16"/>
        </w:rPr>
        <w:t>SIGNATURE PAGE TO AMENDMENT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I</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Subsequent Rights Offerings</w:t>
      </w:r>
      <w:r>
        <w:rPr>
          <w:rFonts w:ascii="Times New Roman" w:hAnsi="Times New Roman"/>
          <w:color w:val="000000"/>
          <w:sz w:val="22"/>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2"/>
          <w:u w:val="single"/>
        </w:rPr>
        <w:t>Purchase Rights</w:t>
      </w:r>
      <w:r>
        <w:rPr>
          <w:rFonts w:ascii="Times New Roman" w:hAnsi="Times New Roman"/>
          <w:color w:val="000000"/>
          <w:sz w:val="20"/>
        </w:rPr>
        <w:t>”</w:t>
      </w:r>
      <w:r>
        <w:rPr>
          <w:rFonts w:ascii="Times New Roman" w:hAnsi="Times New Roman"/>
          <w:color w:val="000000"/>
          <w:sz w:val="22"/>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Pro Rata Distributions</w:t>
      </w:r>
      <w:r>
        <w:rPr>
          <w:rFonts w:ascii="Times New Roman" w:hAnsi="Times New Roman"/>
          <w:color w:val="000000"/>
          <w:sz w:val="22"/>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hAnsi="Times New Roman"/>
          <w:color w:val="000000"/>
          <w:sz w:val="22"/>
          <w:u w:val="single"/>
        </w:rPr>
        <w:t>Distribution</w:t>
      </w:r>
      <w:r>
        <w:rPr>
          <w:rFonts w:ascii="Times New Roman" w:hAnsi="Times New Roman"/>
          <w:color w:val="000000"/>
          <w:sz w:val="20"/>
        </w:rPr>
        <w:t>”</w:t>
      </w:r>
      <w:r>
        <w:rPr>
          <w:rFonts w:ascii="Times New Roman" w:hAnsi="Times New Roman"/>
          <w:color w:val="000000"/>
          <w:sz w:val="22"/>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immediately before the date of which a record is taken for such Distribution, or, if no such record is taken, the date as of which the record holders of shares of Common Stock are to be determined for the participation in such Distribution.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II</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Payments of Stated Interest</w:t>
      </w:r>
      <w:r>
        <w:rPr>
          <w:rFonts w:ascii="Times New Roman" w:hAnsi="Times New Roman"/>
          <w:color w:val="000000"/>
          <w:sz w:val="22"/>
        </w:rPr>
        <w:t>. Payments of Stated Interest at each Interest Payment Date, including payment of any Stated Interest on the Maturity Date, shall be made, at the election of the Required Holders in their sole discretion, in the form of (i) cash by wire transfer of immediately available funds to an account of the Holder that is provided to the Company on the date hereof, (ii) issuance of shares of Common Stock pursuant to the terms set forth in Section 5(C), or (iii) a Pre-Funded Warrant. The number of shares of Common Stock for any payment of Stated Interest shall be equal to (i) the amount of Stated Interest accrued and outstanding as of such Interest Payment Date divided by (ii) the Conversion Price. The number of warrant shares for each such Pre-Funded Warrant shall be equal to (i) the amount of Stated Interest accrued and outstanding as of such Interest Payment Date divided by (ii) the Warrant Conversion Price. Following an Interest Payment Date, Holder shall notify the Company, with sufficient detail, the Stated Interest accrued and outstanding as of such Interest Payment Date, and the Required Holders shall specify the form of payment of such Stated Interest. No later than ten Business Days following receipt of such notification, the Company shall issue to the Holder the applicable cash payment, shares of Common Stock or Pre-Funded Warrant, as applicable.</w:t>
      </w:r>
    </w:p>
    <w:p>
      <w:pPr>
        <w:pStyle w:val="TextBody"/>
        <w:bidi w:val="0"/>
        <w:jc w:val="left"/>
        <w:rPr>
          <w:rFonts w:ascii="Times New Roman" w:hAnsi="Times New Roman"/>
          <w:color w:val="000000"/>
          <w:sz w:val="20"/>
        </w:rPr>
      </w:pPr>
      <w:r>
        <w:rPr>
          <w:rFonts w:ascii="Times New Roman" w:hAnsi="Times New Roman"/>
          <w:color w:val="000000"/>
          <w:sz w:val="20"/>
        </w:rPr>
        <w:t>II-1</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2992</Words>
  <Characters>15549</Characters>
  <CharactersWithSpaces>18490</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