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30930.htm"/>
      <w:bookmarkStart w:id="1" w:name="ksgtbif2023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September 30, 2023</w:t>
      </w:r>
    </w:p>
    <w:p>
      <w:pPr>
        <w:pStyle w:val="TextBody"/>
        <w:bidi w:val="0"/>
        <w:spacing w:before="10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100" w:after="283"/>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r>
        <w:rPr/>
        <w:t> </w:t>
      </w:r>
    </w:p>
    <w:p>
      <w:pPr>
        <w:pStyle w:val="TextBody"/>
        <w:bidi w:val="0"/>
        <w:spacing w:before="80" w:after="283"/>
        <w:jc w:val="center"/>
        <w:rPr>
          <w:rFonts w:ascii="Times New Roman" w:hAnsi="Times New Roman"/>
          <w:sz w:val="20"/>
        </w:rPr>
      </w:pPr>
      <w:r>
        <w:rPr>
          <w:rFonts w:ascii="Times New Roman" w:hAnsi="Times New Roman"/>
          <w:b/>
          <w:color w:val="000000"/>
          <w:sz w:val="16"/>
        </w:rPr>
        <w:t>Commission file number 000-56132</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44"/>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British Columbia</w:t>
            </w:r>
          </w:p>
        </w:tc>
        <w:tc>
          <w:tcPr>
            <w:tcW w:w="10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98-1437430</w:t>
            </w:r>
          </w:p>
        </w:tc>
      </w:tr>
      <w:tr>
        <w:trPr/>
        <w:tc>
          <w:tcPr>
            <w:tcW w:w="2146" w:type="dxa"/>
            <w:tcBorders/>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incorporation or organization)</w:t>
            </w:r>
          </w:p>
        </w:tc>
        <w:tc>
          <w:tcPr>
            <w:tcW w:w="1051" w:type="dxa"/>
            <w:tcBorders/>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identification no.)</w:t>
            </w:r>
          </w:p>
        </w:tc>
      </w:tr>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325 West Huron Street,</w:t>
            </w:r>
          </w:p>
          <w:p>
            <w:pPr>
              <w:pStyle w:val="TableContents"/>
              <w:bidi w:val="0"/>
              <w:spacing w:before="0" w:after="20"/>
              <w:jc w:val="center"/>
              <w:rPr>
                <w:rFonts w:ascii="Times New Roman" w:hAnsi="Times New Roman"/>
                <w:sz w:val="20"/>
              </w:rPr>
            </w:pPr>
            <w:r>
              <w:rPr>
                <w:rFonts w:ascii="Times New Roman" w:hAnsi="Times New Roman"/>
                <w:b/>
                <w:color w:val="000000"/>
                <w:sz w:val="16"/>
              </w:rPr>
              <w:t>Suite 700</w:t>
            </w:r>
            <w:r>
              <w:rPr>
                <w:rFonts w:ascii="Times New Roman" w:hAnsi="Times New Roman"/>
                <w:color w:val="000000"/>
                <w:sz w:val="20"/>
              </w:rPr>
              <w:t xml:space="preserve"> </w:t>
            </w:r>
            <w:r>
              <w:rPr>
                <w:rFonts w:ascii="Times New Roman" w:hAnsi="Times New Roman"/>
                <w:b/>
                <w:color w:val="000000"/>
                <w:sz w:val="16"/>
              </w:rPr>
              <w:t>Chicago, Illinois</w:t>
            </w:r>
          </w:p>
        </w:tc>
        <w:tc>
          <w:tcPr>
            <w:tcW w:w="10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60654</w:t>
            </w:r>
          </w:p>
        </w:tc>
      </w:tr>
      <w:tr>
        <w:trPr/>
        <w:tc>
          <w:tcPr>
            <w:tcW w:w="2146" w:type="dxa"/>
            <w:tcBorders/>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51" w:type="dxa"/>
            <w:tcBorders/>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00" w:after="283"/>
        <w:jc w:val="center"/>
        <w:rPr>
          <w:rFonts w:ascii="Times New Roman" w:hAnsi="Times New Roman"/>
          <w:sz w:val="20"/>
        </w:rPr>
      </w:pPr>
      <w:r>
        <w:rPr>
          <w:rFonts w:ascii="Times New Roman" w:hAnsi="Times New Roman"/>
          <w:b/>
          <w:color w:val="000000"/>
          <w:sz w:val="16"/>
        </w:rPr>
        <w:t>Registrant’s telephone number, including area code - (312) 471-6720</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Subordinate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Multiple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Super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2"/>
        </w:rPr>
        <w:t>(Title of each Class)</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Indicate by check mark if the registrant is a well-known seasoned issuer, as defined in Rule 405 of the Securities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Indicate by check mark if the registrant is not required to file reports pursuant to Section 13 or Section 15(d) of the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w:t>
      </w:r>
      <w:r>
        <w:rPr>
          <w:rFonts w:ascii="Times New Roman" w:hAnsi="Times New Roman"/>
          <w:color w:val="000000"/>
          <w:sz w:val="20"/>
        </w:rPr>
        <w:t xml:space="preserve"> ☒ </w:t>
      </w:r>
      <w:r>
        <w:rPr>
          <w:rFonts w:ascii="Times New Roman" w:hAnsi="Times New Roman"/>
          <w:b w:val="false"/>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rFonts w:ascii="Times New Roman" w:hAnsi="Times New Roman"/>
          <w:sz w:val="20"/>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b w:val="false"/>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val="false"/>
          <w:color w:val="000000"/>
          <w:sz w:val="16"/>
        </w:rPr>
        <w:t>As of November 1, 2023, there were</w:t>
      </w:r>
      <w:r>
        <w:rPr>
          <w:rFonts w:ascii="Times New Roman" w:hAnsi="Times New Roman"/>
          <w:color w:val="000000"/>
          <w:sz w:val="20"/>
        </w:rPr>
        <w:t xml:space="preserve"> </w:t>
      </w:r>
      <w:r>
        <w:rPr>
          <w:rFonts w:ascii="Times New Roman" w:hAnsi="Times New Roman"/>
          <w:b w:val="false"/>
          <w:color w:val="000000"/>
          <w:sz w:val="16"/>
        </w:rPr>
        <w:t>210,095,615</w:t>
      </w:r>
      <w:r>
        <w:rPr>
          <w:rFonts w:ascii="Times New Roman" w:hAnsi="Times New Roman"/>
          <w:color w:val="000000"/>
          <w:sz w:val="20"/>
        </w:rPr>
        <w:t xml:space="preserve"> </w:t>
      </w:r>
      <w:r>
        <w:rPr>
          <w:rFonts w:ascii="Times New Roman" w:hAnsi="Times New Roman"/>
          <w:b w:val="false"/>
          <w:color w:val="000000"/>
          <w:sz w:val="16"/>
        </w:rPr>
        <w:t>of the registrant’s Subordinate Voting</w:t>
      </w:r>
      <w:r>
        <w:rPr>
          <w:rFonts w:ascii="Times New Roman" w:hAnsi="Times New Roman"/>
          <w:color w:val="000000"/>
          <w:sz w:val="20"/>
        </w:rPr>
        <w:t xml:space="preserve"> </w:t>
      </w:r>
      <w:r>
        <w:rPr>
          <w:rFonts w:ascii="Times New Roman" w:hAnsi="Times New Roman"/>
          <w:b w:val="false"/>
          <w:color w:val="000000"/>
          <w:sz w:val="16"/>
        </w:rPr>
        <w:t>Shares, 38,531</w:t>
      </w:r>
      <w:r>
        <w:rPr>
          <w:rFonts w:ascii="Times New Roman" w:hAnsi="Times New Roman"/>
          <w:color w:val="000000"/>
          <w:sz w:val="20"/>
        </w:rPr>
        <w:t xml:space="preserve"> </w:t>
      </w:r>
      <w:r>
        <w:rPr>
          <w:rFonts w:ascii="Times New Roman" w:hAnsi="Times New Roman"/>
          <w:b w:val="false"/>
          <w:color w:val="000000"/>
          <w:sz w:val="16"/>
        </w:rPr>
        <w:t>of the registrant’s Multiple Voting Shares and 226,690</w:t>
      </w:r>
      <w:r>
        <w:rPr>
          <w:rFonts w:ascii="Times New Roman" w:hAnsi="Times New Roman"/>
          <w:color w:val="000000"/>
          <w:sz w:val="20"/>
        </w:rPr>
        <w:t xml:space="preserve"> </w:t>
      </w:r>
      <w:r>
        <w:rPr>
          <w:rFonts w:ascii="Times New Roman" w:hAnsi="Times New Roman"/>
          <w:b w:val="false"/>
          <w:color w:val="000000"/>
          <w:sz w:val="16"/>
        </w:rPr>
        <w:t>of the registrant’s Super Voting Shares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46"/>
        <w:gridCol w:w="8157"/>
        <w:gridCol w:w="602"/>
      </w:tblGrid>
      <w:tr>
        <w:trPr/>
        <w:tc>
          <w:tcPr>
            <w:tcW w:w="1446" w:type="dxa"/>
            <w:tcBorders/>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9603" w:type="dxa"/>
            <w:gridSpan w:val="2"/>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FINANCIAL</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INFORMATION</w:t>
            </w:r>
          </w:p>
        </w:tc>
        <w:tc>
          <w:tcPr>
            <w:tcW w:w="6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46" w:type="dxa"/>
            <w:tcBorders/>
            <w:vAlign w:val="center"/>
          </w:tcPr>
          <w:p>
            <w:pPr>
              <w:pStyle w:val="TableContents"/>
              <w:pBdr/>
              <w:bidi w:val="0"/>
              <w:spacing w:before="0" w:after="283"/>
              <w:ind w:left="0" w:right="0" w:hanging="240"/>
              <w:jc w:val="left"/>
              <w:rPr/>
            </w:pPr>
            <w:hyperlink w:anchor="balance_sheets">
              <w:r>
                <w:rPr>
                  <w:rStyle w:val="InternetLink"/>
                  <w:rFonts w:ascii="Times New Roman" w:hAnsi="Times New Roman"/>
                  <w:b/>
                  <w:color w:val="0000FF"/>
                  <w:sz w:val="20"/>
                  <w:u w:val="single"/>
                </w:rPr>
                <w:t>ITEM 1:</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Unaudited Interim Condensed Consolidated Balance Sheets as of September 30, 2023 and December 31, 2022</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4</w:t>
            </w:r>
          </w:p>
        </w:tc>
      </w:tr>
      <w:tr>
        <w:trPr/>
        <w:tc>
          <w:tcPr>
            <w:tcW w:w="1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Unaudited Interim Condensed Consolidated Statements of Operations for the three and nine months ended September 30, 2023 and 2022</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5</w:t>
            </w:r>
          </w:p>
        </w:tc>
      </w:tr>
      <w:tr>
        <w:trPr/>
        <w:tc>
          <w:tcPr>
            <w:tcW w:w="1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Unaudited Interim Condensed Consolidated Statements of Changes in Shareholders’ Equity for the three and nine months ended September 30, 2023 and 2022</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6</w:t>
            </w:r>
          </w:p>
        </w:tc>
      </w:tr>
      <w:tr>
        <w:trPr/>
        <w:tc>
          <w:tcPr>
            <w:tcW w:w="1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Unaudited Interim Condensed Consolidated Statements of Cash Flows for the nine months ended September 30, 2023 and 2022</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w:t>
            </w:r>
          </w:p>
        </w:tc>
      </w:tr>
      <w:tr>
        <w:trPr/>
        <w:tc>
          <w:tcPr>
            <w:tcW w:w="1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to Unaudited Interim Condensed Consolidated Financial Statements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10</w:t>
            </w:r>
          </w:p>
        </w:tc>
      </w:tr>
      <w:tr>
        <w:trPr/>
        <w:tc>
          <w:tcPr>
            <w:tcW w:w="1446" w:type="dxa"/>
            <w:tcBorders/>
            <w:vAlign w:val="center"/>
          </w:tcPr>
          <w:p>
            <w:pPr>
              <w:pStyle w:val="TableContents"/>
              <w:pBdr/>
              <w:bidi w:val="0"/>
              <w:spacing w:before="0" w:after="283"/>
              <w:ind w:left="0" w:right="0" w:hanging="240"/>
              <w:jc w:val="left"/>
              <w:rPr/>
            </w:pPr>
            <w:hyperlink w:anchor="item2_mda">
              <w:r>
                <w:rPr>
                  <w:rStyle w:val="InternetLink"/>
                  <w:rFonts w:ascii="Times New Roman" w:hAnsi="Times New Roman"/>
                  <w:b/>
                  <w:color w:val="0000FF"/>
                  <w:sz w:val="20"/>
                  <w:u w:val="single"/>
                </w:rPr>
                <w:t>ITEM 2:</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Management’s Discussion and Analysis of Financial Condition and Results of Operations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28</w:t>
            </w:r>
          </w:p>
        </w:tc>
      </w:tr>
      <w:tr>
        <w:trPr/>
        <w:tc>
          <w:tcPr>
            <w:tcW w:w="1446" w:type="dxa"/>
            <w:tcBorders/>
            <w:vAlign w:val="center"/>
          </w:tcPr>
          <w:p>
            <w:pPr>
              <w:pStyle w:val="TableContents"/>
              <w:pBdr/>
              <w:bidi w:val="0"/>
              <w:spacing w:before="0" w:after="283"/>
              <w:ind w:left="0" w:right="0" w:hanging="240"/>
              <w:jc w:val="left"/>
              <w:rPr/>
            </w:pPr>
            <w:hyperlink w:anchor="quant_and_qual_disclosure_market_risk">
              <w:r>
                <w:rPr>
                  <w:rStyle w:val="InternetLink"/>
                  <w:rFonts w:ascii="Times New Roman" w:hAnsi="Times New Roman"/>
                  <w:b/>
                  <w:color w:val="0000FF"/>
                  <w:sz w:val="20"/>
                  <w:u w:val="single"/>
                </w:rPr>
                <w:t>ITEM 3:</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Quantitative and Qualitative Disclosure About Market Risk</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36</w:t>
            </w:r>
          </w:p>
        </w:tc>
      </w:tr>
      <w:tr>
        <w:trPr/>
        <w:tc>
          <w:tcPr>
            <w:tcW w:w="1446" w:type="dxa"/>
            <w:tcBorders/>
            <w:vAlign w:val="center"/>
          </w:tcPr>
          <w:p>
            <w:pPr>
              <w:pStyle w:val="TableContents"/>
              <w:pBdr/>
              <w:bidi w:val="0"/>
              <w:spacing w:before="0" w:after="283"/>
              <w:ind w:left="0" w:right="0" w:hanging="240"/>
              <w:jc w:val="left"/>
              <w:rPr/>
            </w:pPr>
            <w:hyperlink w:anchor="controls_and_procedures">
              <w:r>
                <w:rPr>
                  <w:rStyle w:val="InternetLink"/>
                  <w:rFonts w:ascii="Times New Roman" w:hAnsi="Times New Roman"/>
                  <w:b/>
                  <w:color w:val="0000FF"/>
                  <w:sz w:val="20"/>
                  <w:u w:val="single"/>
                </w:rPr>
                <w:t>ITEM 4:</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Controls and Procedures</w:t>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36</w:t>
            </w:r>
          </w:p>
        </w:tc>
      </w:tr>
      <w:tr>
        <w:trPr/>
        <w:tc>
          <w:tcPr>
            <w:tcW w:w="1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46" w:type="dxa"/>
            <w:tcBorders/>
            <w:vAlign w:val="center"/>
          </w:tcPr>
          <w:p>
            <w:pPr>
              <w:pStyle w:val="TableContents"/>
              <w:pBdr/>
              <w:bidi w:val="0"/>
              <w:ind w:left="0" w:right="0" w:hanging="240"/>
              <w:jc w:val="left"/>
              <w:rPr>
                <w:rFonts w:ascii="Times New Roman" w:hAnsi="Times New Roman"/>
                <w:b/>
                <w:color w:val="000000"/>
                <w:sz w:val="20"/>
              </w:rPr>
            </w:pPr>
            <w:r>
              <w:rPr>
                <w:rFonts w:ascii="Times New Roman" w:hAnsi="Times New Roman"/>
                <w:b/>
                <w:color w:val="000000"/>
                <w:sz w:val="20"/>
              </w:rPr>
              <w:t>OTHER</w:t>
            </w:r>
          </w:p>
          <w:p>
            <w:pPr>
              <w:pStyle w:val="TableContents"/>
              <w:pBdr/>
              <w:bidi w:val="0"/>
              <w:spacing w:before="0" w:after="20"/>
              <w:ind w:left="0" w:right="0" w:hanging="240"/>
              <w:jc w:val="left"/>
              <w:rPr>
                <w:rFonts w:ascii="Times New Roman" w:hAnsi="Times New Roman"/>
                <w:b/>
                <w:color w:val="000000"/>
                <w:sz w:val="20"/>
              </w:rPr>
            </w:pPr>
            <w:r>
              <w:rPr>
                <w:rFonts w:ascii="Times New Roman" w:hAnsi="Times New Roman"/>
                <w:b/>
                <w:color w:val="000000"/>
                <w:sz w:val="20"/>
              </w:rPr>
              <w:t>INFORMATION</w:t>
            </w:r>
          </w:p>
        </w:tc>
        <w:tc>
          <w:tcPr>
            <w:tcW w:w="8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446" w:type="dxa"/>
            <w:tcBorders/>
            <w:vAlign w:val="center"/>
          </w:tcPr>
          <w:p>
            <w:pPr>
              <w:pStyle w:val="TableContents"/>
              <w:pBdr/>
              <w:bidi w:val="0"/>
              <w:spacing w:before="0" w:after="283"/>
              <w:ind w:left="0" w:right="0" w:hanging="240"/>
              <w:jc w:val="left"/>
              <w:rPr/>
            </w:pPr>
            <w:hyperlink w:anchor="partii_item1_legal_proceedings">
              <w:r>
                <w:rPr>
                  <w:rStyle w:val="InternetLink"/>
                  <w:rFonts w:ascii="Times New Roman" w:hAnsi="Times New Roman"/>
                  <w:b/>
                  <w:color w:val="0000FF"/>
                  <w:sz w:val="20"/>
                  <w:u w:val="single"/>
                </w:rPr>
                <w:t>ITEM 1:</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Proceedings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37</w:t>
            </w:r>
          </w:p>
        </w:tc>
      </w:tr>
      <w:tr>
        <w:trPr/>
        <w:tc>
          <w:tcPr>
            <w:tcW w:w="1446" w:type="dxa"/>
            <w:tcBorders/>
            <w:vAlign w:val="center"/>
          </w:tcPr>
          <w:p>
            <w:pPr>
              <w:pStyle w:val="TableContents"/>
              <w:pBdr/>
              <w:bidi w:val="0"/>
              <w:spacing w:before="0" w:after="283"/>
              <w:ind w:left="0" w:right="0" w:hanging="240"/>
              <w:jc w:val="left"/>
              <w:rPr/>
            </w:pPr>
            <w:hyperlink w:anchor="partii_item1a_risk_factors">
              <w:r>
                <w:rPr>
                  <w:rStyle w:val="InternetLink"/>
                  <w:rFonts w:ascii="Times New Roman" w:hAnsi="Times New Roman"/>
                  <w:b/>
                  <w:color w:val="0000FF"/>
                  <w:sz w:val="20"/>
                  <w:u w:val="single"/>
                </w:rPr>
                <w:t>ITEM 1a:</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 Factors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37</w:t>
            </w:r>
          </w:p>
        </w:tc>
      </w:tr>
      <w:tr>
        <w:trPr/>
        <w:tc>
          <w:tcPr>
            <w:tcW w:w="1446" w:type="dxa"/>
            <w:tcBorders/>
            <w:vAlign w:val="center"/>
          </w:tcPr>
          <w:p>
            <w:pPr>
              <w:pStyle w:val="TableContents"/>
              <w:pBdr/>
              <w:bidi w:val="0"/>
              <w:spacing w:before="0" w:after="283"/>
              <w:ind w:left="0" w:right="0" w:hanging="240"/>
              <w:jc w:val="left"/>
              <w:rPr/>
            </w:pPr>
            <w:hyperlink w:anchor="partii_item2_sale_of_unregistered_securi">
              <w:r>
                <w:rPr>
                  <w:rStyle w:val="InternetLink"/>
                  <w:rFonts w:ascii="Times New Roman" w:hAnsi="Times New Roman"/>
                  <w:b/>
                  <w:color w:val="0000FF"/>
                  <w:sz w:val="20"/>
                  <w:u w:val="single"/>
                </w:rPr>
                <w:t>ITEM 2:</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 of Unregistered Securities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37</w:t>
            </w:r>
          </w:p>
        </w:tc>
      </w:tr>
      <w:tr>
        <w:trPr/>
        <w:tc>
          <w:tcPr>
            <w:tcW w:w="1446" w:type="dxa"/>
            <w:tcBorders/>
            <w:vAlign w:val="center"/>
          </w:tcPr>
          <w:p>
            <w:pPr>
              <w:pStyle w:val="TableContents"/>
              <w:pBdr/>
              <w:bidi w:val="0"/>
              <w:spacing w:before="0" w:after="283"/>
              <w:ind w:left="0" w:right="0" w:hanging="240"/>
              <w:jc w:val="left"/>
              <w:rPr/>
            </w:pPr>
            <w:hyperlink w:anchor="partii_item3_defaults_upon_senior_securi">
              <w:r>
                <w:rPr>
                  <w:rStyle w:val="InternetLink"/>
                  <w:rFonts w:ascii="Times New Roman" w:hAnsi="Times New Roman"/>
                  <w:b/>
                  <w:color w:val="0000FF"/>
                  <w:sz w:val="20"/>
                  <w:u w:val="single"/>
                </w:rPr>
                <w:t>ITEM 3:</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Defaults Upon Senior Securities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37</w:t>
            </w:r>
          </w:p>
        </w:tc>
      </w:tr>
      <w:tr>
        <w:trPr/>
        <w:tc>
          <w:tcPr>
            <w:tcW w:w="1446" w:type="dxa"/>
            <w:tcBorders/>
            <w:vAlign w:val="center"/>
          </w:tcPr>
          <w:p>
            <w:pPr>
              <w:pStyle w:val="TableContents"/>
              <w:pBdr/>
              <w:bidi w:val="0"/>
              <w:spacing w:before="0" w:after="283"/>
              <w:ind w:left="0" w:right="0" w:hanging="240"/>
              <w:jc w:val="left"/>
              <w:rPr/>
            </w:pPr>
            <w:hyperlink w:anchor="partii_item4_mine_safety_disclosure">
              <w:r>
                <w:rPr>
                  <w:rStyle w:val="InternetLink"/>
                  <w:rFonts w:ascii="Times New Roman" w:hAnsi="Times New Roman"/>
                  <w:b/>
                  <w:color w:val="0000FF"/>
                  <w:sz w:val="20"/>
                  <w:u w:val="single"/>
                </w:rPr>
                <w:t>ITEM 4:</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Mine Safety Disclosure</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37</w:t>
            </w:r>
          </w:p>
        </w:tc>
      </w:tr>
      <w:tr>
        <w:trPr/>
        <w:tc>
          <w:tcPr>
            <w:tcW w:w="1446" w:type="dxa"/>
            <w:tcBorders/>
            <w:vAlign w:val="center"/>
          </w:tcPr>
          <w:p>
            <w:pPr>
              <w:pStyle w:val="TableContents"/>
              <w:pBdr/>
              <w:bidi w:val="0"/>
              <w:spacing w:before="0" w:after="283"/>
              <w:ind w:left="0" w:right="0" w:hanging="240"/>
              <w:jc w:val="left"/>
              <w:rPr/>
            </w:pPr>
            <w:hyperlink w:anchor="partii_item5_other_information">
              <w:r>
                <w:rPr>
                  <w:rStyle w:val="InternetLink"/>
                  <w:rFonts w:ascii="Times New Roman" w:hAnsi="Times New Roman"/>
                  <w:b/>
                  <w:color w:val="0000FF"/>
                  <w:sz w:val="20"/>
                  <w:u w:val="single"/>
                </w:rPr>
                <w:t>ITEM 5:</w:t>
              </w:r>
            </w:hyperlink>
          </w:p>
        </w:tc>
        <w:tc>
          <w:tcPr>
            <w:tcW w:w="8157"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Other Information</w:t>
            </w:r>
            <w:r>
              <w:rPr>
                <w:rFonts w:ascii="Times New Roman" w:hAnsi="Times New Roman"/>
                <w:color w:val="000000"/>
                <w:sz w:val="20"/>
              </w:rPr>
              <w:t xml:space="preserve">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37</w:t>
            </w:r>
          </w:p>
        </w:tc>
      </w:tr>
      <w:tr>
        <w:trPr/>
        <w:tc>
          <w:tcPr>
            <w:tcW w:w="1446" w:type="dxa"/>
            <w:tcBorders/>
            <w:vAlign w:val="center"/>
          </w:tcPr>
          <w:p>
            <w:pPr>
              <w:pStyle w:val="TableContents"/>
              <w:pBdr/>
              <w:bidi w:val="0"/>
              <w:spacing w:before="0" w:after="283"/>
              <w:ind w:left="0" w:right="0" w:hanging="240"/>
              <w:jc w:val="left"/>
              <w:rPr/>
            </w:pPr>
            <w:hyperlink w:anchor="partii_item6_exhibits">
              <w:r>
                <w:rPr>
                  <w:rStyle w:val="InternetLink"/>
                  <w:rFonts w:ascii="Times New Roman" w:hAnsi="Times New Roman"/>
                  <w:b/>
                  <w:color w:val="0000FF"/>
                  <w:sz w:val="20"/>
                  <w:u w:val="single"/>
                </w:rPr>
                <w:t>ITEM 6:</w:t>
              </w:r>
            </w:hyperlink>
          </w:p>
        </w:tc>
        <w:tc>
          <w:tcPr>
            <w:tcW w:w="81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Exhibits</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b w:val="false"/>
                <w:color w:val="000000"/>
                <w:sz w:val="20"/>
              </w:rPr>
            </w:pPr>
            <w:r>
              <w:rPr>
                <w:rFonts w:ascii="Times New Roman" w:hAnsi="Times New Roman"/>
                <w:b w:val="false"/>
                <w:color w:val="000000"/>
                <w:sz w:val="20"/>
              </w:rPr>
              <w:t>38</w:t>
            </w:r>
          </w:p>
        </w:tc>
      </w:tr>
      <w:tr>
        <w:trPr/>
        <w:tc>
          <w:tcPr>
            <w:tcW w:w="1446"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b/>
                  <w:color w:val="0000FF"/>
                  <w:sz w:val="20"/>
                  <w:u w:val="single"/>
                </w:rPr>
                <w:t>Signatures</w:t>
              </w:r>
            </w:hyperlink>
          </w:p>
        </w:tc>
        <w:tc>
          <w:tcPr>
            <w:tcW w:w="8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Use of Names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this Quarterly Report on Form 10-Q, unless the context otherwise requires, the terms “we,” “us,” “our,” “Company,” “Corporation” or “Green Thumb” refer to Green Thumb Industries Inc. together with its wholly-owned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Unless otherwise indicated, all references to “$” or “US$” in this document refer to United States dollars, and all references to “C$” refer to Canadian dollars.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Disclosure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unregulated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the Company carries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relies on third party software providers for numerous capabilities that it depends upon to operate, and a disruption of one or more systems could adversely affect the business; the Company faces risks related to its information technology systems and potential cyber-attacks and security breaches;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and issuances of substantial amounts of Super Voting Shares, Multiple Voting Shares or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2022, and elsewhere in the Company’s filings with the SEC, which are available on the SEC’s website or at </w:t>
      </w:r>
      <w:r>
        <w:rPr>
          <w:rFonts w:ascii="Times New Roman" w:hAnsi="Times New Roman"/>
          <w:b w:val="false"/>
          <w:i/>
          <w:color w:val="000000"/>
          <w:sz w:val="20"/>
          <w:u w:val="single"/>
        </w:rPr>
        <w:t>https://investors.gtigrows.com</w:t>
      </w:r>
      <w:r>
        <w:rPr>
          <w:rFonts w:ascii="Times New Roman" w:hAnsi="Times New Roman"/>
          <w:b w:val="false"/>
          <w:i/>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balance_sheets"/>
      <w:bookmarkEnd w:id="3"/>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As of September 30, 2023 and December 31, 2022</w:t>
      </w:r>
      <w:r>
        <w:rPr>
          <w:rFonts w:ascii="Times New Roman" w:hAnsi="Times New Roman"/>
          <w:color w:val="000000"/>
          <w:sz w:val="20"/>
        </w:rPr>
        <w:t xml:space="preserve">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040" w:type="dxa"/>
        <w:jc w:val="left"/>
        <w:tblInd w:w="0" w:type="dxa"/>
        <w:tblLayout w:type="fixed"/>
        <w:tblCellMar>
          <w:top w:w="28" w:type="dxa"/>
          <w:left w:w="28" w:type="dxa"/>
          <w:bottom w:w="28" w:type="dxa"/>
          <w:right w:w="28" w:type="dxa"/>
        </w:tblCellMar>
      </w:tblPr>
      <w:tblGrid>
        <w:gridCol w:w="6736"/>
        <w:gridCol w:w="146"/>
        <w:gridCol w:w="218"/>
        <w:gridCol w:w="922"/>
        <w:gridCol w:w="166"/>
        <w:gridCol w:w="146"/>
        <w:gridCol w:w="210"/>
        <w:gridCol w:w="885"/>
        <w:gridCol w:w="6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val="false"/>
                <w:i/>
                <w:color w:val="000000"/>
                <w:sz w:val="16"/>
              </w:rPr>
            </w:pPr>
            <w:r>
              <w:rPr>
                <w:rFonts w:ascii="Times New Roman" w:hAnsi="Times New Roman"/>
                <w:b w:val="false"/>
                <w:i/>
                <w:color w:val="000000"/>
                <w:sz w:val="16"/>
              </w:rPr>
              <w:t>(Audited)</w:t>
            </w:r>
          </w:p>
        </w:tc>
        <w:tc>
          <w:tcPr>
            <w:tcW w:w="611" w:type="dxa"/>
            <w:tcBorders/>
            <w:shd w:fill="FFFFFF" w:val="clear"/>
            <w:vAlign w:val="center"/>
          </w:tcPr>
          <w:p>
            <w:pPr>
              <w:pStyle w:val="TableContents"/>
              <w:bidi w:val="0"/>
              <w:spacing w:before="0" w:after="283"/>
              <w:jc w:val="center"/>
              <w:rPr/>
            </w:pPr>
            <w:r>
              <w:rPr/>
              <w:t> </w:t>
            </w:r>
          </w:p>
        </w:tc>
      </w:tr>
      <w:tr>
        <w:trPr/>
        <w:tc>
          <w:tcPr>
            <w:tcW w:w="6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Cash and Cash Equivalents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136,842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177,682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Accounts Receivable,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38,648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30,975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Income Tax Receivable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7,473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Inventories,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118,545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115,675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Prepaid Expenses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13,364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Other 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6,182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7"/>
              </w:rPr>
            </w:pPr>
            <w:r>
              <w:rPr>
                <w:rFonts w:ascii="Times New Roman" w:hAnsi="Times New Roman"/>
                <w:b/>
                <w:color w:val="000000"/>
                <w:sz w:val="17"/>
              </w:rPr>
              <w:t>Total 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320,181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351,351</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692,667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557,873</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Right of Use Assets, Net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240,036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242,357</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Investments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77,335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74,169</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Investments in Associates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25,508</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Intangible Assets,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551,422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589,519</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Goodwill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589,691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589,691</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Deposits and Other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2,499,212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2,433,528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Current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Accounts Payable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22,507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18,423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Accrued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86,469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86,971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Compensation Payable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13,476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Current Portion of Notes Payable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1,037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10,906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Contingent Consideration Payable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11,400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Income Tax Payable</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4,358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7"/>
              </w:rPr>
            </w:pPr>
            <w:r>
              <w:rPr>
                <w:rFonts w:ascii="Times New Roman" w:hAnsi="Times New Roman"/>
                <w:b/>
                <w:color w:val="000000"/>
                <w:sz w:val="17"/>
              </w:rPr>
              <w:t>Total 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149,882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146,571</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Long-Term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250,017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249,281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Notes Payable, Net of Current Portion and Debt Discount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297,075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274,631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Contingent Consideration Payable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32,789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30,543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Warrant Liability</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4,520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Deferred Income Taxes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62,550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792,313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768,096</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SHAREHOLDERS'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Subordinate Voting Shares (Shares Authorized, Issued and Outstanding at September 30, 2023:</w:t>
              <w:br/>
              <w:t>   Unlimited, 210,042,431, and 210,042,431, respectively, at December 31, 2022:</w:t>
              <w:br/>
              <w:t>   Unlimited, 206,991,275, and 206,991,275, respectively)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7"/>
              </w:rPr>
              <w:t>Multiple Voting Shares (Shares Authorized, Issued and Outstanding at September 30, 2023:</w:t>
              <w:br/>
              <w:t>   Unlimited, 38,531</w:t>
            </w:r>
            <w:r>
              <w:rPr>
                <w:rFonts w:ascii="Times New Roman" w:hAnsi="Times New Roman"/>
                <w:color w:val="000000"/>
                <w:sz w:val="20"/>
              </w:rPr>
              <w:t> </w:t>
            </w:r>
            <w:r>
              <w:rPr>
                <w:rFonts w:ascii="Times New Roman" w:hAnsi="Times New Roman"/>
                <w:b w:val="false"/>
                <w:color w:val="000000"/>
                <w:sz w:val="17"/>
              </w:rPr>
              <w:t>and 38,531, respectively, at December 31, 2022:</w:t>
              <w:br/>
              <w:t>   Unlimited, 38,531</w:t>
            </w:r>
            <w:r>
              <w:rPr>
                <w:rFonts w:ascii="Times New Roman" w:hAnsi="Times New Roman"/>
                <w:color w:val="000000"/>
                <w:sz w:val="20"/>
              </w:rPr>
              <w:t> </w:t>
            </w:r>
            <w:r>
              <w:rPr>
                <w:rFonts w:ascii="Times New Roman" w:hAnsi="Times New Roman"/>
                <w:b w:val="false"/>
                <w:color w:val="000000"/>
                <w:sz w:val="17"/>
              </w:rPr>
              <w:t>and 38,531, respectively)</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7"/>
              </w:rPr>
              <w:t>Super Voting Shares (Shares Authorized, Issued and Outstanding at September 30, 2023:</w:t>
              <w:br/>
              <w:t>   Unlimited, 226,690</w:t>
            </w:r>
            <w:r>
              <w:rPr>
                <w:rFonts w:ascii="Times New Roman" w:hAnsi="Times New Roman"/>
                <w:color w:val="000000"/>
                <w:sz w:val="20"/>
              </w:rPr>
              <w:t> </w:t>
            </w:r>
            <w:r>
              <w:rPr>
                <w:rFonts w:ascii="Times New Roman" w:hAnsi="Times New Roman"/>
                <w:b w:val="false"/>
                <w:color w:val="000000"/>
                <w:sz w:val="17"/>
              </w:rPr>
              <w:t>and 226,690, respectively, at December 31, 2022:</w:t>
              <w:br/>
              <w:t>   Unlimited, 251,690</w:t>
            </w:r>
            <w:r>
              <w:rPr>
                <w:rFonts w:ascii="Times New Roman" w:hAnsi="Times New Roman"/>
                <w:color w:val="000000"/>
                <w:sz w:val="20"/>
              </w:rPr>
              <w:t> </w:t>
            </w:r>
            <w:r>
              <w:rPr>
                <w:rFonts w:ascii="Times New Roman" w:hAnsi="Times New Roman"/>
                <w:b w:val="false"/>
                <w:color w:val="000000"/>
                <w:sz w:val="17"/>
              </w:rPr>
              <w:t>and 251,690, respectively)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Share Capital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1,702,344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1,663,557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Contributed Surplus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16,052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23,233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Deferred Share Issuances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12,973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36,211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7"/>
              </w:rPr>
            </w:pPr>
            <w:r>
              <w:rPr>
                <w:rFonts w:ascii="Times New Roman" w:hAnsi="Times New Roman"/>
                <w:b w:val="false"/>
                <w:color w:val="000000"/>
                <w:sz w:val="17"/>
              </w:rPr>
              <w:t>Accumulated Deficit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(25,034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(58,085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7"/>
              </w:rPr>
            </w:pPr>
            <w:r>
              <w:rPr>
                <w:rFonts w:ascii="Times New Roman" w:hAnsi="Times New Roman"/>
                <w:b w:val="false"/>
                <w:color w:val="000000"/>
                <w:sz w:val="17"/>
              </w:rPr>
              <w:t>)</w:t>
            </w:r>
          </w:p>
        </w:tc>
      </w:tr>
      <w:tr>
        <w:trPr/>
        <w:tc>
          <w:tcPr>
            <w:tcW w:w="673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Equity of Green Thumb Industries Inc.</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1,706,335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1,664,916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7"/>
              </w:rPr>
            </w:pPr>
            <w:r>
              <w:rPr>
                <w:rFonts w:ascii="Times New Roman" w:hAnsi="Times New Roman"/>
                <w:b w:val="false"/>
                <w:color w:val="000000"/>
                <w:sz w:val="17"/>
              </w:rPr>
              <w:t>Noncontrolling interests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516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SHAREHOLDERS' EQUITY</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1,706,899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1,665,432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2,499,212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7"/>
              </w:rPr>
            </w:pPr>
            <w:r>
              <w:rPr>
                <w:rFonts w:ascii="Times New Roman" w:hAnsi="Times New Roman"/>
                <w:b w:val="false"/>
                <w:color w:val="000000"/>
                <w:sz w:val="17"/>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2,433,528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sz w:val="20"/>
        </w:rPr>
      </w:pPr>
      <w:r>
        <w:rPr>
          <w:rFonts w:ascii="Times New Roman" w:hAnsi="Times New Roman"/>
          <w:b w:val="false"/>
          <w:color w:val="000000"/>
          <w:sz w:val="20"/>
        </w:rPr>
        <w:t>The accompanying notes are an integral part of these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statement_of_operations"/>
      <w:bookmarkEnd w:id="4"/>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Nine Months Ended September 30, 2023 and 2022</w:t>
      </w:r>
      <w:r>
        <w:rPr>
          <w:rFonts w:ascii="Times New Roman" w:hAnsi="Times New Roman"/>
          <w:color w:val="000000"/>
          <w:sz w:val="20"/>
        </w:rPr>
        <w:t xml:space="preserve">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(Amounts Expressed in United States Dollars, Except Share Amounts)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6"/>
        <w:gridCol w:w="211"/>
        <w:gridCol w:w="148"/>
        <w:gridCol w:w="1159"/>
        <w:gridCol w:w="168"/>
        <w:gridCol w:w="214"/>
        <w:gridCol w:w="148"/>
        <w:gridCol w:w="1159"/>
        <w:gridCol w:w="166"/>
        <w:gridCol w:w="146"/>
        <w:gridCol w:w="211"/>
        <w:gridCol w:w="146"/>
        <w:gridCol w:w="1146"/>
        <w:gridCol w:w="166"/>
        <w:gridCol w:w="211"/>
        <w:gridCol w:w="146"/>
        <w:gridCol w:w="1146"/>
        <w:gridCol w:w="618"/>
      </w:tblGrid>
      <w:tr>
        <w:trPr/>
        <w:tc>
          <w:tcPr>
            <w:tcW w:w="2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 Net of Discounts</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275,398</w:t>
            </w:r>
          </w:p>
        </w:tc>
        <w:tc>
          <w:tcPr>
            <w:tcW w:w="16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776,322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758,105</w:t>
            </w:r>
          </w:p>
        </w:tc>
        <w:tc>
          <w:tcPr>
            <w:tcW w:w="618"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Goods Sold, Net</w:t>
            </w:r>
          </w:p>
        </w:tc>
        <w:tc>
          <w:tcPr>
            <w:tcW w:w="211"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(141,592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(378,127</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211" w:type="dxa"/>
            <w:tcBorders/>
            <w:shd w:fill="CFF0FC" w:val="cle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133,806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379,978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211" w:type="dxa"/>
            <w:tcBorders/>
            <w:shd w:fill="FFFFFF" w:val="clear"/>
            <w:vAlign w:val="center"/>
          </w:tcPr>
          <w:p>
            <w:pPr>
              <w:pStyle w:val="TableContents"/>
              <w:bidi w:val="0"/>
              <w:spacing w:before="0" w:after="283"/>
              <w:jc w:val="center"/>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92" w:type="dxa"/>
            <w:gridSpan w:val="2"/>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211"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84,779</w:t>
            </w:r>
          </w:p>
        </w:tc>
        <w:tc>
          <w:tcPr>
            <w:tcW w:w="16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249,515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214,402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shd w:fill="FFFFFF" w:val="clear"/>
            <w:vAlign w:val="center"/>
          </w:tcPr>
          <w:p>
            <w:pPr>
              <w:pStyle w:val="TableContents"/>
              <w:bidi w:val="0"/>
              <w:spacing w:before="0" w:after="283"/>
              <w:jc w:val="center"/>
              <w:rPr/>
            </w:pPr>
            <w:r>
              <w:rPr/>
              <w:t> </w:t>
            </w:r>
          </w:p>
        </w:tc>
        <w:tc>
          <w:tcPr>
            <w:tcW w:w="1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84,779</w:t>
            </w:r>
          </w:p>
        </w:tc>
        <w:tc>
          <w:tcPr>
            <w:tcW w:w="1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82,479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249,515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214,402</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49,027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165,576</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211" w:type="dxa"/>
            <w:tcBorders/>
            <w:shd w:fill="FFFFFF" w:val="clear"/>
            <w:vAlign w:val="center"/>
          </w:tcPr>
          <w:p>
            <w:pPr>
              <w:pStyle w:val="TableContents"/>
              <w:bidi w:val="0"/>
              <w:spacing w:before="0" w:after="283"/>
              <w:jc w:val="center"/>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292" w:type="dxa"/>
            <w:gridSpan w:val="2"/>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211"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w:t>
            </w:r>
          </w:p>
        </w:tc>
        <w:tc>
          <w:tcPr>
            <w:tcW w:w="1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14,933</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211"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1,576</w:t>
            </w:r>
          </w:p>
        </w:tc>
        <w:tc>
          <w:tcPr>
            <w:tcW w:w="16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2,609</w:t>
            </w:r>
          </w:p>
        </w:tc>
        <w:tc>
          <w:tcPr>
            <w:tcW w:w="618" w:type="dxa"/>
            <w:tcBorders/>
            <w:shd w:fill="FFFFFF" w:val="clear"/>
            <w:vAlign w:val="center"/>
          </w:tcPr>
          <w:p>
            <w:pPr>
              <w:pStyle w:val="TableContents"/>
              <w:bidi w:val="0"/>
              <w:spacing w:before="0" w:after="283"/>
              <w:ind w:left="0" w:right="0" w:firstLine="200"/>
              <w:jc w:val="left"/>
              <w:rPr/>
            </w:pPr>
            <w:r>
              <w:rPr/>
              <w:t> </w:t>
            </w:r>
          </w:p>
        </w:tc>
      </w:tr>
      <w:tr>
        <w:trPr/>
        <w:tc>
          <w:tcPr>
            <w:tcW w:w="28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211" w:type="dxa"/>
            <w:tcBorders/>
            <w:shd w:fill="CFF0FC" w:val="cle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CFF0FC" w:val="cle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(16,113</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9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Other Income (Expense)</w:t>
            </w:r>
          </w:p>
        </w:tc>
        <w:tc>
          <w:tcPr>
            <w:tcW w:w="211"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4"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1,429</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211"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45,333</w:t>
            </w:r>
          </w:p>
        </w:tc>
        <w:tc>
          <w:tcPr>
            <w:tcW w:w="16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127,829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167,005</w:t>
            </w:r>
          </w:p>
        </w:tc>
        <w:tc>
          <w:tcPr>
            <w:tcW w:w="618"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211"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102,440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211"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10,807</w:t>
            </w:r>
          </w:p>
        </w:tc>
        <w:tc>
          <w:tcPr>
            <w:tcW w:w="16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148"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33,902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64,565</w:t>
            </w:r>
          </w:p>
        </w:tc>
        <w:tc>
          <w:tcPr>
            <w:tcW w:w="618"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w:t>
            </w:r>
          </w:p>
        </w:tc>
        <w:tc>
          <w:tcPr>
            <w:tcW w:w="211"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Green Thumb Industries Inc.</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10,512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63,205</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Basic</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 Diluted</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0.26</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211" w:type="dxa"/>
            <w:tcBorders/>
            <w:shd w:fill="FFFFFF" w:val="clear"/>
            <w:vAlign w:val="center"/>
          </w:tcPr>
          <w:p>
            <w:pPr>
              <w:pStyle w:val="TableContents"/>
              <w:bidi w:val="0"/>
              <w:spacing w:before="0" w:after="283"/>
              <w:jc w:val="center"/>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239,459,783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center"/>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237,002,873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238,248,852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236,546,078</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211" w:type="dxa"/>
            <w:tcBorders/>
            <w:shd w:fill="CFF0FC" w:val="clear"/>
            <w:vAlign w:val="center"/>
          </w:tcPr>
          <w:p>
            <w:pPr>
              <w:pStyle w:val="TableContents"/>
              <w:bidi w:val="0"/>
              <w:spacing w:before="0" w:after="283"/>
              <w:jc w:val="center"/>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240,289,959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237,804,799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239,827,112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237,872,595</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sz w:val="20"/>
        </w:rPr>
      </w:pPr>
      <w:r>
        <w:rPr>
          <w:rFonts w:ascii="Times New Roman" w:hAnsi="Times New Roman"/>
          <w:b w:val="false"/>
          <w:color w:val="000000"/>
          <w:sz w:val="20"/>
        </w:rPr>
        <w:t>The accompanying notes are an integral part of these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statements_of_shareholders_equity"/>
      <w:bookmarkEnd w:id="5"/>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Nine Months Ended September 30, 2023 and 2022</w:t>
      </w:r>
      <w:r>
        <w:rPr>
          <w:rFonts w:ascii="Times New Roman" w:hAnsi="Times New Roman"/>
          <w:color w:val="000000"/>
          <w:sz w:val="20"/>
        </w:rPr>
        <w:t xml:space="preserve">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9"/>
        <w:gridCol w:w="196"/>
        <w:gridCol w:w="146"/>
        <w:gridCol w:w="826"/>
        <w:gridCol w:w="146"/>
        <w:gridCol w:w="196"/>
        <w:gridCol w:w="198"/>
        <w:gridCol w:w="903"/>
        <w:gridCol w:w="166"/>
        <w:gridCol w:w="196"/>
        <w:gridCol w:w="162"/>
        <w:gridCol w:w="674"/>
        <w:gridCol w:w="146"/>
        <w:gridCol w:w="196"/>
        <w:gridCol w:w="210"/>
        <w:gridCol w:w="954"/>
        <w:gridCol w:w="166"/>
        <w:gridCol w:w="196"/>
        <w:gridCol w:w="249"/>
        <w:gridCol w:w="1132"/>
        <w:gridCol w:w="166"/>
        <w:gridCol w:w="196"/>
        <w:gridCol w:w="146"/>
        <w:gridCol w:w="826"/>
        <w:gridCol w:w="214"/>
      </w:tblGrid>
      <w:tr>
        <w:trPr/>
        <w:tc>
          <w:tcPr>
            <w:tcW w:w="1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59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1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July 1, 2022</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1,659,000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9,165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36,262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10"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4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314</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1,688,054</w:t>
            </w:r>
          </w:p>
        </w:tc>
        <w:tc>
          <w:tcPr>
            <w:tcW w:w="214" w:type="dxa"/>
            <w:tcBorders/>
            <w:shd w:fill="CFF0FC" w:val="cle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options and RSUs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1,081</w:t>
            </w:r>
          </w:p>
        </w:tc>
        <w:tc>
          <w:tcPr>
            <w:tcW w:w="214" w:type="dxa"/>
            <w:tcBorders/>
            <w:shd w:fill="FFFFFF" w:val="clear"/>
            <w:vAlign w:val="center"/>
          </w:tcPr>
          <w:p>
            <w:pPr>
              <w:pStyle w:val="TableContents"/>
              <w:bidi w:val="0"/>
              <w:spacing w:before="0" w:after="283"/>
              <w:jc w:val="left"/>
              <w:rPr/>
            </w:pPr>
            <w:r>
              <w:rPr/>
              <w:t> </w:t>
            </w:r>
          </w:p>
        </w:tc>
      </w:tr>
      <w:tr>
        <w:trPr/>
        <w:tc>
          <w:tcPr>
            <w:tcW w:w="15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7,878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6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7,878</w:t>
            </w:r>
          </w:p>
        </w:tc>
        <w:tc>
          <w:tcPr>
            <w:tcW w:w="214" w:type="dxa"/>
            <w:tcBorders/>
            <w:shd w:fill="CFF0FC" w:val="cle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Distributions to third party and limited liability</w:t>
              <w:br/>
              <w:t>   company unit holders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(354</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9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10,148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2022</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1,660,799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1,706,807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2022</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1,633,672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21,245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36,262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10"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(70,063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4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1,619,478</w:t>
            </w:r>
          </w:p>
        </w:tc>
        <w:tc>
          <w:tcPr>
            <w:tcW w:w="214" w:type="dxa"/>
            <w:tcBorders/>
            <w:shd w:fill="CFF0FC" w:val="cle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Noncontrolling interests adjustment for change in ownership</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2,379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15,356</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5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shares under business combinations and investments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6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1,406</w:t>
            </w:r>
          </w:p>
        </w:tc>
        <w:tc>
          <w:tcPr>
            <w:tcW w:w="214" w:type="dxa"/>
            <w:tcBorders/>
            <w:shd w:fill="CFF0FC" w:val="cle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Shares issued as contingent consideration</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13,111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13,111</w:t>
            </w:r>
          </w:p>
        </w:tc>
        <w:tc>
          <w:tcPr>
            <w:tcW w:w="214" w:type="dxa"/>
            <w:tcBorders/>
            <w:shd w:fill="FFFFFF" w:val="clear"/>
            <w:vAlign w:val="center"/>
          </w:tcPr>
          <w:p>
            <w:pPr>
              <w:pStyle w:val="TableContents"/>
              <w:bidi w:val="0"/>
              <w:spacing w:before="0" w:after="283"/>
              <w:jc w:val="left"/>
              <w:rPr/>
            </w:pPr>
            <w:r>
              <w:rPr/>
              <w:t> </w:t>
            </w:r>
          </w:p>
        </w:tc>
      </w:tr>
      <w:tr>
        <w:trPr/>
        <w:tc>
          <w:tcPr>
            <w:tcW w:w="15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options and RSUs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9,327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16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2,684</w:t>
            </w:r>
          </w:p>
        </w:tc>
        <w:tc>
          <w:tcPr>
            <w:tcW w:w="214" w:type="dxa"/>
            <w:tcBorders/>
            <w:shd w:fill="CFF0FC" w:val="cle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19,362</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19,362</w:t>
            </w:r>
          </w:p>
        </w:tc>
        <w:tc>
          <w:tcPr>
            <w:tcW w:w="214" w:type="dxa"/>
            <w:tcBorders/>
            <w:shd w:fill="FFFFFF" w:val="clear"/>
            <w:vAlign w:val="center"/>
          </w:tcPr>
          <w:p>
            <w:pPr>
              <w:pStyle w:val="TableContents"/>
              <w:bidi w:val="0"/>
              <w:spacing w:before="0" w:after="283"/>
              <w:jc w:val="left"/>
              <w:rPr/>
            </w:pPr>
            <w:r>
              <w:rPr/>
              <w:t> </w:t>
            </w:r>
          </w:p>
        </w:tc>
      </w:tr>
      <w:tr>
        <w:trPr/>
        <w:tc>
          <w:tcPr>
            <w:tcW w:w="15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Shares issued for settlement of business obligation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8"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6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w:t>
            </w:r>
          </w:p>
        </w:tc>
        <w:tc>
          <w:tcPr>
            <w:tcW w:w="214" w:type="dxa"/>
            <w:tcBorders/>
            <w:shd w:fill="CFF0FC" w:val="cle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Distributions to limited liability company unit holders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(14,799</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9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9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64,565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2022</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1,660,799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1,706,807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interim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Nine Months Ended September 30, 2023 and 2022</w:t>
      </w:r>
      <w:r>
        <w:rPr>
          <w:rFonts w:ascii="Times New Roman" w:hAnsi="Times New Roman"/>
          <w:color w:val="000000"/>
          <w:sz w:val="20"/>
        </w:rPr>
        <w:t xml:space="preserve">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(Amounts Expressed in United States Dollars)</w:t>
      </w:r>
    </w:p>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4"/>
        <w:gridCol w:w="196"/>
        <w:gridCol w:w="146"/>
        <w:gridCol w:w="826"/>
        <w:gridCol w:w="146"/>
        <w:gridCol w:w="196"/>
        <w:gridCol w:w="196"/>
        <w:gridCol w:w="896"/>
        <w:gridCol w:w="166"/>
        <w:gridCol w:w="196"/>
        <w:gridCol w:w="153"/>
        <w:gridCol w:w="694"/>
        <w:gridCol w:w="166"/>
        <w:gridCol w:w="196"/>
        <w:gridCol w:w="208"/>
        <w:gridCol w:w="947"/>
        <w:gridCol w:w="166"/>
        <w:gridCol w:w="196"/>
        <w:gridCol w:w="346"/>
        <w:gridCol w:w="1035"/>
        <w:gridCol w:w="166"/>
        <w:gridCol w:w="196"/>
        <w:gridCol w:w="146"/>
        <w:gridCol w:w="826"/>
        <w:gridCol w:w="216"/>
      </w:tblGrid>
      <w:tr>
        <w:trPr/>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8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820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July 1, 2023</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1,693,429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34,421</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12,973</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(35,546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539</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1,705,816</w:t>
            </w:r>
          </w:p>
        </w:tc>
        <w:tc>
          <w:tcPr>
            <w:tcW w:w="216"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Distribution of Contingent Consideration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6,454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6,454</w:t>
            </w:r>
          </w:p>
        </w:tc>
        <w:tc>
          <w:tcPr>
            <w:tcW w:w="216"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options and RSUs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2,461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1,767</w:t>
            </w:r>
          </w:p>
        </w:tc>
        <w:tc>
          <w:tcPr>
            <w:tcW w:w="216"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7,215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7,215</w:t>
            </w:r>
          </w:p>
        </w:tc>
        <w:tc>
          <w:tcPr>
            <w:tcW w:w="216"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Distributions to limited liability company unit holders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Repurchase of Subordinate Voting Shares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(24,890</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9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10,807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2023</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1,702,344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1,706,899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2023</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1,663,557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23,233</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36,211</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(58,085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516</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1,665,432</w:t>
            </w:r>
          </w:p>
        </w:tc>
        <w:tc>
          <w:tcPr>
            <w:tcW w:w="216"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deferred shares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Distribution of contingent consideration</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12,524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12,524</w:t>
            </w:r>
          </w:p>
        </w:tc>
        <w:tc>
          <w:tcPr>
            <w:tcW w:w="216"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Indemnification of deferred shares associated with post acquisition costs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(2,784</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options and RSUs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5,809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2,683</w:t>
            </w:r>
          </w:p>
        </w:tc>
        <w:tc>
          <w:tcPr>
            <w:tcW w:w="216" w:type="dxa"/>
            <w:tcBorders/>
            <w:shd w:fill="FFFFFF" w:val="cle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20,835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20,835</w:t>
            </w:r>
          </w:p>
        </w:tc>
        <w:tc>
          <w:tcPr>
            <w:tcW w:w="216" w:type="dxa"/>
            <w:tcBorders/>
            <w:shd w:fill="CFF0FC" w:val="clear"/>
            <w:vAlign w:val="center"/>
          </w:tcPr>
          <w:p>
            <w:pPr>
              <w:pStyle w:val="TableContents"/>
              <w:bidi w:val="0"/>
              <w:spacing w:before="0" w:after="283"/>
              <w:jc w:val="left"/>
              <w:rPr/>
            </w:pPr>
            <w:r>
              <w:rPr/>
              <w:t> </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Distributions to limited liability company unit holders</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(803</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Repurchase of Subordinate Voting Shares</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pPr>
            <w:r>
              <w:rPr/>
              <w:t> </w:t>
            </w:r>
          </w:p>
        </w:tc>
        <w:tc>
          <w:tcPr>
            <w:tcW w:w="153"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20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10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(24,890</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8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9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33,902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September 30, 2023</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1,702,344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1,706,899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interim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statements_of_cash_flows"/>
      <w:bookmarkEnd w:id="6"/>
      <w:r>
        <w:rPr>
          <w:rFonts w:ascii="Times New Roman" w:hAnsi="Times New Roman"/>
          <w:b/>
          <w:color w:val="000000"/>
          <w:sz w:val="17"/>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7"/>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7"/>
        </w:rPr>
        <w:t>Nine Months Ended September 30, 2023 and 2022</w:t>
      </w:r>
      <w:r>
        <w:rPr>
          <w:rFonts w:ascii="Times New Roman" w:hAnsi="Times New Roman"/>
          <w:color w:val="000000"/>
          <w:sz w:val="20"/>
        </w:rPr>
        <w:t xml:space="preserve"> </w:t>
      </w:r>
    </w:p>
    <w:p>
      <w:pPr>
        <w:pStyle w:val="TextBody"/>
        <w:bidi w:val="0"/>
        <w:jc w:val="left"/>
        <w:rPr>
          <w:rFonts w:ascii="Times New Roman" w:hAnsi="Times New Roman"/>
          <w:b w:val="false"/>
          <w:i/>
          <w:color w:val="000000"/>
          <w:sz w:val="17"/>
        </w:rPr>
      </w:pPr>
      <w:r>
        <w:rPr>
          <w:rFonts w:ascii="Times New Roman" w:hAnsi="Times New Roman"/>
          <w:b w:val="false"/>
          <w:i/>
          <w:color w:val="000000"/>
          <w:sz w:val="17"/>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9827" w:type="dxa"/>
        <w:jc w:val="left"/>
        <w:tblInd w:w="0" w:type="dxa"/>
        <w:tblLayout w:type="fixed"/>
        <w:tblCellMar>
          <w:top w:w="28" w:type="dxa"/>
          <w:left w:w="28" w:type="dxa"/>
          <w:bottom w:w="28" w:type="dxa"/>
          <w:right w:w="28" w:type="dxa"/>
        </w:tblCellMar>
      </w:tblPr>
      <w:tblGrid>
        <w:gridCol w:w="6266"/>
        <w:gridCol w:w="146"/>
        <w:gridCol w:w="249"/>
        <w:gridCol w:w="955"/>
        <w:gridCol w:w="211"/>
        <w:gridCol w:w="185"/>
        <w:gridCol w:w="249"/>
        <w:gridCol w:w="955"/>
        <w:gridCol w:w="611"/>
      </w:tblGrid>
      <w:tr>
        <w:trPr/>
        <w:tc>
          <w:tcPr>
            <w:tcW w:w="6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11" w:type="dxa"/>
            <w:tcBorders/>
            <w:shd w:fill="FFFFFF" w:val="clear"/>
            <w:vAlign w:val="center"/>
          </w:tcPr>
          <w:p>
            <w:pPr>
              <w:pStyle w:val="TableContents"/>
              <w:bidi w:val="0"/>
              <w:spacing w:before="0" w:after="283"/>
              <w:jc w:val="center"/>
              <w:rPr/>
            </w:pPr>
            <w:r>
              <w:rPr/>
              <w:t> </w:t>
            </w:r>
          </w:p>
        </w:tc>
      </w:tr>
      <w:tr>
        <w:trPr/>
        <w:tc>
          <w:tcPr>
            <w:tcW w:w="6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income attributable to Green Thumb Industries Inc.</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33,051</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63,205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851</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1,360</w:t>
            </w:r>
          </w:p>
        </w:tc>
        <w:tc>
          <w:tcPr>
            <w:tcW w:w="611" w:type="dxa"/>
            <w:tcBorders/>
            <w:shd w:fill="CFF0FC" w:val="cle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Adjustments to reconcile net income to 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73,363</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71,706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Amortization of operating lease assets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35,996</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31,906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2,815</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Impairment of long-lived property and equipment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285</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Loss on equity method investments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952</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2,382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Loss (gain) from lease modification</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(3,330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20,835</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19,362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Decrease in fair value of investments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2,770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Increase (decrease) in fair value of contingent consideration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3,370</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(29,005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Decrease in fair value of warrants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(19,876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Shares issued for settlement of business obligation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Gain on indemnification of deferred shares associated with post acquisition costs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(2,784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Amortization of debt discount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7,128</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6,837</w:t>
            </w:r>
          </w:p>
        </w:tc>
        <w:tc>
          <w:tcPr>
            <w:tcW w:w="611" w:type="dxa"/>
            <w:tcBorders/>
            <w:shd w:fill="CFF0FC" w:val="cle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(7,673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(8,691</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Inventories, net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(2,870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(26,038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Deposits and other assets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536</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4,084</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4,052</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(4,021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(32,114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(27,599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Income tax receivable and payable, net</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153,872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88,220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(183,594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(119,870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Investments in securities and associates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(4,500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(5,804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equity investments and notes receivable</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331</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3,476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Settlement of acquisition consideration payable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(31,732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 of businesses, net of cash acquired</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(187,444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(161,168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Distributions to limited liability company unit holders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(803</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(14,799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Contributions from unconsolidated subsidiaries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Repurchase of Subordinate Voting Shares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(24,890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exercise of options and RSUs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2,683</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issuance of notes payable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16,654</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Principal repayment of notes payable</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(7,268</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(10,214</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(DECREASE)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(40,840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(83,162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26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177,682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230,420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136,842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147,258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rFonts w:ascii="Times New Roman" w:hAnsi="Times New Roman"/>
          <w:sz w:val="20"/>
        </w:rPr>
      </w:pPr>
      <w:r>
        <w:rPr>
          <w:rFonts w:ascii="Times New Roman" w:hAnsi="Times New Roman"/>
          <w:b w:val="false"/>
          <w:color w:val="000000"/>
          <w:sz w:val="20"/>
        </w:rPr>
        <w:t>The accompanying notes are an integral part of these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7"/>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7"/>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7"/>
        </w:rPr>
        <w:t>Nine Months Ended September 30, 2023 and 2022</w:t>
      </w:r>
      <w:r>
        <w:rPr>
          <w:rFonts w:ascii="Times New Roman" w:hAnsi="Times New Roman"/>
          <w:color w:val="000000"/>
          <w:sz w:val="20"/>
        </w:rPr>
        <w:t xml:space="preserve"> </w:t>
      </w:r>
    </w:p>
    <w:p>
      <w:pPr>
        <w:pStyle w:val="TextBody"/>
        <w:pBdr>
          <w:bottom w:val="single" w:sz="6" w:space="1" w:color="000000"/>
        </w:pBdr>
        <w:bidi w:val="0"/>
        <w:jc w:val="left"/>
        <w:rPr>
          <w:rFonts w:ascii="Times New Roman" w:hAnsi="Times New Roman"/>
          <w:sz w:val="20"/>
        </w:rPr>
      </w:pPr>
      <w:r>
        <w:rPr>
          <w:rFonts w:ascii="Times New Roman" w:hAnsi="Times New Roman"/>
          <w:b w:val="false"/>
          <w:i/>
          <w:color w:val="000000"/>
          <w:sz w:val="17"/>
        </w:rPr>
        <w:t>(Amounts Expressed in United States Dollars)</w:t>
      </w:r>
      <w:r>
        <w:rPr>
          <w:rFonts w:ascii="Times New Roman" w:hAnsi="Times New Roman"/>
          <w:color w:val="000000"/>
          <w:sz w:val="20"/>
        </w:rPr>
        <w:t xml:space="preserve"> </w:t>
      </w:r>
    </w:p>
    <w:tbl>
      <w:tblPr>
        <w:tblW w:w="9031" w:type="dxa"/>
        <w:jc w:val="left"/>
        <w:tblInd w:w="0" w:type="dxa"/>
        <w:tblLayout w:type="fixed"/>
        <w:tblCellMar>
          <w:top w:w="28" w:type="dxa"/>
          <w:left w:w="28" w:type="dxa"/>
          <w:bottom w:w="28" w:type="dxa"/>
          <w:right w:w="28" w:type="dxa"/>
        </w:tblCellMar>
      </w:tblPr>
      <w:tblGrid>
        <w:gridCol w:w="5671"/>
        <w:gridCol w:w="146"/>
        <w:gridCol w:w="271"/>
        <w:gridCol w:w="915"/>
        <w:gridCol w:w="229"/>
        <w:gridCol w:w="202"/>
        <w:gridCol w:w="271"/>
        <w:gridCol w:w="915"/>
        <w:gridCol w:w="4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paid</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15,564</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186" w:type="dxa"/>
            <w:gridSpan w:val="2"/>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186"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Accrued capital expenditures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(10,115</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Noncash increase in right of use asset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(5,599</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02"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(72,714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Noncash increase in lease liability</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5,599</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72,714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Mortgages associated with operating properties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Shares issued for purchase of noncontrolling interest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shares associated with contingent consideration</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12,524</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Deferred share distributions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(20,454</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shares under business combinations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Acquisitions</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Inventories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Prepaid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Property and equipment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Right of use assets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Identifiable Intangible assets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10,359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Goodwill</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11,736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Deposits and other assets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Liabilities assumed</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Lease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Noncontrolling interests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Contingent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Equity interests issued</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(3,785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Fair value of previously held equity interest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(14,500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Settlement of noncontrolling interests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ADDITIONAL SUPPLEMENTAL INFORMATION</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Decrease in fair value of investments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16,889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Increase in fair value of equity method investments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6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DECREASE IN FAIR VALUE OF INVESTMENTS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153</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b w:val="false"/>
          <w:color w:val="000000"/>
          <w:sz w:val="20"/>
        </w:rPr>
      </w:pPr>
      <w:r>
        <w:rPr>
          <w:rFonts w:ascii="Times New Roman" w:hAnsi="Times New Roman"/>
          <w:b w:val="false"/>
          <w:color w:val="000000"/>
          <w:sz w:val="20"/>
        </w:rPr>
        <w:t>The accompanying notes are an integral part of these unaudited interim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pBdr>
          <w:bottom w:val="single" w:sz="6" w:space="1" w:color="000000"/>
        </w:pBdr>
        <w:bidi w:val="0"/>
        <w:spacing w:before="240" w:after="283"/>
        <w:jc w:val="left"/>
        <w:rPr>
          <w:rFonts w:ascii="Times New Roman" w:hAnsi="Times New Roman"/>
          <w:b/>
          <w:color w:val="000000"/>
          <w:sz w:val="20"/>
        </w:rPr>
      </w:pPr>
      <w:bookmarkStart w:id="7" w:name="notes_to_financial_statements"/>
      <w:bookmarkEnd w:id="7"/>
      <w:r>
        <w:rPr>
          <w:rFonts w:ascii="Times New Roman" w:hAnsi="Times New Roman"/>
          <w:b/>
          <w:color w:val="000000"/>
          <w:sz w:val="20"/>
        </w:rPr>
        <w:t>1. Overview and Basis of Presentation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Green Thumb Industries Inc. (“Green Thumb,” the “Company,” “we” or “us”),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cannabis stores. The Company also owns and operates retail cannabis stores that include a rapidly growing national chain named RISE, which sell our products and third-party products. As of September 30, 2023, Green Thumb has revenue in fifteen markets (California, Colorado, Connecticut, Florida, Illinois, Maryland, Massachusetts, Minnesota, Nevada, New Jersey, New York, Ohio, Pennsylvania, Rhode Island and Virginia), employs approximately 4,400 people and serves millions of patients and customers annually.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registered office is located at 250 Howe Street, 20</w:t>
      </w:r>
      <w:r>
        <w:rPr>
          <w:rFonts w:ascii="Times New Roman" w:hAnsi="Times New Roman"/>
          <w:b w:val="false"/>
          <w:color w:val="000000"/>
          <w:sz w:val="13"/>
        </w:rPr>
        <w:t>th</w:t>
      </w:r>
      <w:r>
        <w:rPr>
          <w:rFonts w:ascii="Times New Roman" w:hAnsi="Times New Roman"/>
          <w:color w:val="000000"/>
          <w:sz w:val="20"/>
        </w:rPr>
        <w:t xml:space="preserve"> </w:t>
      </w:r>
      <w:r>
        <w:rPr>
          <w:rFonts w:ascii="Times New Roman" w:hAnsi="Times New Roman"/>
          <w:b w:val="false"/>
          <w:color w:val="000000"/>
          <w:sz w:val="20"/>
        </w:rPr>
        <w:t>Floor, Vancouver, British Columbia, V6C 3R8. The Company’s U.S. headquarters are at 325 W. Huron St., Suite 700, Chicago, IL 60654.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(b) Basis of Presentation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2022, (the “2022</w:t>
      </w:r>
      <w:r>
        <w:rPr>
          <w:rFonts w:ascii="Times New Roman" w:hAnsi="Times New Roman"/>
          <w:color w:val="000000"/>
          <w:sz w:val="20"/>
        </w:rPr>
        <w:t xml:space="preserve"> </w:t>
      </w:r>
      <w:r>
        <w:rPr>
          <w:rFonts w:ascii="Times New Roman" w:hAnsi="Times New Roman"/>
          <w:b w:val="false"/>
          <w:color w:val="000000"/>
          <w:sz w:val="20"/>
        </w:rPr>
        <w:t>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(c) Significant Accounting Policies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changes to the Company’s significant accounting policies as described in Note 2 to the Company's Consolidated Financial Statements included in the 2022</w:t>
      </w:r>
      <w:r>
        <w:rPr>
          <w:rFonts w:ascii="Times New Roman" w:hAnsi="Times New Roman"/>
          <w:color w:val="000000"/>
          <w:sz w:val="20"/>
        </w:rPr>
        <w:t xml:space="preserve"> </w:t>
      </w:r>
      <w:r>
        <w:rPr>
          <w:rFonts w:ascii="Times New Roman" w:hAnsi="Times New Roman"/>
          <w:b w:val="false"/>
          <w:color w:val="000000"/>
          <w:sz w:val="20"/>
        </w:rPr>
        <w:t>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(d) Earnings per Share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September 30, 2023, the Company had 10,229,895</w:t>
      </w:r>
      <w:r>
        <w:rPr>
          <w:rFonts w:ascii="Times New Roman" w:hAnsi="Times New Roman"/>
          <w:color w:val="000000"/>
          <w:sz w:val="20"/>
        </w:rPr>
        <w:t xml:space="preserve"> </w:t>
      </w:r>
      <w:r>
        <w:rPr>
          <w:rFonts w:ascii="Times New Roman" w:hAnsi="Times New Roman"/>
          <w:b w:val="false"/>
          <w:color w:val="000000"/>
          <w:sz w:val="20"/>
        </w:rPr>
        <w:t>options, 3,499,193</w:t>
      </w:r>
      <w:r>
        <w:rPr>
          <w:rFonts w:ascii="Times New Roman" w:hAnsi="Times New Roman"/>
          <w:color w:val="000000"/>
          <w:sz w:val="20"/>
        </w:rPr>
        <w:t xml:space="preserve"> </w:t>
      </w:r>
      <w:r>
        <w:rPr>
          <w:rFonts w:ascii="Times New Roman" w:hAnsi="Times New Roman"/>
          <w:b w:val="false"/>
          <w:color w:val="000000"/>
          <w:sz w:val="20"/>
        </w:rPr>
        <w:t>restricted stock units and 3,734,555</w:t>
      </w:r>
      <w:r>
        <w:rPr>
          <w:rFonts w:ascii="Times New Roman" w:hAnsi="Times New Roman"/>
          <w:color w:val="000000"/>
          <w:sz w:val="20"/>
        </w:rPr>
        <w:t xml:space="preserve"> </w:t>
      </w:r>
      <w:r>
        <w:rPr>
          <w:rFonts w:ascii="Times New Roman" w:hAnsi="Times New Roman"/>
          <w:b w:val="false"/>
          <w:color w:val="000000"/>
          <w:sz w:val="20"/>
        </w:rPr>
        <w:t>warrants outstanding. As of September 30, 2022, the Company had 9,725,907</w:t>
      </w:r>
      <w:r>
        <w:rPr>
          <w:rFonts w:ascii="Times New Roman" w:hAnsi="Times New Roman"/>
          <w:color w:val="000000"/>
          <w:sz w:val="20"/>
        </w:rPr>
        <w:t xml:space="preserve"> </w:t>
      </w:r>
      <w:r>
        <w:rPr>
          <w:rFonts w:ascii="Times New Roman" w:hAnsi="Times New Roman"/>
          <w:b w:val="false"/>
          <w:color w:val="000000"/>
          <w:sz w:val="20"/>
        </w:rPr>
        <w:t>options, 952,753</w:t>
      </w:r>
      <w:r>
        <w:rPr>
          <w:rFonts w:ascii="Times New Roman" w:hAnsi="Times New Roman"/>
          <w:color w:val="000000"/>
          <w:sz w:val="20"/>
        </w:rPr>
        <w:t xml:space="preserve"> </w:t>
      </w:r>
      <w:r>
        <w:rPr>
          <w:rFonts w:ascii="Times New Roman" w:hAnsi="Times New Roman"/>
          <w:b w:val="false"/>
          <w:color w:val="000000"/>
          <w:sz w:val="20"/>
        </w:rPr>
        <w:t>restricted stock units and 3,835,278</w:t>
      </w:r>
      <w:r>
        <w:rPr>
          <w:rFonts w:ascii="Times New Roman" w:hAnsi="Times New Roman"/>
          <w:color w:val="000000"/>
          <w:sz w:val="20"/>
        </w:rPr>
        <w:t xml:space="preserve"> </w:t>
      </w:r>
      <w:r>
        <w:rPr>
          <w:rFonts w:ascii="Times New Roman" w:hAnsi="Times New Roman"/>
          <w:b w:val="false"/>
          <w:color w:val="000000"/>
          <w:sz w:val="20"/>
        </w:rPr>
        <w:t>warrants outstanding.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1. Overview and Basis of Presentation </w:t>
      </w:r>
      <w:r>
        <w:rPr>
          <w:rFonts w:ascii="Times New Roman" w:hAnsi="Times New Roman"/>
          <w:b w:val="false"/>
          <w:i/>
          <w:color w:val="000000"/>
          <w:sz w:val="20"/>
        </w:rPr>
        <w:t>(Continued)</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(d) Earnings per Share </w:t>
      </w:r>
      <w:r>
        <w:rPr>
          <w:rFonts w:ascii="Times New Roman" w:hAnsi="Times New Roman"/>
          <w:b w:val="false"/>
          <w:color w:val="000000"/>
          <w:sz w:val="20"/>
        </w:rPr>
        <w:t>(</w:t>
      </w:r>
      <w:r>
        <w:rPr>
          <w:rFonts w:ascii="Times New Roman" w:hAnsi="Times New Roman"/>
          <w:b w:val="false"/>
          <w:i/>
          <w:color w:val="000000"/>
          <w:sz w:val="20"/>
        </w:rPr>
        <w:t>Continued</w:t>
      </w:r>
      <w:r>
        <w:rPr>
          <w:rFonts w:ascii="Times New Roman" w:hAnsi="Times New Roman"/>
          <w:b w:val="false"/>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September 30, 2023, the computation of diluted earnings per share included 211,651</w:t>
      </w:r>
      <w:r>
        <w:rPr>
          <w:rFonts w:ascii="Times New Roman" w:hAnsi="Times New Roman"/>
          <w:color w:val="000000"/>
          <w:sz w:val="20"/>
        </w:rPr>
        <w:t xml:space="preserve"> </w:t>
      </w:r>
      <w:r>
        <w:rPr>
          <w:rFonts w:ascii="Times New Roman" w:hAnsi="Times New Roman"/>
          <w:b w:val="false"/>
          <w:color w:val="000000"/>
          <w:sz w:val="20"/>
        </w:rPr>
        <w:t>options and 618,525</w:t>
      </w:r>
      <w:r>
        <w:rPr>
          <w:rFonts w:ascii="Times New Roman" w:hAnsi="Times New Roman"/>
          <w:color w:val="000000"/>
          <w:sz w:val="20"/>
        </w:rPr>
        <w:t xml:space="preserve"> </w:t>
      </w:r>
      <w:r>
        <w:rPr>
          <w:rFonts w:ascii="Times New Roman" w:hAnsi="Times New Roman"/>
          <w:b w:val="false"/>
          <w:color w:val="000000"/>
          <w:sz w:val="20"/>
        </w:rPr>
        <w:t>restricted stock units. For the nine months ended September 30, 2023, the computation of diluted earnings per share included 153,215</w:t>
      </w:r>
      <w:r>
        <w:rPr>
          <w:rFonts w:ascii="Times New Roman" w:hAnsi="Times New Roman"/>
          <w:color w:val="000000"/>
          <w:sz w:val="20"/>
        </w:rPr>
        <w:t xml:space="preserve"> </w:t>
      </w:r>
      <w:r>
        <w:rPr>
          <w:rFonts w:ascii="Times New Roman" w:hAnsi="Times New Roman"/>
          <w:b w:val="false"/>
          <w:color w:val="000000"/>
          <w:sz w:val="20"/>
        </w:rPr>
        <w:t>options and 1,425,045</w:t>
      </w:r>
      <w:r>
        <w:rPr>
          <w:rFonts w:ascii="Times New Roman" w:hAnsi="Times New Roman"/>
          <w:color w:val="000000"/>
          <w:sz w:val="20"/>
        </w:rPr>
        <w:t xml:space="preserve"> </w:t>
      </w:r>
      <w:r>
        <w:rPr>
          <w:rFonts w:ascii="Times New Roman" w:hAnsi="Times New Roman"/>
          <w:b w:val="false"/>
          <w:color w:val="000000"/>
          <w:sz w:val="20"/>
        </w:rPr>
        <w:t>restricted stock units. There were no</w:t>
      </w:r>
      <w:r>
        <w:rPr>
          <w:rFonts w:ascii="Times New Roman" w:hAnsi="Times New Roman"/>
          <w:color w:val="000000"/>
          <w:sz w:val="20"/>
        </w:rPr>
        <w:t xml:space="preserve"> </w:t>
      </w:r>
      <w:r>
        <w:rPr>
          <w:rFonts w:ascii="Times New Roman" w:hAnsi="Times New Roman"/>
          <w:b w:val="false"/>
          <w:color w:val="000000"/>
          <w:sz w:val="20"/>
        </w:rPr>
        <w:t>dilutive warrants during the three and nine months ended September 30, 2023 as the strike price was greater than the average stock price for the period. For the three months ended September 30, 2022, the computation of diluted earnings per share included 697,800</w:t>
      </w:r>
      <w:r>
        <w:rPr>
          <w:rFonts w:ascii="Times New Roman" w:hAnsi="Times New Roman"/>
          <w:color w:val="000000"/>
          <w:sz w:val="20"/>
        </w:rPr>
        <w:t xml:space="preserve"> </w:t>
      </w:r>
      <w:r>
        <w:rPr>
          <w:rFonts w:ascii="Times New Roman" w:hAnsi="Times New Roman"/>
          <w:b w:val="false"/>
          <w:color w:val="000000"/>
          <w:sz w:val="20"/>
        </w:rPr>
        <w:t>options, 57,128</w:t>
      </w:r>
      <w:r>
        <w:rPr>
          <w:rFonts w:ascii="Times New Roman" w:hAnsi="Times New Roman"/>
          <w:color w:val="000000"/>
          <w:sz w:val="20"/>
        </w:rPr>
        <w:t xml:space="preserve"> </w:t>
      </w:r>
      <w:r>
        <w:rPr>
          <w:rFonts w:ascii="Times New Roman" w:hAnsi="Times New Roman"/>
          <w:b w:val="false"/>
          <w:color w:val="000000"/>
          <w:sz w:val="20"/>
        </w:rPr>
        <w:t>restricted stock units and 46,998</w:t>
      </w:r>
      <w:r>
        <w:rPr>
          <w:rFonts w:ascii="Times New Roman" w:hAnsi="Times New Roman"/>
          <w:color w:val="000000"/>
          <w:sz w:val="20"/>
        </w:rPr>
        <w:t xml:space="preserve"> </w:t>
      </w:r>
      <w:r>
        <w:rPr>
          <w:rFonts w:ascii="Times New Roman" w:hAnsi="Times New Roman"/>
          <w:b w:val="false"/>
          <w:color w:val="000000"/>
          <w:sz w:val="20"/>
        </w:rPr>
        <w:t>warrants. For the nine months ended September 30, 2022, the computation of diluted earnings per share included 968,322</w:t>
      </w:r>
      <w:r>
        <w:rPr>
          <w:rFonts w:ascii="Times New Roman" w:hAnsi="Times New Roman"/>
          <w:color w:val="000000"/>
          <w:sz w:val="20"/>
        </w:rPr>
        <w:t xml:space="preserve"> </w:t>
      </w:r>
      <w:r>
        <w:rPr>
          <w:rFonts w:ascii="Times New Roman" w:hAnsi="Times New Roman"/>
          <w:b w:val="false"/>
          <w:color w:val="000000"/>
          <w:sz w:val="20"/>
        </w:rPr>
        <w:t>options, 226,564</w:t>
      </w:r>
      <w:r>
        <w:rPr>
          <w:rFonts w:ascii="Times New Roman" w:hAnsi="Times New Roman"/>
          <w:color w:val="000000"/>
          <w:sz w:val="20"/>
        </w:rPr>
        <w:t xml:space="preserve"> </w:t>
      </w:r>
      <w:r>
        <w:rPr>
          <w:rFonts w:ascii="Times New Roman" w:hAnsi="Times New Roman"/>
          <w:b w:val="false"/>
          <w:color w:val="000000"/>
          <w:sz w:val="20"/>
        </w:rPr>
        <w:t>restricted stock units and 131,631</w:t>
      </w:r>
      <w:r>
        <w:rPr>
          <w:rFonts w:ascii="Times New Roman" w:hAnsi="Times New Roman"/>
          <w:color w:val="000000"/>
          <w:sz w:val="20"/>
        </w:rPr>
        <w:t xml:space="preserve"> </w:t>
      </w:r>
      <w:r>
        <w:rPr>
          <w:rFonts w:ascii="Times New Roman" w:hAnsi="Times New Roman"/>
          <w:b w:val="false"/>
          <w:color w:val="000000"/>
          <w:sz w:val="20"/>
        </w:rPr>
        <w:t>warrants. For the three and nine months ended September 30, 2023, the weighted average number of anti-dilutive stock options excluded from the computation of diluted earnings per share were 2,349,064</w:t>
      </w:r>
      <w:r>
        <w:rPr>
          <w:rFonts w:ascii="Times New Roman" w:hAnsi="Times New Roman"/>
          <w:color w:val="000000"/>
          <w:sz w:val="20"/>
        </w:rPr>
        <w:t xml:space="preserve"> </w:t>
      </w:r>
      <w:r>
        <w:rPr>
          <w:rFonts w:ascii="Times New Roman" w:hAnsi="Times New Roman"/>
          <w:b w:val="false"/>
          <w:color w:val="000000"/>
          <w:sz w:val="20"/>
        </w:rPr>
        <w:t>and 3,198,625, respectively. For the three and nine months ended September 30, 2022, the weighted average number of anti-dilutive stock options excluded from the computation of diluted earnings per share were 2,052,822</w:t>
      </w:r>
      <w:r>
        <w:rPr>
          <w:rFonts w:ascii="Times New Roman" w:hAnsi="Times New Roman"/>
          <w:color w:val="000000"/>
          <w:sz w:val="20"/>
        </w:rPr>
        <w:t xml:space="preserve"> </w:t>
      </w:r>
      <w:r>
        <w:rPr>
          <w:rFonts w:ascii="Times New Roman" w:hAnsi="Times New Roman"/>
          <w:b w:val="false"/>
          <w:color w:val="000000"/>
          <w:sz w:val="20"/>
        </w:rPr>
        <w:t>and 2,192,896,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(e) Recently Issued Accounting Standards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reviews recently issued accounting standards on a quarterly basis and has determined there are no standards yet to be adopted which are relevant to the business for disclosure.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INVENTORIES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inventories include the following at September 30, 2023 and December 31, 2022:</w:t>
      </w:r>
      <w:r>
        <w:rPr>
          <w:rFonts w:ascii="Times New Roman" w:hAnsi="Times New Roman"/>
          <w:color w:val="000000"/>
          <w:sz w:val="20"/>
        </w:rPr>
        <w:t xml:space="preserve"> </w:t>
      </w:r>
    </w:p>
    <w:tbl>
      <w:tblPr>
        <w:tblW w:w="5945" w:type="dxa"/>
        <w:jc w:val="left"/>
        <w:tblInd w:w="0" w:type="dxa"/>
        <w:tblLayout w:type="fixed"/>
        <w:tblCellMar>
          <w:top w:w="28" w:type="dxa"/>
          <w:left w:w="28" w:type="dxa"/>
          <w:bottom w:w="28" w:type="dxa"/>
          <w:right w:w="28" w:type="dxa"/>
        </w:tblCellMar>
      </w:tblPr>
      <w:tblGrid>
        <w:gridCol w:w="2356"/>
        <w:gridCol w:w="196"/>
        <w:gridCol w:w="1606"/>
        <w:gridCol w:w="196"/>
        <w:gridCol w:w="1591"/>
      </w:tblGrid>
      <w:tr>
        <w:trPr/>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r>
      <w:tr>
        <w:trPr/>
        <w:tc>
          <w:tcPr>
            <w:tcW w:w="23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Raw Material</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1,120</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3,070</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Packaging and Miscellaneous</w:t>
            </w:r>
          </w:p>
        </w:tc>
        <w:tc>
          <w:tcPr>
            <w:tcW w:w="19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10,756</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9,847</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Work in Process</w:t>
            </w:r>
          </w:p>
        </w:tc>
        <w:tc>
          <w:tcPr>
            <w:tcW w:w="196" w:type="dxa"/>
            <w:tcBorders/>
            <w:shd w:fill="CFF0FC" w:val="clear"/>
            <w:vAlign w:val="center"/>
          </w:tcPr>
          <w:p>
            <w:pPr>
              <w:pStyle w:val="TableContents"/>
              <w:bidi w:val="0"/>
              <w:spacing w:before="0" w:after="283"/>
              <w:jc w:val="center"/>
              <w:rPr/>
            </w:pPr>
            <w:r>
              <w:rPr/>
              <w:t> </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45,072</w:t>
            </w:r>
          </w:p>
        </w:tc>
        <w:tc>
          <w:tcPr>
            <w:tcW w:w="196" w:type="dxa"/>
            <w:tcBorders/>
            <w:shd w:fill="CFF0FC" w:val="clear"/>
            <w:vAlign w:val="center"/>
          </w:tcPr>
          <w:p>
            <w:pPr>
              <w:pStyle w:val="TableContents"/>
              <w:bidi w:val="0"/>
              <w:spacing w:before="0" w:after="283"/>
              <w:jc w:val="center"/>
              <w:rPr/>
            </w:pPr>
            <w:r>
              <w:rPr/>
              <w:t> </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57,287</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Finished Goods</w:t>
            </w:r>
          </w:p>
        </w:tc>
        <w:tc>
          <w:tcPr>
            <w:tcW w:w="19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65,707</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49,268</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Reserve for Obsolete Inventory</w:t>
            </w:r>
          </w:p>
        </w:tc>
        <w:tc>
          <w:tcPr>
            <w:tcW w:w="196" w:type="dxa"/>
            <w:tcBorders/>
            <w:shd w:fill="CFF0FC" w:val="clear"/>
            <w:vAlign w:val="center"/>
          </w:tcPr>
          <w:p>
            <w:pPr>
              <w:pStyle w:val="TableContents"/>
              <w:bidi w:val="0"/>
              <w:spacing w:before="0" w:after="283"/>
              <w:jc w:val="center"/>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(4,110)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(3,797)</w:t>
            </w:r>
          </w:p>
        </w:tc>
      </w:tr>
      <w:tr>
        <w:trPr/>
        <w:tc>
          <w:tcPr>
            <w:tcW w:w="235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 Net</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118,545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115,675</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jc w:val="left"/>
        <w:rPr/>
      </w:pPr>
      <w:r>
        <w:rPr/>
        <w:t> </w:t>
      </w:r>
    </w:p>
    <w:p>
      <w:pPr>
        <w:pStyle w:val="TextBody"/>
        <w:pBdr>
          <w:top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and December 31, 2022, property and equipment consisted of the following:</w:t>
      </w:r>
      <w:r>
        <w:rPr>
          <w:rFonts w:ascii="Times New Roman" w:hAnsi="Times New Roman"/>
          <w:color w:val="000000"/>
          <w:sz w:val="20"/>
        </w:rPr>
        <w:t xml:space="preserve"> </w:t>
      </w:r>
    </w:p>
    <w:p>
      <w:pPr>
        <w:pStyle w:val="TextBody"/>
        <w:bidi w:val="0"/>
        <w:jc w:val="left"/>
        <w:rPr/>
      </w:pPr>
      <w:r>
        <w:rPr/>
        <w:t> </w:t>
      </w:r>
    </w:p>
    <w:tbl>
      <w:tblPr>
        <w:tblW w:w="6350" w:type="dxa"/>
        <w:jc w:val="left"/>
        <w:tblInd w:w="0" w:type="dxa"/>
        <w:tblLayout w:type="fixed"/>
        <w:tblCellMar>
          <w:top w:w="28" w:type="dxa"/>
          <w:left w:w="28" w:type="dxa"/>
          <w:bottom w:w="28" w:type="dxa"/>
          <w:right w:w="28" w:type="dxa"/>
        </w:tblCellMar>
      </w:tblPr>
      <w:tblGrid>
        <w:gridCol w:w="2761"/>
        <w:gridCol w:w="196"/>
        <w:gridCol w:w="1606"/>
        <w:gridCol w:w="196"/>
        <w:gridCol w:w="1591"/>
      </w:tblGrid>
      <w:tr>
        <w:trPr/>
        <w:tc>
          <w:tcPr>
            <w:tcW w:w="2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r>
      <w:tr>
        <w:trPr/>
        <w:tc>
          <w:tcPr>
            <w:tcW w:w="276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Buildings and Improvements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340,641</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176,874</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Equipment, Computers and Furniture</w:t>
            </w:r>
          </w:p>
        </w:tc>
        <w:tc>
          <w:tcPr>
            <w:tcW w:w="19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158,327</w:t>
            </w:r>
          </w:p>
        </w:tc>
        <w:tc>
          <w:tcPr>
            <w:tcW w:w="19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122,568</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Leasehold Improvements</w:t>
            </w:r>
          </w:p>
        </w:tc>
        <w:tc>
          <w:tcPr>
            <w:tcW w:w="196" w:type="dxa"/>
            <w:tcBorders/>
            <w:shd w:fill="CFF0FC" w:val="clear"/>
            <w:vAlign w:val="center"/>
          </w:tcPr>
          <w:p>
            <w:pPr>
              <w:pStyle w:val="TableContents"/>
              <w:bidi w:val="0"/>
              <w:spacing w:before="0" w:after="283"/>
              <w:jc w:val="left"/>
              <w:rPr/>
            </w:pPr>
            <w:r>
              <w:rPr/>
              <w:t> </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186,354</w:t>
            </w:r>
          </w:p>
        </w:tc>
        <w:tc>
          <w:tcPr>
            <w:tcW w:w="19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135,524</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Land Improvements</w:t>
            </w:r>
          </w:p>
        </w:tc>
        <w:tc>
          <w:tcPr>
            <w:tcW w:w="19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995</w:t>
            </w:r>
          </w:p>
        </w:tc>
        <w:tc>
          <w:tcPr>
            <w:tcW w:w="19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847</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Capitalized Interest</w:t>
            </w:r>
          </w:p>
        </w:tc>
        <w:tc>
          <w:tcPr>
            <w:tcW w:w="196" w:type="dxa"/>
            <w:tcBorders/>
            <w:shd w:fill="CFF0FC" w:val="cle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30,517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16,934</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Property and Equipment</w:t>
            </w:r>
          </w:p>
        </w:tc>
        <w:tc>
          <w:tcPr>
            <w:tcW w:w="19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716,834</w:t>
            </w:r>
          </w:p>
        </w:tc>
        <w:tc>
          <w:tcPr>
            <w:tcW w:w="19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452,747</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Less: Accumulated Depreciation</w:t>
            </w:r>
          </w:p>
        </w:tc>
        <w:tc>
          <w:tcPr>
            <w:tcW w:w="196" w:type="dxa"/>
            <w:tcBorders/>
            <w:shd w:fill="CFF0FC" w:val="cle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(113,507)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(80,702)</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FFFFFF" w:val="cle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603,327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372,045</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Land</w:t>
            </w:r>
          </w:p>
        </w:tc>
        <w:tc>
          <w:tcPr>
            <w:tcW w:w="196" w:type="dxa"/>
            <w:tcBorders/>
            <w:shd w:fill="CFF0FC" w:val="clear"/>
            <w:vAlign w:val="center"/>
          </w:tcPr>
          <w:p>
            <w:pPr>
              <w:pStyle w:val="TableContents"/>
              <w:bidi w:val="0"/>
              <w:spacing w:before="0" w:after="283"/>
              <w:jc w:val="left"/>
              <w:rPr/>
            </w:pPr>
            <w:r>
              <w:rPr/>
              <w:t> </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33,725</w:t>
            </w:r>
          </w:p>
        </w:tc>
        <w:tc>
          <w:tcPr>
            <w:tcW w:w="19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29,106</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Assets Under Construction</w:t>
            </w:r>
          </w:p>
        </w:tc>
        <w:tc>
          <w:tcPr>
            <w:tcW w:w="196" w:type="dxa"/>
            <w:tcBorders/>
            <w:shd w:fill="FFFFFF" w:val="cle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55,615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156,722</w:t>
            </w:r>
          </w:p>
        </w:tc>
      </w:tr>
      <w:tr>
        <w:trPr/>
        <w:tc>
          <w:tcPr>
            <w:tcW w:w="276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692,667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557,873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Assets under construction represent construction in progress related to both cultivation and retail store facilities not yet completed or otherwise not ready for use.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Depreciation expense for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totaled $12,885</w:t>
      </w:r>
      <w:r>
        <w:rPr>
          <w:rFonts w:ascii="Times New Roman" w:hAnsi="Times New Roman"/>
          <w:color w:val="000000"/>
          <w:sz w:val="20"/>
        </w:rPr>
        <w:t xml:space="preserve"> </w:t>
      </w:r>
      <w:r>
        <w:rPr>
          <w:rFonts w:ascii="Times New Roman" w:hAnsi="Times New Roman"/>
          <w:b w:val="false"/>
          <w:color w:val="000000"/>
          <w:sz w:val="20"/>
        </w:rPr>
        <w:t>thousand and $35,266</w:t>
      </w:r>
      <w:r>
        <w:rPr>
          <w:rFonts w:ascii="Times New Roman" w:hAnsi="Times New Roman"/>
          <w:color w:val="000000"/>
          <w:sz w:val="20"/>
        </w:rPr>
        <w:t xml:space="preserve"> </w:t>
      </w:r>
      <w:r>
        <w:rPr>
          <w:rFonts w:ascii="Times New Roman" w:hAnsi="Times New Roman"/>
          <w:b w:val="false"/>
          <w:color w:val="000000"/>
          <w:sz w:val="20"/>
        </w:rPr>
        <w:t>thousand, respectively, of which $8,298</w:t>
      </w:r>
      <w:r>
        <w:rPr>
          <w:rFonts w:ascii="Times New Roman" w:hAnsi="Times New Roman"/>
          <w:color w:val="000000"/>
          <w:sz w:val="20"/>
        </w:rPr>
        <w:t xml:space="preserve"> </w:t>
      </w:r>
      <w:r>
        <w:rPr>
          <w:rFonts w:ascii="Times New Roman" w:hAnsi="Times New Roman"/>
          <w:b w:val="false"/>
          <w:color w:val="000000"/>
          <w:sz w:val="20"/>
        </w:rPr>
        <w:t>thousand and $23,348</w:t>
      </w:r>
      <w:r>
        <w:rPr>
          <w:rFonts w:ascii="Times New Roman" w:hAnsi="Times New Roman"/>
          <w:color w:val="000000"/>
          <w:sz w:val="20"/>
        </w:rPr>
        <w:t xml:space="preserve"> </w:t>
      </w:r>
      <w:r>
        <w:rPr>
          <w:rFonts w:ascii="Times New Roman" w:hAnsi="Times New Roman"/>
          <w:b w:val="false"/>
          <w:color w:val="000000"/>
          <w:sz w:val="20"/>
        </w:rPr>
        <w:t>thousand, respectively, is included in cost of goods sold. Depreciation expense for the three and nine months ended September 30, 2022 totaled $9,695</w:t>
      </w:r>
      <w:r>
        <w:rPr>
          <w:rFonts w:ascii="Times New Roman" w:hAnsi="Times New Roman"/>
          <w:color w:val="000000"/>
          <w:sz w:val="20"/>
        </w:rPr>
        <w:t xml:space="preserve"> </w:t>
      </w:r>
      <w:r>
        <w:rPr>
          <w:rFonts w:ascii="Times New Roman" w:hAnsi="Times New Roman"/>
          <w:b w:val="false"/>
          <w:color w:val="000000"/>
          <w:sz w:val="20"/>
        </w:rPr>
        <w:t>thousand and $26,844</w:t>
      </w:r>
      <w:r>
        <w:rPr>
          <w:rFonts w:ascii="Times New Roman" w:hAnsi="Times New Roman"/>
          <w:color w:val="000000"/>
          <w:sz w:val="20"/>
        </w:rPr>
        <w:t xml:space="preserve"> </w:t>
      </w:r>
      <w:r>
        <w:rPr>
          <w:rFonts w:ascii="Times New Roman" w:hAnsi="Times New Roman"/>
          <w:b w:val="false"/>
          <w:color w:val="000000"/>
          <w:sz w:val="20"/>
        </w:rPr>
        <w:t>thousand, respectively, of which $6,393</w:t>
      </w:r>
      <w:r>
        <w:rPr>
          <w:rFonts w:ascii="Times New Roman" w:hAnsi="Times New Roman"/>
          <w:color w:val="000000"/>
          <w:sz w:val="20"/>
        </w:rPr>
        <w:t xml:space="preserve"> </w:t>
      </w:r>
      <w:r>
        <w:rPr>
          <w:rFonts w:ascii="Times New Roman" w:hAnsi="Times New Roman"/>
          <w:b w:val="false"/>
          <w:color w:val="000000"/>
          <w:sz w:val="20"/>
        </w:rPr>
        <w:t>thousand and $17,357</w:t>
      </w:r>
      <w:r>
        <w:rPr>
          <w:rFonts w:ascii="Times New Roman" w:hAnsi="Times New Roman"/>
          <w:color w:val="000000"/>
          <w:sz w:val="20"/>
        </w:rPr>
        <w:t xml:space="preserve"> </w:t>
      </w:r>
      <w:r>
        <w:rPr>
          <w:rFonts w:ascii="Times New Roman" w:hAnsi="Times New Roman"/>
          <w:b w:val="false"/>
          <w:color w:val="000000"/>
          <w:sz w:val="20"/>
        </w:rPr>
        <w:t>thousand, respectively, is included in cost of goods sold.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INTANGIBLE ASSETS AND GOODWILL</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At September 30, 2023 and December 31, 2022, intangible assets consisted of the following:</w:t>
      </w:r>
      <w:r>
        <w:rPr>
          <w:rFonts w:ascii="Times New Roman" w:hAnsi="Times New Roman"/>
          <w:color w:val="000000"/>
          <w:sz w:val="20"/>
        </w:rPr>
        <w:t xml:space="preser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95"/>
        <w:gridCol w:w="196"/>
        <w:gridCol w:w="1233"/>
        <w:gridCol w:w="196"/>
        <w:gridCol w:w="1490"/>
        <w:gridCol w:w="196"/>
        <w:gridCol w:w="920"/>
        <w:gridCol w:w="196"/>
        <w:gridCol w:w="1233"/>
        <w:gridCol w:w="196"/>
        <w:gridCol w:w="1490"/>
        <w:gridCol w:w="196"/>
        <w:gridCol w:w="968"/>
      </w:tblGrid>
      <w:tr>
        <w:trPr/>
        <w:tc>
          <w:tcPr>
            <w:tcW w:w="16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69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40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69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r>
      <w:tr>
        <w:trPr/>
        <w:tc>
          <w:tcPr>
            <w:tcW w:w="1695"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40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Licenses and Permits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2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660,716</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146,739</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513,977</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2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660,716</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113,800</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9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546,916</w:t>
            </w:r>
          </w:p>
        </w:tc>
      </w:tr>
      <w:tr>
        <w:trPr/>
        <w:tc>
          <w:tcPr>
            <w:tcW w:w="16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Trademarks</w:t>
            </w:r>
          </w:p>
        </w:tc>
        <w:tc>
          <w:tcPr>
            <w:tcW w:w="196" w:type="dxa"/>
            <w:tcBorders/>
            <w:shd w:fill="FFFFFF" w:val="clear"/>
            <w:vAlign w:val="center"/>
          </w:tcPr>
          <w:p>
            <w:pPr>
              <w:pStyle w:val="TableContents"/>
              <w:bidi w:val="0"/>
              <w:spacing w:before="0" w:after="283"/>
              <w:jc w:val="center"/>
              <w:rPr/>
            </w:pPr>
            <w:r>
              <w:rPr/>
              <w:t> </w:t>
            </w:r>
          </w:p>
        </w:tc>
        <w:tc>
          <w:tcPr>
            <w:tcW w:w="12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41,511</w:t>
            </w:r>
          </w:p>
        </w:tc>
        <w:tc>
          <w:tcPr>
            <w:tcW w:w="196"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12,655</w:t>
            </w:r>
          </w:p>
        </w:tc>
        <w:tc>
          <w:tcPr>
            <w:tcW w:w="196"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28,856</w:t>
            </w:r>
          </w:p>
        </w:tc>
        <w:tc>
          <w:tcPr>
            <w:tcW w:w="196" w:type="dxa"/>
            <w:tcBorders/>
            <w:shd w:fill="FFFFFF" w:val="clear"/>
            <w:vAlign w:val="center"/>
          </w:tcPr>
          <w:p>
            <w:pPr>
              <w:pStyle w:val="TableContents"/>
              <w:bidi w:val="0"/>
              <w:spacing w:before="0" w:after="283"/>
              <w:jc w:val="center"/>
              <w:rPr/>
            </w:pPr>
            <w:r>
              <w:rPr/>
              <w:t> </w:t>
            </w:r>
          </w:p>
        </w:tc>
        <w:tc>
          <w:tcPr>
            <w:tcW w:w="12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41,511</w:t>
            </w:r>
          </w:p>
        </w:tc>
        <w:tc>
          <w:tcPr>
            <w:tcW w:w="196"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10,486</w:t>
            </w:r>
          </w:p>
        </w:tc>
        <w:tc>
          <w:tcPr>
            <w:tcW w:w="196"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31,025</w:t>
            </w:r>
          </w:p>
        </w:tc>
      </w:tr>
      <w:tr>
        <w:trPr/>
        <w:tc>
          <w:tcPr>
            <w:tcW w:w="16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Customer Relationships</w:t>
            </w:r>
          </w:p>
        </w:tc>
        <w:tc>
          <w:tcPr>
            <w:tcW w:w="196" w:type="dxa"/>
            <w:tcBorders/>
            <w:shd w:fill="CFF0FC" w:val="clear"/>
            <w:vAlign w:val="center"/>
          </w:tcPr>
          <w:p>
            <w:pPr>
              <w:pStyle w:val="TableContents"/>
              <w:bidi w:val="0"/>
              <w:spacing w:before="0" w:after="283"/>
              <w:jc w:val="center"/>
              <w:rPr/>
            </w:pPr>
            <w:r>
              <w:rPr/>
              <w:t> </w:t>
            </w:r>
          </w:p>
        </w:tc>
        <w:tc>
          <w:tcPr>
            <w:tcW w:w="12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24,438</w:t>
            </w:r>
          </w:p>
        </w:tc>
        <w:tc>
          <w:tcPr>
            <w:tcW w:w="196" w:type="dxa"/>
            <w:tcBorders/>
            <w:shd w:fill="CFF0FC" w:val="clear"/>
            <w:vAlign w:val="center"/>
          </w:tcPr>
          <w:p>
            <w:pPr>
              <w:pStyle w:val="TableContents"/>
              <w:bidi w:val="0"/>
              <w:spacing w:before="0" w:after="283"/>
              <w:jc w:val="center"/>
              <w:rPr/>
            </w:pPr>
            <w:r>
              <w:rPr/>
              <w:t> </w:t>
            </w:r>
          </w:p>
        </w:tc>
        <w:tc>
          <w:tcPr>
            <w:tcW w:w="14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16,054</w:t>
            </w:r>
          </w:p>
        </w:tc>
        <w:tc>
          <w:tcPr>
            <w:tcW w:w="196" w:type="dxa"/>
            <w:tcBorders/>
            <w:shd w:fill="CFF0FC" w:val="clear"/>
            <w:vAlign w:val="center"/>
          </w:tcPr>
          <w:p>
            <w:pPr>
              <w:pStyle w:val="TableContents"/>
              <w:bidi w:val="0"/>
              <w:spacing w:before="0" w:after="283"/>
              <w:jc w:val="center"/>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8,384</w:t>
            </w:r>
          </w:p>
        </w:tc>
        <w:tc>
          <w:tcPr>
            <w:tcW w:w="196" w:type="dxa"/>
            <w:tcBorders/>
            <w:shd w:fill="CFF0FC" w:val="clear"/>
            <w:vAlign w:val="center"/>
          </w:tcPr>
          <w:p>
            <w:pPr>
              <w:pStyle w:val="TableContents"/>
              <w:bidi w:val="0"/>
              <w:spacing w:before="0" w:after="283"/>
              <w:jc w:val="center"/>
              <w:rPr/>
            </w:pPr>
            <w:r>
              <w:rPr/>
              <w:t> </w:t>
            </w:r>
          </w:p>
        </w:tc>
        <w:tc>
          <w:tcPr>
            <w:tcW w:w="12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24,438</w:t>
            </w:r>
          </w:p>
        </w:tc>
        <w:tc>
          <w:tcPr>
            <w:tcW w:w="196" w:type="dxa"/>
            <w:tcBorders/>
            <w:shd w:fill="CFF0FC" w:val="clear"/>
            <w:vAlign w:val="center"/>
          </w:tcPr>
          <w:p>
            <w:pPr>
              <w:pStyle w:val="TableContents"/>
              <w:bidi w:val="0"/>
              <w:spacing w:before="0" w:after="283"/>
              <w:jc w:val="center"/>
              <w:rPr/>
            </w:pPr>
            <w:r>
              <w:rPr/>
              <w:t> </w:t>
            </w:r>
          </w:p>
        </w:tc>
        <w:tc>
          <w:tcPr>
            <w:tcW w:w="14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13,435</w:t>
            </w:r>
          </w:p>
        </w:tc>
        <w:tc>
          <w:tcPr>
            <w:tcW w:w="196" w:type="dxa"/>
            <w:tcBorders/>
            <w:shd w:fill="CFF0FC" w:val="clear"/>
            <w:vAlign w:val="center"/>
          </w:tcPr>
          <w:p>
            <w:pPr>
              <w:pStyle w:val="TableContents"/>
              <w:bidi w:val="0"/>
              <w:spacing w:before="0" w:after="283"/>
              <w:jc w:val="center"/>
              <w:rPr/>
            </w:pPr>
            <w:r>
              <w:rPr/>
              <w:t> </w:t>
            </w:r>
          </w:p>
        </w:tc>
        <w:tc>
          <w:tcPr>
            <w:tcW w:w="9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11,003</w:t>
            </w:r>
          </w:p>
        </w:tc>
      </w:tr>
      <w:tr>
        <w:trPr/>
        <w:tc>
          <w:tcPr>
            <w:tcW w:w="16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Non-Competition Agreements</w:t>
            </w:r>
          </w:p>
        </w:tc>
        <w:tc>
          <w:tcPr>
            <w:tcW w:w="196" w:type="dxa"/>
            <w:tcBorders/>
            <w:shd w:fill="FFFFFF" w:val="cle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575</w:t>
            </w:r>
          </w:p>
        </w:tc>
      </w:tr>
      <w:tr>
        <w:trPr/>
        <w:tc>
          <w:tcPr>
            <w:tcW w:w="16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729,230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177,808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551,422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729,230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139,711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589,519</w:t>
            </w:r>
          </w:p>
        </w:tc>
      </w:tr>
    </w:tbl>
    <w:p>
      <w:pPr>
        <w:pStyle w:val="TextBody"/>
        <w:bidi w:val="0"/>
        <w:jc w:val="left"/>
        <w:rPr>
          <w:rFonts w:ascii="Times New Roman" w:hAnsi="Times New Roman"/>
          <w:sz w:val="20"/>
        </w:rPr>
      </w:pPr>
      <w:r>
        <w:rPr>
          <w:rFonts w:ascii="Times New Roman" w:hAnsi="Times New Roman"/>
          <w:b w:val="false"/>
          <w:color w:val="000000"/>
          <w:sz w:val="20"/>
        </w:rPr>
        <w:t>The Company recorded amortization expense for the three and nine months ended September 30, 2023 of $12,743</w:t>
      </w:r>
      <w:r>
        <w:rPr>
          <w:rFonts w:ascii="Times New Roman" w:hAnsi="Times New Roman"/>
          <w:color w:val="000000"/>
          <w:sz w:val="20"/>
        </w:rPr>
        <w:t xml:space="preserve"> </w:t>
      </w:r>
      <w:r>
        <w:rPr>
          <w:rFonts w:ascii="Times New Roman" w:hAnsi="Times New Roman"/>
          <w:b w:val="false"/>
          <w:color w:val="000000"/>
          <w:sz w:val="20"/>
        </w:rPr>
        <w:t>thousand and $38,097</w:t>
      </w:r>
      <w:r>
        <w:rPr>
          <w:rFonts w:ascii="Times New Roman" w:hAnsi="Times New Roman"/>
          <w:color w:val="000000"/>
          <w:sz w:val="20"/>
        </w:rPr>
        <w:t xml:space="preserve"> </w:t>
      </w:r>
      <w:r>
        <w:rPr>
          <w:rFonts w:ascii="Times New Roman" w:hAnsi="Times New Roman"/>
          <w:b w:val="false"/>
          <w:color w:val="000000"/>
          <w:sz w:val="20"/>
        </w:rPr>
        <w:t>thousand, respectively. The Company recorded amortization for the three and nine months ended September 30, 2022 of $14,823</w:t>
      </w:r>
      <w:r>
        <w:rPr>
          <w:rFonts w:ascii="Times New Roman" w:hAnsi="Times New Roman"/>
          <w:color w:val="000000"/>
          <w:sz w:val="20"/>
        </w:rPr>
        <w:t xml:space="preserve"> </w:t>
      </w:r>
      <w:r>
        <w:rPr>
          <w:rFonts w:ascii="Times New Roman" w:hAnsi="Times New Roman"/>
          <w:b w:val="false"/>
          <w:color w:val="000000"/>
          <w:sz w:val="20"/>
        </w:rPr>
        <w:t>thousand and $44,862</w:t>
      </w:r>
      <w:r>
        <w:rPr>
          <w:rFonts w:ascii="Times New Roman" w:hAnsi="Times New Roman"/>
          <w:color w:val="000000"/>
          <w:sz w:val="20"/>
        </w:rPr>
        <w:t xml:space="preserve"> </w:t>
      </w:r>
      <w:r>
        <w:rPr>
          <w:rFonts w:ascii="Times New Roman" w:hAnsi="Times New Roman"/>
          <w:b w:val="false"/>
          <w:color w:val="000000"/>
          <w:sz w:val="20"/>
        </w:rPr>
        <w:t>thousand,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outlines the estimated annual amortization expense related to intangible assets as of September 30, 2023:</w:t>
      </w:r>
      <w:r>
        <w:rPr>
          <w:rFonts w:ascii="Times New Roman" w:hAnsi="Times New Roman"/>
          <w:color w:val="000000"/>
          <w:sz w:val="20"/>
        </w:rPr>
        <w:t xml:space="preserve">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Amortization</w:t>
            </w:r>
          </w:p>
        </w:tc>
      </w:tr>
      <w:tr>
        <w:trPr/>
        <w:tc>
          <w:tcPr>
            <w:tcW w:w="20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Remainder of 2023</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1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12,744</w:t>
            </w:r>
          </w:p>
        </w:tc>
      </w:tr>
      <w:tr>
        <w:trPr/>
        <w:tc>
          <w:tcPr>
            <w:tcW w:w="20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2024</w:t>
            </w:r>
          </w:p>
        </w:tc>
        <w:tc>
          <w:tcPr>
            <w:tcW w:w="196" w:type="dxa"/>
            <w:tcBorders/>
            <w:shd w:fill="FFFFFF" w:val="clear"/>
            <w:vAlign w:val="center"/>
          </w:tcPr>
          <w:p>
            <w:pPr>
              <w:pStyle w:val="TableContents"/>
              <w:bidi w:val="0"/>
              <w:spacing w:before="0" w:after="283"/>
              <w:jc w:val="center"/>
              <w:rPr/>
            </w:pPr>
            <w:r>
              <w:rPr/>
              <w:t> </w:t>
            </w:r>
          </w:p>
        </w:tc>
        <w:tc>
          <w:tcPr>
            <w:tcW w:w="11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50,392</w:t>
            </w:r>
          </w:p>
        </w:tc>
      </w:tr>
      <w:tr>
        <w:trPr/>
        <w:tc>
          <w:tcPr>
            <w:tcW w:w="20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2025</w:t>
            </w:r>
          </w:p>
        </w:tc>
        <w:tc>
          <w:tcPr>
            <w:tcW w:w="196" w:type="dxa"/>
            <w:tcBorders/>
            <w:shd w:fill="CFF0FC" w:val="clear"/>
            <w:vAlign w:val="center"/>
          </w:tcPr>
          <w:p>
            <w:pPr>
              <w:pStyle w:val="TableContents"/>
              <w:bidi w:val="0"/>
              <w:spacing w:before="0" w:after="283"/>
              <w:jc w:val="center"/>
              <w:rPr/>
            </w:pPr>
            <w:r>
              <w:rPr/>
              <w:t> </w:t>
            </w:r>
          </w:p>
        </w:tc>
        <w:tc>
          <w:tcPr>
            <w:tcW w:w="11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50,294</w:t>
            </w:r>
          </w:p>
        </w:tc>
      </w:tr>
      <w:tr>
        <w:trPr/>
        <w:tc>
          <w:tcPr>
            <w:tcW w:w="20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2026</w:t>
            </w:r>
          </w:p>
        </w:tc>
        <w:tc>
          <w:tcPr>
            <w:tcW w:w="196" w:type="dxa"/>
            <w:tcBorders/>
            <w:shd w:fill="FFFFFF" w:val="clear"/>
            <w:vAlign w:val="center"/>
          </w:tcPr>
          <w:p>
            <w:pPr>
              <w:pStyle w:val="TableContents"/>
              <w:bidi w:val="0"/>
              <w:spacing w:before="0" w:after="283"/>
              <w:jc w:val="center"/>
              <w:rPr/>
            </w:pPr>
            <w:r>
              <w:rPr/>
              <w:t> </w:t>
            </w:r>
          </w:p>
        </w:tc>
        <w:tc>
          <w:tcPr>
            <w:tcW w:w="11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47,332</w:t>
            </w:r>
          </w:p>
        </w:tc>
      </w:tr>
      <w:tr>
        <w:trPr/>
        <w:tc>
          <w:tcPr>
            <w:tcW w:w="20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2027</w:t>
            </w:r>
          </w:p>
        </w:tc>
        <w:tc>
          <w:tcPr>
            <w:tcW w:w="196" w:type="dxa"/>
            <w:tcBorders/>
            <w:shd w:fill="CFF0FC" w:val="clear"/>
            <w:vAlign w:val="center"/>
          </w:tcPr>
          <w:p>
            <w:pPr>
              <w:pStyle w:val="TableContents"/>
              <w:bidi w:val="0"/>
              <w:spacing w:before="0" w:after="283"/>
              <w:jc w:val="center"/>
              <w:rPr/>
            </w:pPr>
            <w:r>
              <w:rPr/>
              <w:t> </w:t>
            </w:r>
          </w:p>
        </w:tc>
        <w:tc>
          <w:tcPr>
            <w:tcW w:w="11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46,803</w:t>
            </w:r>
          </w:p>
        </w:tc>
      </w:tr>
      <w:tr>
        <w:trPr/>
        <w:tc>
          <w:tcPr>
            <w:tcW w:w="20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2028 and Thereafter</w:t>
            </w:r>
          </w:p>
        </w:tc>
        <w:tc>
          <w:tcPr>
            <w:tcW w:w="19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343,857</w:t>
            </w:r>
          </w:p>
        </w:tc>
      </w:tr>
      <w:tr>
        <w:trPr/>
        <w:tc>
          <w:tcPr>
            <w:tcW w:w="207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551,422</w:t>
            </w:r>
          </w:p>
        </w:tc>
      </w:tr>
    </w:tbl>
    <w:p>
      <w:pPr>
        <w:pStyle w:val="TextBody"/>
        <w:bidi w:val="0"/>
        <w:spacing w:before="360" w:after="283"/>
        <w:jc w:val="left"/>
        <w:rPr>
          <w:rFonts w:ascii="Times New Roman" w:hAnsi="Times New Roman"/>
          <w:sz w:val="20"/>
        </w:rPr>
      </w:pPr>
      <w:r>
        <w:rPr>
          <w:rFonts w:ascii="Times New Roman" w:hAnsi="Times New Roman"/>
          <w:b w:val="false"/>
          <w:color w:val="000000"/>
          <w:sz w:val="20"/>
        </w:rPr>
        <w:t>As of September 30, 2023, the weighted average amortization period remaining for intangible assets was 11.60</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and December 31, 2022 the balances of goodwill, by segment, consisted of the following:</w:t>
      </w:r>
      <w:r>
        <w:rPr>
          <w:rFonts w:ascii="Times New Roman" w:hAnsi="Times New Roman"/>
          <w:color w:val="000000"/>
          <w:sz w:val="20"/>
        </w:rPr>
        <w:t xml:space="preserve"> </w:t>
      </w:r>
    </w:p>
    <w:p>
      <w:pPr>
        <w:pStyle w:val="TextBody"/>
        <w:bidi w:val="0"/>
        <w:spacing w:before="120" w:after="283"/>
        <w:jc w:val="left"/>
        <w:rPr/>
      </w:pPr>
      <w:r>
        <w:rPr/>
        <w:t> </w:t>
      </w:r>
    </w:p>
    <w:tbl>
      <w:tblPr>
        <w:tblW w:w="6187" w:type="dxa"/>
        <w:jc w:val="left"/>
        <w:tblInd w:w="0" w:type="dxa"/>
        <w:tblLayout w:type="fixed"/>
        <w:tblCellMar>
          <w:top w:w="28" w:type="dxa"/>
          <w:left w:w="28" w:type="dxa"/>
          <w:bottom w:w="28" w:type="dxa"/>
          <w:right w:w="28" w:type="dxa"/>
        </w:tblCellMar>
      </w:tblPr>
      <w:tblGrid>
        <w:gridCol w:w="2071"/>
        <w:gridCol w:w="196"/>
        <w:gridCol w:w="691"/>
        <w:gridCol w:w="196"/>
        <w:gridCol w:w="2101"/>
        <w:gridCol w:w="196"/>
        <w:gridCol w:w="736"/>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Consumer Packaged Goods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07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December 31, 2022</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273,802</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1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315,889</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589,691</w:t>
            </w:r>
          </w:p>
        </w:tc>
      </w:tr>
      <w:tr>
        <w:trPr/>
        <w:tc>
          <w:tcPr>
            <w:tcW w:w="20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September 30, 2023</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273,802</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1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315,889</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held various equity interests in cannabis related companies as well as investments in note receivable instruments that had a combined fair value of $77,335</w:t>
      </w:r>
      <w:r>
        <w:rPr>
          <w:rFonts w:ascii="Times New Roman" w:hAnsi="Times New Roman"/>
          <w:color w:val="000000"/>
          <w:sz w:val="20"/>
        </w:rPr>
        <w:t xml:space="preserve"> </w:t>
      </w:r>
      <w:r>
        <w:rPr>
          <w:rFonts w:ascii="Times New Roman" w:hAnsi="Times New Roman"/>
          <w:b w:val="false"/>
          <w:color w:val="000000"/>
          <w:sz w:val="20"/>
        </w:rPr>
        <w:t>thousand and $74,169</w:t>
      </w:r>
      <w:r>
        <w:rPr>
          <w:rFonts w:ascii="Times New Roman" w:hAnsi="Times New Roman"/>
          <w:color w:val="000000"/>
          <w:sz w:val="20"/>
        </w:rPr>
        <w:t xml:space="preserve"> </w:t>
      </w:r>
      <w:r>
        <w:rPr>
          <w:rFonts w:ascii="Times New Roman" w:hAnsi="Times New Roman"/>
          <w:b w:val="false"/>
          <w:color w:val="000000"/>
          <w:sz w:val="20"/>
        </w:rPr>
        <w:t>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summarizes the changes in the Company’s investments during the nine months ended September 30, 2023 and year ending December 31, 2022:</w:t>
      </w:r>
      <w:r>
        <w:rPr>
          <w:rFonts w:ascii="Times New Roman" w:hAnsi="Times New Roman"/>
          <w:color w:val="000000"/>
          <w:sz w:val="20"/>
        </w:rPr>
        <w:t xml:space="preserve"> </w:t>
      </w:r>
    </w:p>
    <w:p>
      <w:pPr>
        <w:pStyle w:val="TextBody"/>
        <w:bidi w:val="0"/>
        <w:jc w:val="left"/>
        <w:rPr/>
      </w:pPr>
      <w:r>
        <w:rPr/>
        <w:t> </w:t>
      </w:r>
    </w:p>
    <w:tbl>
      <w:tblPr>
        <w:tblW w:w="5225" w:type="dxa"/>
        <w:jc w:val="left"/>
        <w:tblInd w:w="0" w:type="dxa"/>
        <w:tblLayout w:type="fixed"/>
        <w:tblCellMar>
          <w:top w:w="28" w:type="dxa"/>
          <w:left w:w="28" w:type="dxa"/>
          <w:bottom w:w="28" w:type="dxa"/>
          <w:right w:w="28" w:type="dxa"/>
        </w:tblCellMar>
      </w:tblPr>
      <w:tblGrid>
        <w:gridCol w:w="1636"/>
        <w:gridCol w:w="196"/>
        <w:gridCol w:w="1606"/>
        <w:gridCol w:w="196"/>
        <w:gridCol w:w="1591"/>
      </w:tblGrid>
      <w:tr>
        <w:trPr/>
        <w:tc>
          <w:tcPr>
            <w:tcW w:w="1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r>
      <w:tr>
        <w:trPr/>
        <w:tc>
          <w:tcPr>
            <w:tcW w:w="1636" w:type="dxa"/>
            <w:tcBorders/>
            <w:shd w:fill="FFFFFF" w:val="clear"/>
            <w:vAlign w:val="center"/>
          </w:tcPr>
          <w:p>
            <w:pPr>
              <w:pStyle w:val="TableContents"/>
              <w:bidi w:val="0"/>
              <w:spacing w:before="0" w:after="283"/>
              <w:jc w:val="left"/>
              <w:rPr/>
            </w:pPr>
            <w:r>
              <w:rPr/>
              <w:t> </w:t>
            </w:r>
          </w:p>
        </w:tc>
        <w:tc>
          <w:tcPr>
            <w:tcW w:w="3589" w:type="dxa"/>
            <w:gridSpan w:val="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Beginning</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74,169</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94,902</w:t>
            </w:r>
          </w:p>
        </w:tc>
      </w:tr>
      <w:tr>
        <w:trPr/>
        <w:tc>
          <w:tcPr>
            <w:tcW w:w="16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Additions</w:t>
            </w:r>
          </w:p>
        </w:tc>
        <w:tc>
          <w:tcPr>
            <w:tcW w:w="19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3,700</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5,444</w:t>
            </w:r>
          </w:p>
        </w:tc>
      </w:tr>
      <w:tr>
        <w:trPr/>
        <w:tc>
          <w:tcPr>
            <w:tcW w:w="16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Disposals</w:t>
            </w:r>
          </w:p>
        </w:tc>
        <w:tc>
          <w:tcPr>
            <w:tcW w:w="196" w:type="dxa"/>
            <w:tcBorders/>
            <w:shd w:fill="CFF0FC" w:val="clear"/>
            <w:vAlign w:val="center"/>
          </w:tcPr>
          <w:p>
            <w:pPr>
              <w:pStyle w:val="TableContents"/>
              <w:bidi w:val="0"/>
              <w:spacing w:before="0" w:after="283"/>
              <w:jc w:val="center"/>
              <w:rPr/>
            </w:pPr>
            <w:r>
              <w:rPr/>
              <w:t> </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(331)</w:t>
            </w:r>
          </w:p>
        </w:tc>
        <w:tc>
          <w:tcPr>
            <w:tcW w:w="196" w:type="dxa"/>
            <w:tcBorders/>
            <w:shd w:fill="CFF0FC" w:val="clear"/>
            <w:vAlign w:val="center"/>
          </w:tcPr>
          <w:p>
            <w:pPr>
              <w:pStyle w:val="TableContents"/>
              <w:bidi w:val="0"/>
              <w:spacing w:before="0" w:after="283"/>
              <w:jc w:val="center"/>
              <w:rPr/>
            </w:pPr>
            <w:r>
              <w:rPr/>
              <w:t> </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(3,571)</w:t>
            </w:r>
          </w:p>
        </w:tc>
      </w:tr>
      <w:tr>
        <w:trPr/>
        <w:tc>
          <w:tcPr>
            <w:tcW w:w="16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Fair value adjustment</w:t>
            </w:r>
          </w:p>
        </w:tc>
        <w:tc>
          <w:tcPr>
            <w:tcW w:w="19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(22,606)</w:t>
            </w:r>
          </w:p>
        </w:tc>
      </w:tr>
      <w:tr>
        <w:trPr/>
        <w:tc>
          <w:tcPr>
            <w:tcW w:w="16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Transfers and other</w:t>
            </w:r>
          </w:p>
        </w:tc>
        <w:tc>
          <w:tcPr>
            <w:tcW w:w="196" w:type="dxa"/>
            <w:tcBorders/>
            <w:shd w:fill="CFF0FC" w:val="clear"/>
            <w:vAlign w:val="center"/>
          </w:tcPr>
          <w:p>
            <w:pPr>
              <w:pStyle w:val="TableContents"/>
              <w:bidi w:val="0"/>
              <w:spacing w:before="0" w:after="283"/>
              <w:jc w:val="center"/>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Ending</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77,335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74,169</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three and nine months ended September 30, 2023, the Company recorded fair value gains (losses), net of interest income of $775</w:t>
      </w:r>
      <w:r>
        <w:rPr>
          <w:rFonts w:ascii="Times New Roman" w:hAnsi="Times New Roman"/>
          <w:color w:val="000000"/>
          <w:sz w:val="20"/>
        </w:rPr>
        <w:t xml:space="preserve"> </w:t>
      </w:r>
      <w:r>
        <w:rPr>
          <w:rFonts w:ascii="Times New Roman" w:hAnsi="Times New Roman"/>
          <w:b w:val="false"/>
          <w:color w:val="000000"/>
          <w:sz w:val="20"/>
        </w:rPr>
        <w:t>thousand and $(153)</w:t>
      </w:r>
      <w:r>
        <w:rPr>
          <w:rFonts w:ascii="Times New Roman" w:hAnsi="Times New Roman"/>
          <w:color w:val="000000"/>
          <w:sz w:val="20"/>
        </w:rPr>
        <w:t xml:space="preserve"> </w:t>
      </w:r>
      <w:r>
        <w:rPr>
          <w:rFonts w:ascii="Times New Roman" w:hAnsi="Times New Roman"/>
          <w:b w:val="false"/>
          <w:color w:val="000000"/>
          <w:sz w:val="20"/>
        </w:rPr>
        <w:t>thousand, respectively. The fair value gains (losses) associated with the Company's equity investments in the amount of $724</w:t>
      </w:r>
      <w:r>
        <w:rPr>
          <w:rFonts w:ascii="Times New Roman" w:hAnsi="Times New Roman"/>
          <w:color w:val="000000"/>
          <w:sz w:val="20"/>
        </w:rPr>
        <w:t xml:space="preserve"> </w:t>
      </w:r>
      <w:r>
        <w:rPr>
          <w:rFonts w:ascii="Times New Roman" w:hAnsi="Times New Roman"/>
          <w:b w:val="false"/>
          <w:color w:val="000000"/>
          <w:sz w:val="20"/>
        </w:rPr>
        <w:t>thousand and $(410)</w:t>
      </w:r>
      <w:r>
        <w:rPr>
          <w:rFonts w:ascii="Times New Roman" w:hAnsi="Times New Roman"/>
          <w:color w:val="000000"/>
          <w:sz w:val="20"/>
        </w:rPr>
        <w:t xml:space="preserve"> </w:t>
      </w:r>
      <w:r>
        <w:rPr>
          <w:rFonts w:ascii="Times New Roman" w:hAnsi="Times New Roman"/>
          <w:b w:val="false"/>
          <w:color w:val="000000"/>
          <w:sz w:val="20"/>
        </w:rPr>
        <w:t>thousand as of the three and nine months ended September 30, 2023, respectively, was recorded within other income (expense) on the Company's unaudited interim condensed consolidated statements of operations. The interest income portion associated with the Company's note receivable investments in the amount of $51</w:t>
      </w:r>
      <w:r>
        <w:rPr>
          <w:rFonts w:ascii="Times New Roman" w:hAnsi="Times New Roman"/>
          <w:color w:val="000000"/>
          <w:sz w:val="20"/>
        </w:rPr>
        <w:t xml:space="preserve"> </w:t>
      </w:r>
      <w:r>
        <w:rPr>
          <w:rFonts w:ascii="Times New Roman" w:hAnsi="Times New Roman"/>
          <w:b w:val="false"/>
          <w:color w:val="000000"/>
          <w:sz w:val="20"/>
        </w:rPr>
        <w:t>thousand and $257</w:t>
      </w:r>
      <w:r>
        <w:rPr>
          <w:rFonts w:ascii="Times New Roman" w:hAnsi="Times New Roman"/>
          <w:color w:val="000000"/>
          <w:sz w:val="20"/>
        </w:rPr>
        <w:t xml:space="preserve"> </w:t>
      </w:r>
      <w:r>
        <w:rPr>
          <w:rFonts w:ascii="Times New Roman" w:hAnsi="Times New Roman"/>
          <w:b w:val="false"/>
          <w:color w:val="000000"/>
          <w:sz w:val="20"/>
        </w:rPr>
        <w:t>thousand as of the three and nine months ended September 30, 2023, respectively was recorded within interest income on the unaudited interim condensed consolidated statements of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Equity Investments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the Company held equity investments in publicly traded entities which have readily determinable fair values, which are classified as Level 1 investments, of $2,094</w:t>
      </w:r>
      <w:r>
        <w:rPr>
          <w:rFonts w:ascii="Times New Roman" w:hAnsi="Times New Roman"/>
          <w:color w:val="000000"/>
          <w:sz w:val="20"/>
        </w:rPr>
        <w:t xml:space="preserve"> </w:t>
      </w:r>
      <w:r>
        <w:rPr>
          <w:rFonts w:ascii="Times New Roman" w:hAnsi="Times New Roman"/>
          <w:b w:val="false"/>
          <w:color w:val="000000"/>
          <w:sz w:val="20"/>
        </w:rPr>
        <w:t>thousand and $2,535</w:t>
      </w:r>
      <w:r>
        <w:rPr>
          <w:rFonts w:ascii="Times New Roman" w:hAnsi="Times New Roman"/>
          <w:color w:val="000000"/>
          <w:sz w:val="20"/>
        </w:rPr>
        <w:t xml:space="preserve"> </w:t>
      </w:r>
      <w:r>
        <w:rPr>
          <w:rFonts w:ascii="Times New Roman" w:hAnsi="Times New Roman"/>
          <w:b w:val="false"/>
          <w:color w:val="000000"/>
          <w:sz w:val="20"/>
        </w:rPr>
        <w:t>thousand, respectively. During the three and nine months ended September 30, 2023, the Company recorded net gains (losses) on the change in fair value of such investments of $724</w:t>
      </w:r>
      <w:r>
        <w:rPr>
          <w:rFonts w:ascii="Times New Roman" w:hAnsi="Times New Roman"/>
          <w:color w:val="000000"/>
          <w:sz w:val="20"/>
        </w:rPr>
        <w:t xml:space="preserve"> </w:t>
      </w:r>
      <w:r>
        <w:rPr>
          <w:rFonts w:ascii="Times New Roman" w:hAnsi="Times New Roman"/>
          <w:b w:val="false"/>
          <w:color w:val="000000"/>
          <w:sz w:val="20"/>
        </w:rPr>
        <w:t>thousand and $(410)</w:t>
      </w:r>
      <w:r>
        <w:rPr>
          <w:rFonts w:ascii="Times New Roman" w:hAnsi="Times New Roman"/>
          <w:color w:val="000000"/>
          <w:sz w:val="20"/>
        </w:rPr>
        <w:t xml:space="preserve"> </w:t>
      </w:r>
      <w:r>
        <w:rPr>
          <w:rFonts w:ascii="Times New Roman" w:hAnsi="Times New Roman"/>
          <w:b w:val="false"/>
          <w:color w:val="000000"/>
          <w:sz w:val="20"/>
        </w:rPr>
        <w:t>thousand, respectively, within other income (expense) on the unaudited interim condensed consolidated statements of operations. During the three and nine months ended September 30, 2022, the Company recorded net gains (losses) on the change in fair value of such investments of $124</w:t>
      </w:r>
      <w:r>
        <w:rPr>
          <w:rFonts w:ascii="Times New Roman" w:hAnsi="Times New Roman"/>
          <w:color w:val="000000"/>
          <w:sz w:val="20"/>
        </w:rPr>
        <w:t xml:space="preserve"> </w:t>
      </w:r>
      <w:r>
        <w:rPr>
          <w:rFonts w:ascii="Times New Roman" w:hAnsi="Times New Roman"/>
          <w:b w:val="false"/>
          <w:color w:val="000000"/>
          <w:sz w:val="20"/>
        </w:rPr>
        <w:t>thousand and $(14,169)</w:t>
      </w:r>
      <w:r>
        <w:rPr>
          <w:rFonts w:ascii="Times New Roman" w:hAnsi="Times New Roman"/>
          <w:color w:val="000000"/>
          <w:sz w:val="20"/>
        </w:rPr>
        <w:t xml:space="preserve"> </w:t>
      </w:r>
      <w:r>
        <w:rPr>
          <w:rFonts w:ascii="Times New Roman" w:hAnsi="Times New Roman"/>
          <w:b w:val="false"/>
          <w:color w:val="000000"/>
          <w:sz w:val="20"/>
        </w:rPr>
        <w:t>thousand, respectively, within other income (expense) on the unaudited interim condensed consolidated statements of operations. During the nine months ended September 30, 2023 and 2022, the Company received proceeds from the sale of such investments of $31</w:t>
      </w:r>
      <w:r>
        <w:rPr>
          <w:rFonts w:ascii="Times New Roman" w:hAnsi="Times New Roman"/>
          <w:color w:val="000000"/>
          <w:sz w:val="20"/>
        </w:rPr>
        <w:t xml:space="preserve"> </w:t>
      </w:r>
      <w:r>
        <w:rPr>
          <w:rFonts w:ascii="Times New Roman" w:hAnsi="Times New Roman"/>
          <w:b w:val="false"/>
          <w:color w:val="000000"/>
          <w:sz w:val="20"/>
        </w:rPr>
        <w:t>thousand and $2,393</w:t>
      </w:r>
      <w:r>
        <w:rPr>
          <w:rFonts w:ascii="Times New Roman" w:hAnsi="Times New Roman"/>
          <w:color w:val="000000"/>
          <w:sz w:val="20"/>
        </w:rPr>
        <w:t xml:space="preserve"> </w:t>
      </w:r>
      <w:r>
        <w:rPr>
          <w:rFonts w:ascii="Times New Roman" w:hAnsi="Times New Roman"/>
          <w:b w:val="false"/>
          <w:color w:val="000000"/>
          <w:sz w:val="20"/>
        </w:rPr>
        <w:t>thousand, respectively. These investments are classified as trading securities on the Company's 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the Company held equity investments in privately held entities that did not have readily determinable fair values, which are classified as Level 3 investments, of $42,330</w:t>
      </w:r>
      <w:r>
        <w:rPr>
          <w:rFonts w:ascii="Times New Roman" w:hAnsi="Times New Roman"/>
          <w:color w:val="000000"/>
          <w:sz w:val="20"/>
        </w:rPr>
        <w:t xml:space="preserve"> </w:t>
      </w:r>
      <w:r>
        <w:rPr>
          <w:rFonts w:ascii="Times New Roman" w:hAnsi="Times New Roman"/>
          <w:b w:val="false"/>
          <w:color w:val="000000"/>
          <w:sz w:val="20"/>
        </w:rPr>
        <w:t>thousand and $40,330</w:t>
      </w:r>
      <w:r>
        <w:rPr>
          <w:rFonts w:ascii="Times New Roman" w:hAnsi="Times New Roman"/>
          <w:color w:val="000000"/>
          <w:sz w:val="20"/>
        </w:rPr>
        <w:t xml:space="preserve"> </w:t>
      </w:r>
      <w:r>
        <w:rPr>
          <w:rFonts w:ascii="Times New Roman" w:hAnsi="Times New Roman"/>
          <w:b w:val="false"/>
          <w:color w:val="000000"/>
          <w:sz w:val="20"/>
        </w:rPr>
        <w:t>thousand, respectively. For the three and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gains or losses on the change in fair value of such investments. During the three and nine months ended September 30, 2022, the Company recorded net gains (losses) on the change in fair value of such investments of $(295)</w:t>
      </w:r>
      <w:r>
        <w:rPr>
          <w:rFonts w:ascii="Times New Roman" w:hAnsi="Times New Roman"/>
          <w:color w:val="000000"/>
          <w:sz w:val="20"/>
        </w:rPr>
        <w:t xml:space="preserve"> </w:t>
      </w:r>
      <w:r>
        <w:rPr>
          <w:rFonts w:ascii="Times New Roman" w:hAnsi="Times New Roman"/>
          <w:b w:val="false"/>
          <w:color w:val="000000"/>
          <w:sz w:val="20"/>
        </w:rPr>
        <w:t>thousand and $182</w:t>
      </w:r>
      <w:r>
        <w:rPr>
          <w:rFonts w:ascii="Times New Roman" w:hAnsi="Times New Roman"/>
          <w:color w:val="000000"/>
          <w:sz w:val="20"/>
        </w:rPr>
        <w:t xml:space="preserve"> </w:t>
      </w:r>
      <w:r>
        <w:rPr>
          <w:rFonts w:ascii="Times New Roman" w:hAnsi="Times New Roman"/>
          <w:b w:val="false"/>
          <w:color w:val="000000"/>
          <w:sz w:val="20"/>
        </w:rPr>
        <w:t>thousand, respectively, within other income (expense) on the unaudited interim condensed consolidated statements of operations. There were no sales of these investments during these periods. These investments are classified as trading securities on the Company's 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See Note 13 - Fair Value Measurements for additional details.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b w:val="false"/>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 Equity Investments </w:t>
      </w:r>
      <w:r>
        <w:rPr>
          <w:rFonts w:ascii="Times New Roman" w:hAnsi="Times New Roman"/>
          <w:b w:val="false"/>
          <w:i/>
          <w:color w:val="000000"/>
          <w:sz w:val="20"/>
        </w:rPr>
        <w:t>(Continued)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Unrealized gains and (losses) recognized on equity investments held during the three and nine months ended September 30, 2023 were $660</w:t>
      </w:r>
      <w:r>
        <w:rPr>
          <w:rFonts w:ascii="Times New Roman" w:hAnsi="Times New Roman"/>
          <w:color w:val="000000"/>
          <w:sz w:val="20"/>
        </w:rPr>
        <w:t xml:space="preserve"> </w:t>
      </w:r>
      <w:r>
        <w:rPr>
          <w:rFonts w:ascii="Times New Roman" w:hAnsi="Times New Roman"/>
          <w:b w:val="false"/>
          <w:color w:val="000000"/>
          <w:sz w:val="20"/>
        </w:rPr>
        <w:t>thousand and $(350)</w:t>
      </w:r>
      <w:r>
        <w:rPr>
          <w:rFonts w:ascii="Times New Roman" w:hAnsi="Times New Roman"/>
          <w:color w:val="000000"/>
          <w:sz w:val="20"/>
        </w:rPr>
        <w:t xml:space="preserve"> </w:t>
      </w:r>
      <w:r>
        <w:rPr>
          <w:rFonts w:ascii="Times New Roman" w:hAnsi="Times New Roman"/>
          <w:b w:val="false"/>
          <w:color w:val="000000"/>
          <w:sz w:val="20"/>
        </w:rPr>
        <w:t>thousand, respectively. Unrealized losses recognized on equity investments held during the three and nine months ended September 30, 2022 were $137</w:t>
      </w:r>
      <w:r>
        <w:rPr>
          <w:rFonts w:ascii="Times New Roman" w:hAnsi="Times New Roman"/>
          <w:color w:val="000000"/>
          <w:sz w:val="20"/>
        </w:rPr>
        <w:t xml:space="preserve"> </w:t>
      </w:r>
      <w:r>
        <w:rPr>
          <w:rFonts w:ascii="Times New Roman" w:hAnsi="Times New Roman"/>
          <w:b w:val="false"/>
          <w:color w:val="000000"/>
          <w:sz w:val="20"/>
        </w:rPr>
        <w:t>thousand and $(13,825)</w:t>
      </w:r>
      <w:r>
        <w:rPr>
          <w:rFonts w:ascii="Times New Roman" w:hAnsi="Times New Roman"/>
          <w:color w:val="000000"/>
          <w:sz w:val="20"/>
        </w:rPr>
        <w:t xml:space="preserve"> </w:t>
      </w:r>
      <w:r>
        <w:rPr>
          <w:rFonts w:ascii="Times New Roman" w:hAnsi="Times New Roman"/>
          <w:b w:val="false"/>
          <w:color w:val="000000"/>
          <w:sz w:val="20"/>
        </w:rPr>
        <w:t>thousand,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Note Receivable Instruments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has made multiple investments in various note receivable instruments, including note receivable instruments with conversion features.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held note receivable instruments, which were classified as a Level 1 investment as they represent public debt of a publicly traded entity, and had a fair value of $22,214</w:t>
      </w:r>
      <w:r>
        <w:rPr>
          <w:rFonts w:ascii="Times New Roman" w:hAnsi="Times New Roman"/>
          <w:color w:val="000000"/>
          <w:sz w:val="20"/>
        </w:rPr>
        <w:t xml:space="preserve"> </w:t>
      </w:r>
      <w:r>
        <w:rPr>
          <w:rFonts w:ascii="Times New Roman" w:hAnsi="Times New Roman"/>
          <w:b w:val="false"/>
          <w:color w:val="000000"/>
          <w:sz w:val="20"/>
        </w:rPr>
        <w:t>thousand as of September 30, 2023 and December 31, 2022. During the three and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gains or (losses) on the change in fair value of such investments. For the three and nine months ended September 30, 2022, the Company recorded net gains (losses) on the change in fair value of such investments of $418</w:t>
      </w:r>
      <w:r>
        <w:rPr>
          <w:rFonts w:ascii="Times New Roman" w:hAnsi="Times New Roman"/>
          <w:color w:val="000000"/>
          <w:sz w:val="20"/>
        </w:rPr>
        <w:t xml:space="preserve"> </w:t>
      </w:r>
      <w:r>
        <w:rPr>
          <w:rFonts w:ascii="Times New Roman" w:hAnsi="Times New Roman"/>
          <w:b w:val="false"/>
          <w:color w:val="000000"/>
          <w:sz w:val="20"/>
        </w:rPr>
        <w:t>thousand and $(236)</w:t>
      </w:r>
      <w:r>
        <w:rPr>
          <w:rFonts w:ascii="Times New Roman" w:hAnsi="Times New Roman"/>
          <w:color w:val="000000"/>
          <w:sz w:val="20"/>
        </w:rPr>
        <w:t xml:space="preserve"> </w:t>
      </w:r>
      <w:r>
        <w:rPr>
          <w:rFonts w:ascii="Times New Roman" w:hAnsi="Times New Roman"/>
          <w:b w:val="false"/>
          <w:color w:val="000000"/>
          <w:sz w:val="20"/>
        </w:rPr>
        <w:t>thousand, respectively within other income (expense) on the unaudited interim condensed consolidated statements of operations. The note receivable instruments have a stated interest rate of 13% and a maturity date of April 30, 2025. These note receivable instruments did not contain conversion features and are currently classified as trading securities on the Company's unaudited interim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the Company held note receivable instruments which were classified as Level 3 investments as they represent loans provided to privately held entities that do not have readily determinable fair values. The note receivable instruments had a combined fair value of $10,697</w:t>
      </w:r>
      <w:r>
        <w:rPr>
          <w:rFonts w:ascii="Times New Roman" w:hAnsi="Times New Roman"/>
          <w:color w:val="000000"/>
          <w:sz w:val="20"/>
        </w:rPr>
        <w:t xml:space="preserve"> </w:t>
      </w:r>
      <w:r>
        <w:rPr>
          <w:rFonts w:ascii="Times New Roman" w:hAnsi="Times New Roman"/>
          <w:b w:val="false"/>
          <w:color w:val="000000"/>
          <w:sz w:val="20"/>
        </w:rPr>
        <w:t>thousand and $9,090</w:t>
      </w:r>
      <w:r>
        <w:rPr>
          <w:rFonts w:ascii="Times New Roman" w:hAnsi="Times New Roman"/>
          <w:color w:val="000000"/>
          <w:sz w:val="20"/>
        </w:rPr>
        <w:t xml:space="preserve"> </w:t>
      </w:r>
      <w:r>
        <w:rPr>
          <w:rFonts w:ascii="Times New Roman" w:hAnsi="Times New Roman"/>
          <w:b w:val="false"/>
          <w:color w:val="000000"/>
          <w:sz w:val="20"/>
        </w:rPr>
        <w:t>thousand, respectively, with stated interest ranging between 0.91% and 10% and terms between 9</w:t>
      </w:r>
      <w:r>
        <w:rPr>
          <w:rFonts w:ascii="Times New Roman" w:hAnsi="Times New Roman"/>
          <w:color w:val="000000"/>
          <w:sz w:val="20"/>
        </w:rPr>
        <w:t xml:space="preserve"> </w:t>
      </w:r>
      <w:r>
        <w:rPr>
          <w:rFonts w:ascii="Times New Roman" w:hAnsi="Times New Roman"/>
          <w:b w:val="false"/>
          <w:color w:val="000000"/>
          <w:sz w:val="20"/>
        </w:rPr>
        <w:t>months to five years. During the three and nine months ended September 30, 2023, there were no</w:t>
      </w:r>
      <w:r>
        <w:rPr>
          <w:rFonts w:ascii="Times New Roman" w:hAnsi="Times New Roman"/>
          <w:color w:val="000000"/>
          <w:sz w:val="20"/>
        </w:rPr>
        <w:t xml:space="preserve"> </w:t>
      </w:r>
      <w:r>
        <w:rPr>
          <w:rFonts w:ascii="Times New Roman" w:hAnsi="Times New Roman"/>
          <w:b w:val="false"/>
          <w:color w:val="000000"/>
          <w:sz w:val="20"/>
        </w:rPr>
        <w:t>gains or (losses) recorded on the change in fair value of such investments, however, the company recorded accrued interest of $51</w:t>
      </w:r>
      <w:r>
        <w:rPr>
          <w:rFonts w:ascii="Times New Roman" w:hAnsi="Times New Roman"/>
          <w:color w:val="000000"/>
          <w:sz w:val="20"/>
        </w:rPr>
        <w:t xml:space="preserve"> </w:t>
      </w:r>
      <w:r>
        <w:rPr>
          <w:rFonts w:ascii="Times New Roman" w:hAnsi="Times New Roman"/>
          <w:b w:val="false"/>
          <w:color w:val="000000"/>
          <w:sz w:val="20"/>
        </w:rPr>
        <w:t>thousand and $257</w:t>
      </w:r>
      <w:r>
        <w:rPr>
          <w:rFonts w:ascii="Times New Roman" w:hAnsi="Times New Roman"/>
          <w:color w:val="000000"/>
          <w:sz w:val="20"/>
        </w:rPr>
        <w:t xml:space="preserve"> </w:t>
      </w:r>
      <w:r>
        <w:rPr>
          <w:rFonts w:ascii="Times New Roman" w:hAnsi="Times New Roman"/>
          <w:b w:val="false"/>
          <w:color w:val="000000"/>
          <w:sz w:val="20"/>
        </w:rPr>
        <w:t>thousand, respectively, within interest income on the unaudited interim condensed consolidated statements of operations. During the three and nine months ended September 30, 2022, the Company recorded net losses on the change in fair value of such investments of $0</w:t>
      </w:r>
      <w:r>
        <w:rPr>
          <w:rFonts w:ascii="Times New Roman" w:hAnsi="Times New Roman"/>
          <w:color w:val="000000"/>
          <w:sz w:val="20"/>
        </w:rPr>
        <w:t xml:space="preserve"> </w:t>
      </w:r>
      <w:r>
        <w:rPr>
          <w:rFonts w:ascii="Times New Roman" w:hAnsi="Times New Roman"/>
          <w:b w:val="false"/>
          <w:color w:val="000000"/>
          <w:sz w:val="20"/>
        </w:rPr>
        <w:t>thousand and $3,145</w:t>
      </w:r>
      <w:r>
        <w:rPr>
          <w:rFonts w:ascii="Times New Roman" w:hAnsi="Times New Roman"/>
          <w:color w:val="000000"/>
          <w:sz w:val="20"/>
        </w:rPr>
        <w:t xml:space="preserve"> </w:t>
      </w:r>
      <w:r>
        <w:rPr>
          <w:rFonts w:ascii="Times New Roman" w:hAnsi="Times New Roman"/>
          <w:b w:val="false"/>
          <w:color w:val="000000"/>
          <w:sz w:val="20"/>
        </w:rPr>
        <w:t>thousand, respectively, within other income (expense) and accrued interest of $185</w:t>
      </w:r>
      <w:r>
        <w:rPr>
          <w:rFonts w:ascii="Times New Roman" w:hAnsi="Times New Roman"/>
          <w:color w:val="000000"/>
          <w:sz w:val="20"/>
        </w:rPr>
        <w:t xml:space="preserve"> </w:t>
      </w:r>
      <w:r>
        <w:rPr>
          <w:rFonts w:ascii="Times New Roman" w:hAnsi="Times New Roman"/>
          <w:b w:val="false"/>
          <w:color w:val="000000"/>
          <w:sz w:val="20"/>
        </w:rPr>
        <w:t>thousand and $479</w:t>
      </w:r>
      <w:r>
        <w:rPr>
          <w:rFonts w:ascii="Times New Roman" w:hAnsi="Times New Roman"/>
          <w:color w:val="000000"/>
          <w:sz w:val="20"/>
        </w:rPr>
        <w:t xml:space="preserve"> </w:t>
      </w:r>
      <w:r>
        <w:rPr>
          <w:rFonts w:ascii="Times New Roman" w:hAnsi="Times New Roman"/>
          <w:b w:val="false"/>
          <w:color w:val="000000"/>
          <w:sz w:val="20"/>
        </w:rPr>
        <w:t>thousand, respectively, within interest income on the unaudited interim condensed consolidated statements of operations. These note receivable instruments are classified as trading securities on the Company's 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See Note 13 - Fair Value Measurements for additional details.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operating leases for its retail stores and processing and cultivation facilities located throughout the U.S., as well as corporate office space located in Illinois. Operating lease right-of-use assets and operating lease liabilities are recognized based on the present value of future minimum lease payments over the lease term at commencement date.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each real estate lease and the related non-lease components together as a single component.</w:t>
      </w:r>
    </w:p>
    <w:p>
      <w:pPr>
        <w:pStyle w:val="TextBody"/>
        <w:bidi w:val="0"/>
        <w:jc w:val="left"/>
        <w:rPr>
          <w:rFonts w:ascii="Times New Roman" w:hAnsi="Times New Roman"/>
          <w:sz w:val="20"/>
        </w:rPr>
      </w:pPr>
      <w:r>
        <w:rPr>
          <w:rFonts w:ascii="Times New Roman" w:hAnsi="Times New Roman"/>
          <w:b w:val="false"/>
          <w:color w:val="000000"/>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nine months ended September 30, 2023, the Company recorded operating lease expense of $11,628</w:t>
      </w:r>
      <w:r>
        <w:rPr>
          <w:rFonts w:ascii="Times New Roman" w:hAnsi="Times New Roman"/>
          <w:color w:val="000000"/>
          <w:sz w:val="20"/>
        </w:rPr>
        <w:t xml:space="preserve"> </w:t>
      </w:r>
      <w:r>
        <w:rPr>
          <w:rFonts w:ascii="Times New Roman" w:hAnsi="Times New Roman"/>
          <w:b w:val="false"/>
          <w:color w:val="000000"/>
          <w:sz w:val="20"/>
        </w:rPr>
        <w:t>thousand and $35,996</w:t>
      </w:r>
      <w:r>
        <w:rPr>
          <w:rFonts w:ascii="Times New Roman" w:hAnsi="Times New Roman"/>
          <w:color w:val="000000"/>
          <w:sz w:val="20"/>
        </w:rPr>
        <w:t xml:space="preserve"> </w:t>
      </w:r>
      <w:r>
        <w:rPr>
          <w:rFonts w:ascii="Times New Roman" w:hAnsi="Times New Roman"/>
          <w:b w:val="false"/>
          <w:color w:val="000000"/>
          <w:sz w:val="20"/>
        </w:rPr>
        <w:t>thousand, respectively compared to operating lease expense of $11,884</w:t>
      </w:r>
      <w:r>
        <w:rPr>
          <w:rFonts w:ascii="Times New Roman" w:hAnsi="Times New Roman"/>
          <w:color w:val="000000"/>
          <w:sz w:val="20"/>
        </w:rPr>
        <w:t xml:space="preserve"> </w:t>
      </w:r>
      <w:r>
        <w:rPr>
          <w:rFonts w:ascii="Times New Roman" w:hAnsi="Times New Roman"/>
          <w:b w:val="false"/>
          <w:color w:val="000000"/>
          <w:sz w:val="20"/>
        </w:rPr>
        <w:t>thousand and $31,906</w:t>
      </w:r>
      <w:r>
        <w:rPr>
          <w:rFonts w:ascii="Times New Roman" w:hAnsi="Times New Roman"/>
          <w:color w:val="000000"/>
          <w:sz w:val="20"/>
        </w:rPr>
        <w:t xml:space="preserve"> </w:t>
      </w:r>
      <w:r>
        <w:rPr>
          <w:rFonts w:ascii="Times New Roman" w:hAnsi="Times New Roman"/>
          <w:b w:val="false"/>
          <w:color w:val="000000"/>
          <w:sz w:val="20"/>
        </w:rPr>
        <w:t>thousand for the three and nine months ended September 30, 2022, respectively.</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information related to operating leases as of September 30, 2023 and December 31, 2022 were as follows:</w:t>
      </w:r>
      <w:r>
        <w:rPr>
          <w:rFonts w:ascii="Times New Roman" w:hAnsi="Times New Roman"/>
          <w:color w:val="000000"/>
          <w:sz w:val="20"/>
        </w:rPr>
        <w:t xml:space="preserve"> </w:t>
      </w:r>
    </w:p>
    <w:p>
      <w:pPr>
        <w:pStyle w:val="TextBody"/>
        <w:bidi w:val="0"/>
        <w:spacing w:before="120" w:after="283"/>
        <w:jc w:val="left"/>
        <w:rPr/>
      </w:pPr>
      <w:r>
        <w:rPr/>
        <w:t> </w:t>
      </w:r>
    </w:p>
    <w:tbl>
      <w:tblPr>
        <w:tblW w:w="6760" w:type="dxa"/>
        <w:jc w:val="left"/>
        <w:tblInd w:w="0" w:type="dxa"/>
        <w:tblLayout w:type="fixed"/>
        <w:tblCellMar>
          <w:top w:w="28" w:type="dxa"/>
          <w:left w:w="28" w:type="dxa"/>
          <w:bottom w:w="28" w:type="dxa"/>
          <w:right w:w="28" w:type="dxa"/>
        </w:tblCellMar>
      </w:tblPr>
      <w:tblGrid>
        <w:gridCol w:w="3376"/>
        <w:gridCol w:w="146"/>
        <w:gridCol w:w="154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33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11.98</w:t>
            </w:r>
          </w:p>
        </w:tc>
        <w:tc>
          <w:tcPr>
            <w:tcW w:w="146" w:type="dxa"/>
            <w:tcBorders/>
            <w:shd w:fill="CFF0FC" w:val="clear"/>
            <w:vAlign w:val="center"/>
          </w:tcPr>
          <w:p>
            <w:pPr>
              <w:pStyle w:val="TableContents"/>
              <w:bidi w:val="0"/>
              <w:spacing w:before="0" w:after="283"/>
              <w:jc w:val="right"/>
              <w:rPr/>
            </w:pPr>
            <w:r>
              <w:rPr/>
              <w:t> </w:t>
            </w:r>
          </w:p>
        </w:tc>
        <w:tc>
          <w:tcPr>
            <w:tcW w:w="1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11.64</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12.41%</w:t>
            </w:r>
          </w:p>
        </w:tc>
        <w:tc>
          <w:tcPr>
            <w:tcW w:w="146" w:type="dxa"/>
            <w:tcBorders/>
            <w:shd w:fill="FFFFFF" w:val="clear"/>
            <w:vAlign w:val="center"/>
          </w:tcPr>
          <w:p>
            <w:pPr>
              <w:pStyle w:val="TableContents"/>
              <w:bidi w:val="0"/>
              <w:spacing w:before="0" w:after="283"/>
              <w:jc w:val="right"/>
              <w:rPr/>
            </w:pPr>
            <w:r>
              <w:rPr/>
              <w:t> </w:t>
            </w:r>
          </w:p>
        </w:tc>
        <w:tc>
          <w:tcPr>
            <w:tcW w:w="1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12.42%</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Maturities of lease liabilities for operating leases as of September 30, 2023 were as follows:</w:t>
      </w:r>
      <w:r>
        <w:rPr>
          <w:rFonts w:ascii="Times New Roman" w:hAnsi="Times New Roman"/>
          <w:color w:val="000000"/>
          <w:sz w:val="20"/>
        </w:rPr>
        <w:t xml:space="preserve"> </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2431"/>
        <w:gridCol w:w="196"/>
        <w:gridCol w:w="976"/>
        <w:gridCol w:w="196"/>
        <w:gridCol w:w="1126"/>
        <w:gridCol w:w="196"/>
        <w:gridCol w:w="856"/>
      </w:tblGrid>
      <w:tr>
        <w:trPr/>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33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 of Lease Liability</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43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3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Remainder of 2023</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10,669</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1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10,812</w:t>
            </w:r>
          </w:p>
        </w:tc>
      </w:tr>
      <w:tr>
        <w:trPr/>
        <w:tc>
          <w:tcPr>
            <w:tcW w:w="24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2024</w:t>
            </w:r>
          </w:p>
        </w:tc>
        <w:tc>
          <w:tcPr>
            <w:tcW w:w="196" w:type="dxa"/>
            <w:tcBorders/>
            <w:shd w:fill="FFFFFF" w:val="clear"/>
            <w:vAlign w:val="center"/>
          </w:tcPr>
          <w:p>
            <w:pPr>
              <w:pStyle w:val="TableContents"/>
              <w:bidi w:val="0"/>
              <w:spacing w:before="0" w:after="283"/>
              <w:jc w:val="center"/>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43,250</w:t>
            </w:r>
          </w:p>
        </w:tc>
        <w:tc>
          <w:tcPr>
            <w:tcW w:w="196"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437</w:t>
            </w:r>
          </w:p>
        </w:tc>
        <w:tc>
          <w:tcPr>
            <w:tcW w:w="19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43,687</w:t>
            </w:r>
          </w:p>
        </w:tc>
      </w:tr>
      <w:tr>
        <w:trPr/>
        <w:tc>
          <w:tcPr>
            <w:tcW w:w="24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2025</w:t>
            </w:r>
          </w:p>
        </w:tc>
        <w:tc>
          <w:tcPr>
            <w:tcW w:w="196" w:type="dxa"/>
            <w:tcBorders/>
            <w:shd w:fill="CFF0FC" w:val="clear"/>
            <w:vAlign w:val="center"/>
          </w:tcPr>
          <w:p>
            <w:pPr>
              <w:pStyle w:val="TableContents"/>
              <w:bidi w:val="0"/>
              <w:spacing w:before="0" w:after="283"/>
              <w:jc w:val="center"/>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41,114</w:t>
            </w:r>
          </w:p>
        </w:tc>
        <w:tc>
          <w:tcPr>
            <w:tcW w:w="196" w:type="dxa"/>
            <w:tcBorders/>
            <w:shd w:fill="CFF0FC" w:val="clear"/>
            <w:vAlign w:val="center"/>
          </w:tcPr>
          <w:p>
            <w:pPr>
              <w:pStyle w:val="TableContents"/>
              <w:bidi w:val="0"/>
              <w:spacing w:before="0" w:after="283"/>
              <w:jc w:val="center"/>
              <w:rPr/>
            </w:pPr>
            <w:r>
              <w:rPr/>
              <w:t> </w:t>
            </w:r>
          </w:p>
        </w:tc>
        <w:tc>
          <w:tcPr>
            <w:tcW w:w="11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196" w:type="dxa"/>
            <w:tcBorders/>
            <w:shd w:fill="CFF0FC" w:val="clear"/>
            <w:vAlign w:val="center"/>
          </w:tcPr>
          <w:p>
            <w:pPr>
              <w:pStyle w:val="TableContents"/>
              <w:bidi w:val="0"/>
              <w:spacing w:before="0" w:after="283"/>
              <w:jc w:val="center"/>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41,457</w:t>
            </w:r>
          </w:p>
        </w:tc>
      </w:tr>
      <w:tr>
        <w:trPr/>
        <w:tc>
          <w:tcPr>
            <w:tcW w:w="24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2026</w:t>
            </w:r>
          </w:p>
        </w:tc>
        <w:tc>
          <w:tcPr>
            <w:tcW w:w="196" w:type="dxa"/>
            <w:tcBorders/>
            <w:shd w:fill="FFFFFF" w:val="clear"/>
            <w:vAlign w:val="center"/>
          </w:tcPr>
          <w:p>
            <w:pPr>
              <w:pStyle w:val="TableContents"/>
              <w:bidi w:val="0"/>
              <w:spacing w:before="0" w:after="283"/>
              <w:jc w:val="center"/>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40,409</w:t>
            </w:r>
          </w:p>
        </w:tc>
        <w:tc>
          <w:tcPr>
            <w:tcW w:w="196" w:type="dxa"/>
            <w:tcBorders/>
            <w:shd w:fill="FFFFFF" w:val="clear"/>
            <w:vAlign w:val="center"/>
          </w:tcPr>
          <w:p>
            <w:pPr>
              <w:pStyle w:val="TableContents"/>
              <w:bidi w:val="0"/>
              <w:spacing w:before="0" w:after="283"/>
              <w:jc w:val="center"/>
              <w:rPr/>
            </w:pPr>
            <w:r>
              <w:rPr/>
              <w:t> </w:t>
            </w:r>
          </w:p>
        </w:tc>
        <w:tc>
          <w:tcPr>
            <w:tcW w:w="11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w:t>
            </w:r>
          </w:p>
        </w:tc>
        <w:tc>
          <w:tcPr>
            <w:tcW w:w="196" w:type="dxa"/>
            <w:tcBorders/>
            <w:shd w:fill="FFFFFF" w:val="clear"/>
            <w:vAlign w:val="center"/>
          </w:tcPr>
          <w:p>
            <w:pPr>
              <w:pStyle w:val="TableContents"/>
              <w:bidi w:val="0"/>
              <w:spacing w:before="0" w:after="283"/>
              <w:jc w:val="center"/>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40,759</w:t>
            </w:r>
          </w:p>
        </w:tc>
      </w:tr>
      <w:tr>
        <w:trPr/>
        <w:tc>
          <w:tcPr>
            <w:tcW w:w="24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2027</w:t>
            </w:r>
          </w:p>
        </w:tc>
        <w:tc>
          <w:tcPr>
            <w:tcW w:w="196" w:type="dxa"/>
            <w:tcBorders/>
            <w:shd w:fill="CFF0FC" w:val="clear"/>
            <w:vAlign w:val="center"/>
          </w:tcPr>
          <w:p>
            <w:pPr>
              <w:pStyle w:val="TableContents"/>
              <w:bidi w:val="0"/>
              <w:spacing w:before="0" w:after="283"/>
              <w:jc w:val="center"/>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40,793</w:t>
            </w:r>
          </w:p>
        </w:tc>
        <w:tc>
          <w:tcPr>
            <w:tcW w:w="196" w:type="dxa"/>
            <w:tcBorders/>
            <w:shd w:fill="CFF0FC" w:val="clear"/>
            <w:vAlign w:val="center"/>
          </w:tcPr>
          <w:p>
            <w:pPr>
              <w:pStyle w:val="TableContents"/>
              <w:bidi w:val="0"/>
              <w:spacing w:before="0" w:after="283"/>
              <w:jc w:val="center"/>
              <w:rPr/>
            </w:pPr>
            <w:r>
              <w:rPr/>
              <w:t> </w:t>
            </w:r>
          </w:p>
        </w:tc>
        <w:tc>
          <w:tcPr>
            <w:tcW w:w="11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357</w:t>
            </w:r>
          </w:p>
        </w:tc>
        <w:tc>
          <w:tcPr>
            <w:tcW w:w="196" w:type="dxa"/>
            <w:tcBorders/>
            <w:shd w:fill="CFF0FC" w:val="clear"/>
            <w:vAlign w:val="center"/>
          </w:tcPr>
          <w:p>
            <w:pPr>
              <w:pStyle w:val="TableContents"/>
              <w:bidi w:val="0"/>
              <w:spacing w:before="0" w:after="283"/>
              <w:jc w:val="center"/>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41,150</w:t>
            </w:r>
          </w:p>
        </w:tc>
      </w:tr>
      <w:tr>
        <w:trPr/>
        <w:tc>
          <w:tcPr>
            <w:tcW w:w="24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2028 and Thereafter</w:t>
            </w:r>
          </w:p>
        </w:tc>
        <w:tc>
          <w:tcPr>
            <w:tcW w:w="196" w:type="dxa"/>
            <w:tcBorders/>
            <w:shd w:fill="FFFFFF" w:val="cle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358,013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359,741</w:t>
            </w:r>
          </w:p>
        </w:tc>
      </w:tr>
      <w:tr>
        <w:trPr/>
        <w:tc>
          <w:tcPr>
            <w:tcW w:w="24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Lease Payments</w:t>
            </w:r>
          </w:p>
        </w:tc>
        <w:tc>
          <w:tcPr>
            <w:tcW w:w="196" w:type="dxa"/>
            <w:tcBorders/>
            <w:shd w:fill="CFF0FC" w:val="clear"/>
            <w:vAlign w:val="center"/>
          </w:tcPr>
          <w:p>
            <w:pPr>
              <w:pStyle w:val="TableContents"/>
              <w:bidi w:val="0"/>
              <w:spacing w:before="0" w:after="283"/>
              <w:jc w:val="center"/>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534,248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3,358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537,606</w:t>
            </w:r>
          </w:p>
        </w:tc>
      </w:tr>
      <w:tr>
        <w:trPr/>
        <w:tc>
          <w:tcPr>
            <w:tcW w:w="24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Less: Interest</w:t>
            </w:r>
          </w:p>
        </w:tc>
        <w:tc>
          <w:tcPr>
            <w:tcW w:w="196" w:type="dxa"/>
            <w:tcBorders/>
            <w:shd w:fill="FFFFFF" w:val="cle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(274,503)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(275,771)</w:t>
            </w:r>
          </w:p>
        </w:tc>
      </w:tr>
      <w:tr>
        <w:trPr/>
        <w:tc>
          <w:tcPr>
            <w:tcW w:w="243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Present Value of Lease Liability</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259,745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261,835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Related Party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leasing arrangements that are related party transactions, including for certain facilities in Maryland, Massachusetts and Nevada. Wendy Berger, a director of the Company, is a principal of WBS Equities, LLC, which is the Manager of Mosaic Real Estate, LLC, and owns the facilities leased by the Company. Additionally, Mosaic Real Estate, LLC is indirectly owned in part by Ms. Berger (through the Wendy Berger 1998 Revocable Trust), Benjamin Kovler, the Chairman and Chief Executive Officer of the Company (through KP Capital, LLC), and Anthony Georgiadis, the President and a director of the Company (through Three One Four Holdings, LLC). The terms of these leases range from 7 years</w:t>
      </w:r>
      <w:r>
        <w:rPr>
          <w:rFonts w:ascii="Times New Roman" w:hAnsi="Times New Roman"/>
          <w:color w:val="000000"/>
          <w:sz w:val="20"/>
        </w:rPr>
        <w:t xml:space="preserve"> </w:t>
      </w:r>
      <w:r>
        <w:rPr>
          <w:rFonts w:ascii="Times New Roman" w:hAnsi="Times New Roman"/>
          <w:b w:val="false"/>
          <w:color w:val="000000"/>
          <w:sz w:val="20"/>
        </w:rPr>
        <w:t>to 15 years. For the three and nine months ended September 30, 2023, the Company recorded lease expense of $139</w:t>
      </w:r>
      <w:r>
        <w:rPr>
          <w:rFonts w:ascii="Times New Roman" w:hAnsi="Times New Roman"/>
          <w:color w:val="000000"/>
          <w:sz w:val="20"/>
        </w:rPr>
        <w:t xml:space="preserve"> </w:t>
      </w:r>
      <w:r>
        <w:rPr>
          <w:rFonts w:ascii="Times New Roman" w:hAnsi="Times New Roman"/>
          <w:b w:val="false"/>
          <w:color w:val="000000"/>
          <w:sz w:val="20"/>
        </w:rPr>
        <w:t>thousand and $415</w:t>
      </w:r>
      <w:r>
        <w:rPr>
          <w:rFonts w:ascii="Times New Roman" w:hAnsi="Times New Roman"/>
          <w:color w:val="000000"/>
          <w:sz w:val="20"/>
        </w:rPr>
        <w:t xml:space="preserve"> </w:t>
      </w:r>
      <w:r>
        <w:rPr>
          <w:rFonts w:ascii="Times New Roman" w:hAnsi="Times New Roman"/>
          <w:b w:val="false"/>
          <w:color w:val="000000"/>
          <w:sz w:val="20"/>
        </w:rPr>
        <w:t>thousand, respectively, compared to lease expense of $296</w:t>
      </w:r>
      <w:r>
        <w:rPr>
          <w:rFonts w:ascii="Times New Roman" w:hAnsi="Times New Roman"/>
          <w:color w:val="000000"/>
          <w:sz w:val="20"/>
        </w:rPr>
        <w:t xml:space="preserve"> </w:t>
      </w:r>
      <w:r>
        <w:rPr>
          <w:rFonts w:ascii="Times New Roman" w:hAnsi="Times New Roman"/>
          <w:b w:val="false"/>
          <w:color w:val="000000"/>
          <w:sz w:val="20"/>
        </w:rPr>
        <w:t>thousand and $886</w:t>
      </w:r>
      <w:r>
        <w:rPr>
          <w:rFonts w:ascii="Times New Roman" w:hAnsi="Times New Roman"/>
          <w:color w:val="000000"/>
          <w:sz w:val="20"/>
        </w:rPr>
        <w:t xml:space="preserve"> </w:t>
      </w:r>
      <w:r>
        <w:rPr>
          <w:rFonts w:ascii="Times New Roman" w:hAnsi="Times New Roman"/>
          <w:b w:val="false"/>
          <w:color w:val="000000"/>
          <w:sz w:val="20"/>
        </w:rPr>
        <w:t>thousand for the three and nine months ended September 30, 2022, respectively.</w:t>
      </w:r>
    </w:p>
    <w:p>
      <w:pPr>
        <w:pStyle w:val="TextBody"/>
        <w:bidi w:val="0"/>
        <w:spacing w:before="24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NOTES PAYABLE</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and December 31, 2022, notes payable consisted of the following:</w:t>
      </w:r>
      <w:r>
        <w:rPr>
          <w:rFonts w:ascii="Times New Roman" w:hAnsi="Times New Roman"/>
          <w:color w:val="000000"/>
          <w:sz w:val="20"/>
        </w:rPr>
        <w:t xml:space="preserve"> </w:t>
      </w:r>
    </w:p>
    <w:tbl>
      <w:tblPr>
        <w:tblW w:w="6875" w:type="dxa"/>
        <w:jc w:val="left"/>
        <w:tblInd w:w="0" w:type="dxa"/>
        <w:tblLayout w:type="fixed"/>
        <w:tblCellMar>
          <w:top w:w="28" w:type="dxa"/>
          <w:left w:w="28" w:type="dxa"/>
          <w:bottom w:w="28" w:type="dxa"/>
          <w:right w:w="28" w:type="dxa"/>
        </w:tblCellMar>
      </w:tblPr>
      <w:tblGrid>
        <w:gridCol w:w="3286"/>
        <w:gridCol w:w="196"/>
        <w:gridCol w:w="1606"/>
        <w:gridCol w:w="196"/>
        <w:gridCol w:w="1591"/>
      </w:tblGrid>
      <w:tr>
        <w:trPr/>
        <w:tc>
          <w:tcPr>
            <w:tcW w:w="3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r>
      <w:tr>
        <w:trPr/>
        <w:tc>
          <w:tcPr>
            <w:tcW w:w="328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2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Charitable Contributions</w:t>
            </w:r>
            <w:r>
              <w:rPr>
                <w:rFonts w:ascii="Times New Roman" w:hAnsi="Times New Roman"/>
                <w:b w:val="false"/>
                <w:color w:val="000000"/>
                <w:sz w:val="12"/>
              </w:rPr>
              <w:t>1</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400</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w:t>
            </w:r>
          </w:p>
        </w:tc>
      </w:tr>
      <w:tr>
        <w:trPr/>
        <w:tc>
          <w:tcPr>
            <w:tcW w:w="328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Private placement debt dated April 30, 2021</w:t>
            </w:r>
            <w:r>
              <w:rPr>
                <w:rFonts w:ascii="Times New Roman" w:hAnsi="Times New Roman"/>
                <w:b w:val="false"/>
                <w:color w:val="000000"/>
                <w:sz w:val="12"/>
              </w:rPr>
              <w:t>2</w:t>
            </w:r>
          </w:p>
        </w:tc>
        <w:tc>
          <w:tcPr>
            <w:tcW w:w="19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244,623</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237,795</w:t>
            </w:r>
          </w:p>
        </w:tc>
      </w:tr>
      <w:tr>
        <w:trPr/>
        <w:tc>
          <w:tcPr>
            <w:tcW w:w="328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Mortgage notes</w:t>
            </w:r>
            <w:r>
              <w:rPr>
                <w:rFonts w:ascii="Times New Roman" w:hAnsi="Times New Roman"/>
                <w:b w:val="false"/>
                <w:color w:val="000000"/>
                <w:sz w:val="12"/>
              </w:rPr>
              <w:t>3</w:t>
            </w:r>
          </w:p>
        </w:tc>
        <w:tc>
          <w:tcPr>
            <w:tcW w:w="196" w:type="dxa"/>
            <w:tcBorders/>
            <w:shd w:fill="CFF0FC" w:val="clear"/>
            <w:vAlign w:val="center"/>
          </w:tcPr>
          <w:p>
            <w:pPr>
              <w:pStyle w:val="TableContents"/>
              <w:bidi w:val="0"/>
              <w:spacing w:before="0" w:after="283"/>
              <w:jc w:val="center"/>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53,518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37,109</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notes payable</w:t>
            </w:r>
          </w:p>
        </w:tc>
        <w:tc>
          <w:tcPr>
            <w:tcW w:w="196" w:type="dxa"/>
            <w:tcBorders/>
            <w:shd w:fill="FFFFFF" w:val="clear"/>
            <w:vAlign w:val="center"/>
          </w:tcPr>
          <w:p>
            <w:pPr>
              <w:pStyle w:val="TableContents"/>
              <w:bidi w:val="0"/>
              <w:spacing w:before="0" w:after="283"/>
              <w:jc w:val="center"/>
              <w:rPr/>
            </w:pPr>
            <w:r>
              <w:rPr/>
              <w:t> </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298,541</w:t>
            </w:r>
          </w:p>
        </w:tc>
        <w:tc>
          <w:tcPr>
            <w:tcW w:w="19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275,668</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Less: current portion of notes payable</w:t>
            </w:r>
          </w:p>
        </w:tc>
        <w:tc>
          <w:tcPr>
            <w:tcW w:w="196" w:type="dxa"/>
            <w:tcBorders/>
            <w:shd w:fill="CFF0FC" w:val="clear"/>
            <w:vAlign w:val="center"/>
          </w:tcPr>
          <w:p>
            <w:pPr>
              <w:pStyle w:val="TableContents"/>
              <w:bidi w:val="0"/>
              <w:spacing w:before="0" w:after="283"/>
              <w:jc w:val="center"/>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(1,037)</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Notes payable, net of current portion</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297,075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274,631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b w:val="false"/>
          <w:color w:val="000000"/>
          <w:sz w:val="18"/>
        </w:rPr>
        <w:t>In connection with acquisitions completed in 2017 and 2019, the Company is required to make quarterly charitable contributions of $50</w:t>
      </w:r>
      <w:r>
        <w:rPr>
          <w:rFonts w:ascii="Times New Roman" w:hAnsi="Times New Roman"/>
          <w:color w:val="000000"/>
          <w:sz w:val="20"/>
        </w:rPr>
        <w:t xml:space="preserve"> </w:t>
      </w:r>
      <w:r>
        <w:rPr>
          <w:rFonts w:ascii="Times New Roman" w:hAnsi="Times New Roman"/>
          <w:b w:val="false"/>
          <w:color w:val="000000"/>
          <w:sz w:val="18"/>
        </w:rPr>
        <w:t>thousand through October 2024</w:t>
      </w:r>
      <w:r>
        <w:rPr>
          <w:rFonts w:ascii="Times New Roman" w:hAnsi="Times New Roman"/>
          <w:color w:val="000000"/>
          <w:sz w:val="20"/>
        </w:rPr>
        <w:t xml:space="preserve"> </w:t>
      </w:r>
      <w:r>
        <w:rPr>
          <w:rFonts w:ascii="Times New Roman" w:hAnsi="Times New Roman"/>
          <w:b w:val="false"/>
          <w:color w:val="000000"/>
          <w:sz w:val="18"/>
        </w:rPr>
        <w:t>and annual charitable contributions of $250</w:t>
      </w:r>
      <w:r>
        <w:rPr>
          <w:rFonts w:ascii="Times New Roman" w:hAnsi="Times New Roman"/>
          <w:color w:val="000000"/>
          <w:sz w:val="20"/>
        </w:rPr>
        <w:t xml:space="preserve"> </w:t>
      </w:r>
      <w:r>
        <w:rPr>
          <w:rFonts w:ascii="Times New Roman" w:hAnsi="Times New Roman"/>
          <w:b w:val="false"/>
          <w:color w:val="000000"/>
          <w:sz w:val="18"/>
        </w:rPr>
        <w:t>thousand through</w:t>
      </w:r>
      <w:r>
        <w:rPr>
          <w:rFonts w:ascii="Times New Roman" w:hAnsi="Times New Roman"/>
          <w:color w:val="000000"/>
          <w:sz w:val="20"/>
        </w:rPr>
        <w:t xml:space="preserve"> </w:t>
      </w:r>
      <w:r>
        <w:rPr>
          <w:rFonts w:ascii="Times New Roman" w:hAnsi="Times New Roman"/>
          <w:b w:val="false"/>
          <w:color w:val="000000"/>
          <w:sz w:val="18"/>
        </w:rPr>
        <w:t>May 2024, respectively. The net present value of these required payments has been recorded as a liability with interest rates ranging between 2.17%</w:t>
      </w:r>
      <w:r>
        <w:rPr>
          <w:rFonts w:ascii="Times New Roman" w:hAnsi="Times New Roman"/>
          <w:color w:val="000000"/>
          <w:sz w:val="20"/>
        </w:rPr>
        <w:t xml:space="preserve"> </w:t>
      </w:r>
      <w:r>
        <w:rPr>
          <w:rFonts w:ascii="Times New Roman" w:hAnsi="Times New Roman"/>
          <w:b w:val="false"/>
          <w:color w:val="000000"/>
          <w:sz w:val="18"/>
        </w:rPr>
        <w:t>- 7.00%.</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2</w:t>
      </w:r>
      <w:r>
        <w:rPr>
          <w:rFonts w:ascii="Times New Roman" w:hAnsi="Times New Roman"/>
          <w:color w:val="000000"/>
          <w:sz w:val="20"/>
        </w:rPr>
        <w:t xml:space="preserve"> </w:t>
      </w:r>
      <w:r>
        <w:rPr>
          <w:rFonts w:ascii="Times New Roman" w:hAnsi="Times New Roman"/>
          <w:b w:val="false"/>
          <w:color w:val="000000"/>
          <w:sz w:val="18"/>
        </w:rPr>
        <w:t>The April 30, 2021 private placement debt, as amended on October 21, 2021 (the “April 30, 2021 Notes”), were issued in a total amount of $249,934</w:t>
      </w:r>
      <w:r>
        <w:rPr>
          <w:rFonts w:ascii="Times New Roman" w:hAnsi="Times New Roman"/>
          <w:color w:val="000000"/>
          <w:sz w:val="20"/>
        </w:rPr>
        <w:t xml:space="preserve"> </w:t>
      </w:r>
      <w:r>
        <w:rPr>
          <w:rFonts w:ascii="Times New Roman" w:hAnsi="Times New Roman"/>
          <w:b w:val="false"/>
          <w:color w:val="000000"/>
          <w:sz w:val="18"/>
        </w:rPr>
        <w:t>thousand with an interest rate of 7.00%, maturing on April 30, 2025. The April 30, 2021 Notes were issued at a discount, the carrying value of which was $5,311</w:t>
      </w:r>
      <w:r>
        <w:rPr>
          <w:rFonts w:ascii="Times New Roman" w:hAnsi="Times New Roman"/>
          <w:color w:val="000000"/>
          <w:sz w:val="20"/>
        </w:rPr>
        <w:t xml:space="preserve"> </w:t>
      </w:r>
      <w:r>
        <w:rPr>
          <w:rFonts w:ascii="Times New Roman" w:hAnsi="Times New Roman"/>
          <w:b w:val="false"/>
          <w:color w:val="000000"/>
          <w:sz w:val="18"/>
        </w:rPr>
        <w:t>thousand and $12,139</w:t>
      </w:r>
      <w:r>
        <w:rPr>
          <w:rFonts w:ascii="Times New Roman" w:hAnsi="Times New Roman"/>
          <w:color w:val="000000"/>
          <w:sz w:val="20"/>
        </w:rPr>
        <w:t xml:space="preserve"> </w:t>
      </w:r>
      <w:r>
        <w:rPr>
          <w:rFonts w:ascii="Times New Roman" w:hAnsi="Times New Roman"/>
          <w:b w:val="false"/>
          <w:color w:val="000000"/>
          <w:sz w:val="18"/>
        </w:rPr>
        <w:t>thousand as of September 30, 2023 and December 31,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3</w:t>
      </w:r>
      <w:r>
        <w:rPr>
          <w:rFonts w:ascii="Times New Roman" w:hAnsi="Times New Roman"/>
          <w:color w:val="000000"/>
          <w:sz w:val="20"/>
        </w:rPr>
        <w:t xml:space="preserve"> </w:t>
      </w:r>
      <w:r>
        <w:rPr>
          <w:rFonts w:ascii="Times New Roman" w:hAnsi="Times New Roman"/>
          <w:b w:val="false"/>
          <w:color w:val="000000"/>
          <w:sz w:val="18"/>
        </w:rPr>
        <w:t>Mortgage notes with an initial value of $55,017</w:t>
      </w:r>
      <w:r>
        <w:rPr>
          <w:rFonts w:ascii="Times New Roman" w:hAnsi="Times New Roman"/>
          <w:color w:val="000000"/>
          <w:sz w:val="20"/>
        </w:rPr>
        <w:t xml:space="preserve"> </w:t>
      </w:r>
      <w:r>
        <w:rPr>
          <w:rFonts w:ascii="Times New Roman" w:hAnsi="Times New Roman"/>
          <w:b w:val="false"/>
          <w:color w:val="000000"/>
          <w:sz w:val="18"/>
        </w:rPr>
        <w:t>thousand and $38,292</w:t>
      </w:r>
      <w:r>
        <w:rPr>
          <w:rFonts w:ascii="Times New Roman" w:hAnsi="Times New Roman"/>
          <w:color w:val="000000"/>
          <w:sz w:val="20"/>
        </w:rPr>
        <w:t xml:space="preserve"> </w:t>
      </w:r>
      <w:r>
        <w:rPr>
          <w:rFonts w:ascii="Times New Roman" w:hAnsi="Times New Roman"/>
          <w:b w:val="false"/>
          <w:color w:val="000000"/>
          <w:sz w:val="18"/>
        </w:rPr>
        <w:t>thousand, respectively, were issued by the Company in connection with various operating properties, and were recorded at such gross value as of September 30, 2023 and December 31, 2022. These mortgage notes mature between August 20, 2025 and June 5, 2035</w:t>
      </w:r>
      <w:r>
        <w:rPr>
          <w:rFonts w:ascii="Times New Roman" w:hAnsi="Times New Roman"/>
          <w:color w:val="000000"/>
          <w:sz w:val="20"/>
        </w:rPr>
        <w:t xml:space="preserve"> </w:t>
      </w:r>
      <w:r>
        <w:rPr>
          <w:rFonts w:ascii="Times New Roman" w:hAnsi="Times New Roman"/>
          <w:b w:val="false"/>
          <w:color w:val="000000"/>
          <w:sz w:val="18"/>
        </w:rPr>
        <w:t>with interest rates ranging between 5.00%</w:t>
      </w:r>
      <w:r>
        <w:rPr>
          <w:rFonts w:ascii="Times New Roman" w:hAnsi="Times New Roman"/>
          <w:color w:val="000000"/>
          <w:sz w:val="20"/>
        </w:rPr>
        <w:t xml:space="preserve"> </w:t>
      </w:r>
      <w:r>
        <w:rPr>
          <w:rFonts w:ascii="Times New Roman" w:hAnsi="Times New Roman"/>
          <w:b w:val="false"/>
          <w:color w:val="000000"/>
          <w:sz w:val="18"/>
        </w:rPr>
        <w:t>and 9.50%. The mortgage notes were issued at a discount, the carrying value of which was $237</w:t>
      </w:r>
      <w:r>
        <w:rPr>
          <w:rFonts w:ascii="Times New Roman" w:hAnsi="Times New Roman"/>
          <w:color w:val="000000"/>
          <w:sz w:val="20"/>
        </w:rPr>
        <w:t xml:space="preserve"> </w:t>
      </w:r>
      <w:r>
        <w:rPr>
          <w:rFonts w:ascii="Times New Roman" w:hAnsi="Times New Roman"/>
          <w:b w:val="false"/>
          <w:color w:val="000000"/>
          <w:sz w:val="18"/>
        </w:rPr>
        <w:t>thousand and $437</w:t>
      </w:r>
      <w:r>
        <w:rPr>
          <w:rFonts w:ascii="Times New Roman" w:hAnsi="Times New Roman"/>
          <w:color w:val="000000"/>
          <w:sz w:val="20"/>
        </w:rPr>
        <w:t xml:space="preserve"> </w:t>
      </w:r>
      <w:r>
        <w:rPr>
          <w:rFonts w:ascii="Times New Roman" w:hAnsi="Times New Roman"/>
          <w:b w:val="false"/>
          <w:color w:val="000000"/>
          <w:sz w:val="18"/>
        </w:rPr>
        <w:t>thousand, respectively, and are presented net of principal payments of $1,262</w:t>
      </w:r>
      <w:r>
        <w:rPr>
          <w:rFonts w:ascii="Times New Roman" w:hAnsi="Times New Roman"/>
          <w:color w:val="000000"/>
          <w:sz w:val="20"/>
        </w:rPr>
        <w:t xml:space="preserve"> </w:t>
      </w:r>
      <w:r>
        <w:rPr>
          <w:rFonts w:ascii="Times New Roman" w:hAnsi="Times New Roman"/>
          <w:b w:val="false"/>
          <w:color w:val="000000"/>
          <w:sz w:val="18"/>
        </w:rPr>
        <w:t>thousand and $746</w:t>
      </w:r>
      <w:r>
        <w:rPr>
          <w:rFonts w:ascii="Times New Roman" w:hAnsi="Times New Roman"/>
          <w:color w:val="000000"/>
          <w:sz w:val="20"/>
        </w:rPr>
        <w:t xml:space="preserve"> </w:t>
      </w:r>
      <w:r>
        <w:rPr>
          <w:rFonts w:ascii="Times New Roman" w:hAnsi="Times New Roman"/>
          <w:b w:val="false"/>
          <w:color w:val="000000"/>
          <w:sz w:val="18"/>
        </w:rPr>
        <w:t>thousand as of September 30, 2023 and December 31,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Related Parties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portion of the April 30, 2021 Notes are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Anthony Georgiadis, the President and a director of the Company (held through Three One Four Holdings, LLC and ABG, LLC).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8. WARRANTS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the terms of the Company's issuance of the April 30, 2021 Notes, as well as other financing arrangements, the Company issued warrants to related parties, as well as unrelated third parties, which allow the holders to purchase Subordinate Voting Shares at an exercise price determined at the time of issuance.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summarizes the number of warrants outstanding as of September 30, 2023 and December 31,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1"/>
        <w:gridCol w:w="162"/>
        <w:gridCol w:w="920"/>
        <w:gridCol w:w="146"/>
        <w:gridCol w:w="244"/>
        <w:gridCol w:w="283"/>
        <w:gridCol w:w="998"/>
        <w:gridCol w:w="146"/>
        <w:gridCol w:w="406"/>
        <w:gridCol w:w="1177"/>
        <w:gridCol w:w="146"/>
        <w:gridCol w:w="162"/>
        <w:gridCol w:w="920"/>
        <w:gridCol w:w="146"/>
        <w:gridCol w:w="196"/>
        <w:gridCol w:w="290"/>
        <w:gridCol w:w="1022"/>
        <w:gridCol w:w="146"/>
        <w:gridCol w:w="330"/>
        <w:gridCol w:w="956"/>
        <w:gridCol w:w="198"/>
      </w:tblGrid>
      <w:tr>
        <w:trPr/>
        <w:tc>
          <w:tcPr>
            <w:tcW w:w="12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vAlign w:val="center"/>
          </w:tcPr>
          <w:p>
            <w:pPr>
              <w:pStyle w:val="TableContents"/>
              <w:bidi w:val="0"/>
              <w:spacing w:before="0" w:after="283"/>
              <w:jc w:val="left"/>
              <w:rPr/>
            </w:pPr>
            <w:r>
              <w:rPr/>
              <w:t> </w:t>
            </w:r>
          </w:p>
        </w:tc>
        <w:tc>
          <w:tcPr>
            <w:tcW w:w="448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Classified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6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Classified</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 (C$)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br/>
              <w:t>Remaining Contractual Life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December 31, 2022</w:t>
            </w:r>
          </w:p>
        </w:tc>
        <w:tc>
          <w:tcPr>
            <w:tcW w:w="162"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1,997,208</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w:t>
            </w:r>
          </w:p>
        </w:tc>
        <w:tc>
          <w:tcPr>
            <w:tcW w:w="283"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18.03</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1,737,347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90"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31.83</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3.38</w:t>
            </w:r>
          </w:p>
        </w:tc>
        <w:tc>
          <w:tcPr>
            <w:tcW w:w="198" w:type="dxa"/>
            <w:tcBorders/>
            <w:shd w:fill="CFF0FC" w:val="clear"/>
            <w:vAlign w:val="center"/>
          </w:tcPr>
          <w:p>
            <w:pPr>
              <w:pStyle w:val="TableContents"/>
              <w:bidi w:val="0"/>
              <w:spacing w:before="0" w:after="283"/>
              <w:jc w:val="left"/>
              <w:rPr/>
            </w:pPr>
            <w:r>
              <w:rPr/>
              <w:t> </w:t>
            </w:r>
          </w:p>
        </w:tc>
      </w:tr>
      <w:tr>
        <w:trPr/>
        <w:tc>
          <w:tcPr>
            <w:tcW w:w="1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2023</w:t>
            </w:r>
          </w:p>
        </w:tc>
        <w:tc>
          <w:tcPr>
            <w:tcW w:w="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1,997,208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w:t>
            </w:r>
          </w:p>
        </w:tc>
        <w:tc>
          <w:tcPr>
            <w:tcW w:w="2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0.75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1,737,347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2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31.83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w:t>
            </w:r>
          </w:p>
        </w:tc>
        <w:tc>
          <w:tcPr>
            <w:tcW w:w="19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Liability Classified Warrants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the fair value of the liability classified warrants at September 30, 2023 and December 31,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1"/>
        <w:gridCol w:w="869"/>
        <w:gridCol w:w="146"/>
        <w:gridCol w:w="246"/>
        <w:gridCol w:w="1398"/>
        <w:gridCol w:w="146"/>
        <w:gridCol w:w="390"/>
        <w:gridCol w:w="1019"/>
        <w:gridCol w:w="146"/>
        <w:gridCol w:w="373"/>
        <w:gridCol w:w="976"/>
        <w:gridCol w:w="146"/>
        <w:gridCol w:w="146"/>
        <w:gridCol w:w="196"/>
        <w:gridCol w:w="571"/>
        <w:gridCol w:w="216"/>
      </w:tblGrid>
      <w:tr>
        <w:trPr/>
        <w:tc>
          <w:tcPr>
            <w:tcW w:w="3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Warrant Liability</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Strike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6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Private Placement Financing Warrants Issued May 2019</w:t>
            </w:r>
          </w:p>
        </w:tc>
        <w:tc>
          <w:tcPr>
            <w:tcW w:w="869"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C$19.39</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3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1,606,533</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1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1,820</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(1,305</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2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Modification Warrants Issued November 2019</w:t>
            </w:r>
          </w:p>
        </w:tc>
        <w:tc>
          <w:tcPr>
            <w:tcW w:w="869"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C$12.04</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316,947</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1,434</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w:t>
            </w:r>
          </w:p>
        </w:tc>
        <w:tc>
          <w:tcPr>
            <w:tcW w:w="216" w:type="dxa"/>
            <w:tcBorders/>
            <w:shd w:fill="FFFFFF" w:val="clear"/>
            <w:vAlign w:val="center"/>
          </w:tcPr>
          <w:p>
            <w:pPr>
              <w:pStyle w:val="TableContents"/>
              <w:bidi w:val="0"/>
              <w:spacing w:before="0" w:after="283"/>
              <w:jc w:val="left"/>
              <w:rPr/>
            </w:pPr>
            <w:r>
              <w:rPr/>
              <w:t> </w:t>
            </w:r>
          </w:p>
        </w:tc>
      </w:tr>
      <w:tr>
        <w:trPr/>
        <w:tc>
          <w:tcPr>
            <w:tcW w:w="3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Additional Modification Warrants Issued May 2020</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C$14.03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Totals</w:t>
            </w:r>
          </w:p>
        </w:tc>
        <w:tc>
          <w:tcPr>
            <w:tcW w:w="8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1,997,208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(934</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three and nine months ended September 30, 2023 and 2022, the Company recorded a loss of $1,329</w:t>
      </w:r>
      <w:r>
        <w:rPr>
          <w:rFonts w:ascii="Times New Roman" w:hAnsi="Times New Roman"/>
          <w:color w:val="000000"/>
          <w:sz w:val="20"/>
        </w:rPr>
        <w:t xml:space="preserve"> </w:t>
      </w:r>
      <w:r>
        <w:rPr>
          <w:rFonts w:ascii="Times New Roman" w:hAnsi="Times New Roman"/>
          <w:b w:val="false"/>
          <w:color w:val="000000"/>
          <w:sz w:val="20"/>
        </w:rPr>
        <w:t>thousand, a gain of $934</w:t>
      </w:r>
      <w:r>
        <w:rPr>
          <w:rFonts w:ascii="Times New Roman" w:hAnsi="Times New Roman"/>
          <w:color w:val="000000"/>
          <w:sz w:val="20"/>
        </w:rPr>
        <w:t xml:space="preserve"> </w:t>
      </w:r>
      <w:r>
        <w:rPr>
          <w:rFonts w:ascii="Times New Roman" w:hAnsi="Times New Roman"/>
          <w:b w:val="false"/>
          <w:color w:val="000000"/>
          <w:sz w:val="20"/>
        </w:rPr>
        <w:t>thousand, a loss of $1,896</w:t>
      </w:r>
      <w:r>
        <w:rPr>
          <w:rFonts w:ascii="Times New Roman" w:hAnsi="Times New Roman"/>
          <w:color w:val="000000"/>
          <w:sz w:val="20"/>
        </w:rPr>
        <w:t xml:space="preserve"> </w:t>
      </w:r>
      <w:r>
        <w:rPr>
          <w:rFonts w:ascii="Times New Roman" w:hAnsi="Times New Roman"/>
          <w:b w:val="false"/>
          <w:color w:val="000000"/>
          <w:sz w:val="20"/>
        </w:rPr>
        <w:t>thousand and a gain of $19,876</w:t>
      </w:r>
      <w:r>
        <w:rPr>
          <w:rFonts w:ascii="Times New Roman" w:hAnsi="Times New Roman"/>
          <w:color w:val="000000"/>
          <w:sz w:val="20"/>
        </w:rPr>
        <w:t xml:space="preserve"> </w:t>
      </w:r>
      <w:r>
        <w:rPr>
          <w:rFonts w:ascii="Times New Roman" w:hAnsi="Times New Roman"/>
          <w:b w:val="false"/>
          <w:color w:val="000000"/>
          <w:sz w:val="20"/>
        </w:rPr>
        <w:t>thousand, respectively, on the change in the fair value of the warrant liability within other income (expense) on the unaudited interim condensed consolidated statements of operations. As of September 30, 2023, the warrant liability was classified as a current liability, and recorded within accrued liabilities on the unaudited interim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summarizes the significant assumptions used in determining the fair value of the warrant liability as of each reporting date (see Note 13 - Fair Value Measurements for additional details):</w:t>
      </w:r>
      <w:r>
        <w:rPr>
          <w:rFonts w:ascii="Times New Roman" w:hAnsi="Times New Roman"/>
          <w:color w:val="000000"/>
          <w:sz w:val="20"/>
        </w:rPr>
        <w:t xml:space="preserve"> </w:t>
      </w:r>
    </w:p>
    <w:p>
      <w:pPr>
        <w:pStyle w:val="TextBody"/>
        <w:bidi w:val="0"/>
        <w:jc w:val="left"/>
        <w:rPr/>
      </w:pPr>
      <w:r>
        <w:rPr/>
        <w:t> </w:t>
      </w:r>
    </w:p>
    <w:tbl>
      <w:tblPr>
        <w:tblW w:w="4859" w:type="dxa"/>
        <w:jc w:val="left"/>
        <w:tblInd w:w="0" w:type="dxa"/>
        <w:tblLayout w:type="fixed"/>
        <w:tblCellMar>
          <w:top w:w="28" w:type="dxa"/>
          <w:left w:w="28" w:type="dxa"/>
          <w:bottom w:w="28" w:type="dxa"/>
          <w:right w:w="28" w:type="dxa"/>
        </w:tblCellMar>
      </w:tblPr>
      <w:tblGrid>
        <w:gridCol w:w="1936"/>
        <w:gridCol w:w="1366"/>
        <w:gridCol w:w="146"/>
        <w:gridCol w:w="1411"/>
      </w:tblGrid>
      <w:tr>
        <w:trPr/>
        <w:tc>
          <w:tcPr>
            <w:tcW w:w="19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r>
      <w:tr>
        <w:trPr/>
        <w:tc>
          <w:tcPr>
            <w:tcW w:w="1936"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Significant Assumptions</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r>
      <w:tr>
        <w:trPr/>
        <w:tc>
          <w:tcPr>
            <w:tcW w:w="19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Volatility</w:t>
            </w:r>
          </w:p>
        </w:tc>
        <w:tc>
          <w:tcPr>
            <w:tcW w:w="136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59.08% - 76.33%</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70.44% - 78.21%</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Remaining Term</w:t>
            </w:r>
          </w:p>
        </w:tc>
        <w:tc>
          <w:tcPr>
            <w:tcW w:w="136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0.64-1.64</w:t>
            </w:r>
            <w:r>
              <w:rPr>
                <w:rFonts w:ascii="Times New Roman" w:hAnsi="Times New Roman"/>
                <w:color w:val="000000"/>
                <w:sz w:val="20"/>
              </w:rPr>
              <w:t> </w:t>
            </w:r>
            <w:r>
              <w:rPr>
                <w:rFonts w:ascii="Times New Roman" w:hAnsi="Times New Roman"/>
                <w:b w:val="false"/>
                <w:color w:val="000000"/>
                <w:sz w:val="18"/>
              </w:rPr>
              <w:t>years</w:t>
            </w:r>
          </w:p>
        </w:tc>
        <w:tc>
          <w:tcPr>
            <w:tcW w:w="146" w:type="dxa"/>
            <w:tcBorders/>
            <w:shd w:fill="FFFFFF" w:val="clear"/>
            <w:vAlign w:val="center"/>
          </w:tcPr>
          <w:p>
            <w:pPr>
              <w:pStyle w:val="TableContents"/>
              <w:bidi w:val="0"/>
              <w:spacing w:before="0" w:after="283"/>
              <w:jc w:val="center"/>
              <w:rPr/>
            </w:pPr>
            <w:r>
              <w:rPr/>
              <w:t> </w:t>
            </w:r>
          </w:p>
        </w:tc>
        <w:tc>
          <w:tcPr>
            <w:tcW w:w="141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1.39</w:t>
            </w:r>
            <w:r>
              <w:rPr>
                <w:rFonts w:ascii="Times New Roman" w:hAnsi="Times New Roman"/>
                <w:color w:val="000000"/>
                <w:sz w:val="20"/>
              </w:rPr>
              <w:t> </w:t>
            </w:r>
            <w:r>
              <w:rPr>
                <w:rFonts w:ascii="Times New Roman" w:hAnsi="Times New Roman"/>
                <w:b w:val="false"/>
                <w:color w:val="000000"/>
                <w:sz w:val="18"/>
              </w:rPr>
              <w:t>- 2.39</w:t>
            </w:r>
            <w:r>
              <w:rPr>
                <w:rFonts w:ascii="Times New Roman" w:hAnsi="Times New Roman"/>
                <w:color w:val="000000"/>
                <w:sz w:val="20"/>
              </w:rPr>
              <w:t> </w:t>
            </w:r>
            <w:r>
              <w:rPr>
                <w:rFonts w:ascii="Times New Roman" w:hAnsi="Times New Roman"/>
                <w:b w:val="false"/>
                <w:color w:val="000000"/>
                <w:sz w:val="18"/>
              </w:rPr>
              <w:t>years</w:t>
            </w:r>
          </w:p>
        </w:tc>
      </w:tr>
      <w:tr>
        <w:trPr/>
        <w:tc>
          <w:tcPr>
            <w:tcW w:w="19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Risk Free Rate</w:t>
            </w:r>
          </w:p>
        </w:tc>
        <w:tc>
          <w:tcPr>
            <w:tcW w:w="136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4.83%</w:t>
            </w:r>
          </w:p>
        </w:tc>
        <w:tc>
          <w:tcPr>
            <w:tcW w:w="146" w:type="dxa"/>
            <w:tcBorders/>
            <w:shd w:fill="CFF0FC" w:val="clear"/>
            <w:vAlign w:val="center"/>
          </w:tcPr>
          <w:p>
            <w:pPr>
              <w:pStyle w:val="TableContents"/>
              <w:bidi w:val="0"/>
              <w:spacing w:before="0" w:after="283"/>
              <w:jc w:val="center"/>
              <w:rPr/>
            </w:pPr>
            <w:r>
              <w:rPr/>
              <w:t> </w:t>
            </w:r>
          </w:p>
        </w:tc>
        <w:tc>
          <w:tcPr>
            <w:tcW w:w="1411"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3.82% - 4.07%</w:t>
            </w:r>
          </w:p>
        </w:tc>
      </w:tr>
    </w:tbl>
    <w:p>
      <w:pPr>
        <w:pStyle w:val="TextBody"/>
        <w:bidi w:val="0"/>
        <w:spacing w:before="4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WARRANTS</w:t>
      </w:r>
      <w:r>
        <w:rPr>
          <w:rFonts w:ascii="Times New Roman" w:hAnsi="Times New Roman"/>
          <w:color w:val="000000"/>
          <w:sz w:val="20"/>
        </w:rPr>
        <w:t xml:space="preserve"> </w:t>
      </w:r>
      <w:r>
        <w:rPr>
          <w:rFonts w:ascii="Times New Roman" w:hAnsi="Times New Roman"/>
          <w:b w:val="false"/>
          <w:i/>
          <w:color w:val="000000"/>
          <w:sz w:val="20"/>
        </w:rPr>
        <w:t>(Continued)</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Equity Classified Warrants Outstanding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The Company's equity classified warrants were recorded at fair value at each respective date of issuance. Equity classified warrants are not remeasured at fair value on a recurring basis and are carried at their issuance date fair value. The following table summarizes the carrying amounts of the Company's equity classified warrants at September 30, 2023 and December 31, 2022: </w:t>
      </w:r>
    </w:p>
    <w:p>
      <w:pPr>
        <w:pStyle w:val="TextBody"/>
        <w:bidi w:val="0"/>
        <w:jc w:val="left"/>
        <w:rPr/>
      </w:pPr>
      <w:r>
        <w:rPr/>
        <w:t> </w:t>
      </w:r>
    </w:p>
    <w:tbl>
      <w:tblPr>
        <w:tblW w:w="9562" w:type="dxa"/>
        <w:jc w:val="left"/>
        <w:tblInd w:w="0" w:type="dxa"/>
        <w:tblLayout w:type="fixed"/>
        <w:tblCellMar>
          <w:top w:w="28" w:type="dxa"/>
          <w:left w:w="28" w:type="dxa"/>
          <w:bottom w:w="28" w:type="dxa"/>
          <w:right w:w="28" w:type="dxa"/>
        </w:tblCellMar>
      </w:tblPr>
      <w:tblGrid>
        <w:gridCol w:w="4351"/>
        <w:gridCol w:w="274"/>
        <w:gridCol w:w="716"/>
        <w:gridCol w:w="146"/>
        <w:gridCol w:w="146"/>
        <w:gridCol w:w="162"/>
        <w:gridCol w:w="919"/>
        <w:gridCol w:w="146"/>
        <w:gridCol w:w="294"/>
        <w:gridCol w:w="906"/>
        <w:gridCol w:w="171"/>
        <w:gridCol w:w="280"/>
        <w:gridCol w:w="860"/>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Issuance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71"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Warrants Included in Contributed Surplus</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Strike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Mortgage Warrants Issued June 2020</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35,000</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w:t>
            </w:r>
          </w:p>
        </w:tc>
        <w:tc>
          <w:tcPr>
            <w:tcW w:w="171"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Private Placement Refinance Warrants Issued April 2021</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1,459,044</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22,259</w:t>
            </w:r>
          </w:p>
        </w:tc>
        <w:tc>
          <w:tcPr>
            <w:tcW w:w="1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22,259</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Private Placement Refinance Warrants Issued October 2021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243,303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2,616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Totals</w:t>
            </w:r>
          </w:p>
        </w:tc>
        <w:tc>
          <w:tcPr>
            <w:tcW w:w="9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1,737,347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25,056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equity warrants were valued as of the date of issuance using a Black Scholes Option Pricing model. The following table summarizes the significant assumptions used in determining the fair value of the warrants as of each respective issuance 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0"/>
        <w:gridCol w:w="3226"/>
        <w:gridCol w:w="146"/>
        <w:gridCol w:w="3226"/>
        <w:gridCol w:w="1677"/>
      </w:tblGrid>
      <w:tr>
        <w:trPr/>
        <w:tc>
          <w:tcPr>
            <w:tcW w:w="1930"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1930"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Significant Assumptions</w:t>
            </w:r>
          </w:p>
        </w:tc>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Private Placement Refinancing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Private Placement Refinancing Warrants</w:t>
            </w:r>
          </w:p>
        </w:tc>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 Warrants</w:t>
            </w:r>
          </w:p>
        </w:tc>
      </w:tr>
      <w:tr>
        <w:trPr/>
        <w:tc>
          <w:tcPr>
            <w:tcW w:w="193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Date of Issuance</w:t>
            </w:r>
          </w:p>
        </w:tc>
        <w:tc>
          <w:tcPr>
            <w:tcW w:w="322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October 15, 2021</w:t>
            </w:r>
          </w:p>
        </w:tc>
        <w:tc>
          <w:tcPr>
            <w:tcW w:w="146" w:type="dxa"/>
            <w:tcBorders/>
            <w:shd w:fill="FFFFFF" w:val="clear"/>
            <w:vAlign w:val="center"/>
          </w:tcPr>
          <w:p>
            <w:pPr>
              <w:pStyle w:val="TableContents"/>
              <w:bidi w:val="0"/>
              <w:spacing w:before="0" w:after="283"/>
              <w:jc w:val="left"/>
              <w:rPr/>
            </w:pPr>
            <w:r>
              <w:rPr/>
              <w:t> </w:t>
            </w:r>
          </w:p>
        </w:tc>
        <w:tc>
          <w:tcPr>
            <w:tcW w:w="322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April 30, 2021</w:t>
            </w:r>
          </w:p>
        </w:tc>
        <w:tc>
          <w:tcPr>
            <w:tcW w:w="1677"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June 5, 2020</w:t>
            </w:r>
          </w:p>
        </w:tc>
      </w:tr>
      <w:tr>
        <w:trPr/>
        <w:tc>
          <w:tcPr>
            <w:tcW w:w="193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Volatility</w:t>
            </w:r>
          </w:p>
        </w:tc>
        <w:tc>
          <w:tcPr>
            <w:tcW w:w="322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73%</w:t>
            </w:r>
          </w:p>
        </w:tc>
        <w:tc>
          <w:tcPr>
            <w:tcW w:w="146" w:type="dxa"/>
            <w:tcBorders/>
            <w:shd w:fill="CFF0FC" w:val="clear"/>
            <w:vAlign w:val="center"/>
          </w:tcPr>
          <w:p>
            <w:pPr>
              <w:pStyle w:val="TableContents"/>
              <w:bidi w:val="0"/>
              <w:spacing w:before="0" w:after="283"/>
              <w:jc w:val="center"/>
              <w:rPr/>
            </w:pPr>
            <w:r>
              <w:rPr/>
              <w:t> </w:t>
            </w:r>
          </w:p>
        </w:tc>
        <w:tc>
          <w:tcPr>
            <w:tcW w:w="322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73%</w:t>
            </w:r>
          </w:p>
        </w:tc>
        <w:tc>
          <w:tcPr>
            <w:tcW w:w="1677"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80%</w:t>
            </w:r>
          </w:p>
        </w:tc>
      </w:tr>
      <w:tr>
        <w:trPr/>
        <w:tc>
          <w:tcPr>
            <w:tcW w:w="193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Estimated Term</w:t>
            </w:r>
          </w:p>
        </w:tc>
        <w:tc>
          <w:tcPr>
            <w:tcW w:w="32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4</w:t>
            </w:r>
            <w:r>
              <w:rPr>
                <w:rFonts w:ascii="Times New Roman" w:hAnsi="Times New Roman"/>
                <w:color w:val="000000"/>
                <w:sz w:val="20"/>
              </w:rPr>
              <w:t> </w:t>
            </w:r>
            <w:r>
              <w:rPr>
                <w:rFonts w:ascii="Times New Roman" w:hAnsi="Times New Roman"/>
                <w:b w:val="false"/>
                <w:color w:val="000000"/>
                <w:sz w:val="18"/>
              </w:rPr>
              <w:t>years</w:t>
            </w:r>
          </w:p>
        </w:tc>
        <w:tc>
          <w:tcPr>
            <w:tcW w:w="146" w:type="dxa"/>
            <w:tcBorders/>
            <w:shd w:fill="FFFFFF" w:val="clear"/>
            <w:vAlign w:val="center"/>
          </w:tcPr>
          <w:p>
            <w:pPr>
              <w:pStyle w:val="TableContents"/>
              <w:bidi w:val="0"/>
              <w:spacing w:before="0" w:after="283"/>
              <w:jc w:val="center"/>
              <w:rPr/>
            </w:pPr>
            <w:r>
              <w:rPr/>
              <w:t> </w:t>
            </w:r>
          </w:p>
        </w:tc>
        <w:tc>
          <w:tcPr>
            <w:tcW w:w="32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4</w:t>
            </w:r>
            <w:r>
              <w:rPr>
                <w:rFonts w:ascii="Times New Roman" w:hAnsi="Times New Roman"/>
                <w:color w:val="000000"/>
                <w:sz w:val="20"/>
              </w:rPr>
              <w:t> </w:t>
            </w:r>
            <w:r>
              <w:rPr>
                <w:rFonts w:ascii="Times New Roman" w:hAnsi="Times New Roman"/>
                <w:b w:val="false"/>
                <w:color w:val="000000"/>
                <w:sz w:val="18"/>
              </w:rPr>
              <w:t>years</w:t>
            </w:r>
          </w:p>
        </w:tc>
        <w:tc>
          <w:tcPr>
            <w:tcW w:w="1677"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5</w:t>
            </w:r>
            <w:r>
              <w:rPr>
                <w:rFonts w:ascii="Times New Roman" w:hAnsi="Times New Roman"/>
                <w:color w:val="000000"/>
                <w:sz w:val="20"/>
              </w:rPr>
              <w:t> </w:t>
            </w:r>
            <w:r>
              <w:rPr>
                <w:rFonts w:ascii="Times New Roman" w:hAnsi="Times New Roman"/>
                <w:b w:val="false"/>
                <w:color w:val="000000"/>
                <w:sz w:val="18"/>
              </w:rPr>
              <w:t>years</w:t>
            </w:r>
          </w:p>
        </w:tc>
      </w:tr>
      <w:tr>
        <w:trPr/>
        <w:tc>
          <w:tcPr>
            <w:tcW w:w="193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Risk Free Rate</w:t>
            </w:r>
          </w:p>
        </w:tc>
        <w:tc>
          <w:tcPr>
            <w:tcW w:w="322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1.12%</w:t>
            </w:r>
          </w:p>
        </w:tc>
        <w:tc>
          <w:tcPr>
            <w:tcW w:w="146" w:type="dxa"/>
            <w:tcBorders/>
            <w:shd w:fill="CFF0FC" w:val="clear"/>
            <w:vAlign w:val="center"/>
          </w:tcPr>
          <w:p>
            <w:pPr>
              <w:pStyle w:val="TableContents"/>
              <w:bidi w:val="0"/>
              <w:spacing w:before="0" w:after="283"/>
              <w:jc w:val="center"/>
              <w:rPr/>
            </w:pPr>
            <w:r>
              <w:rPr/>
              <w:t> </w:t>
            </w:r>
          </w:p>
        </w:tc>
        <w:tc>
          <w:tcPr>
            <w:tcW w:w="322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0.74%</w:t>
            </w:r>
          </w:p>
        </w:tc>
        <w:tc>
          <w:tcPr>
            <w:tcW w:w="1677"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SHARE CAPITAL</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w:t>
      </w:r>
      <w:r>
        <w:rPr>
          <w:rFonts w:ascii="Times New Roman" w:hAnsi="Times New Roman"/>
          <w:color w:val="000000"/>
          <w:sz w:val="20"/>
        </w:rPr>
        <w:t>“</w:t>
      </w:r>
      <w:r>
        <w:rPr>
          <w:rFonts w:ascii="Times New Roman" w:hAnsi="Times New Roman"/>
          <w:b w:val="false"/>
          <w:color w:val="000000"/>
          <w:sz w:val="20"/>
        </w:rPr>
        <w:t>ASC</w:t>
      </w:r>
      <w:r>
        <w:rPr>
          <w:rFonts w:ascii="Times New Roman" w:hAnsi="Times New Roman"/>
          <w:color w:val="000000"/>
          <w:sz w:val="20"/>
        </w:rPr>
        <w:t>”</w:t>
      </w:r>
      <w:r>
        <w:rPr>
          <w:rFonts w:ascii="Times New Roman" w:hAnsi="Times New Roman"/>
          <w:b w:val="false"/>
          <w:color w:val="000000"/>
          <w:sz w:val="20"/>
        </w:rPr>
        <w:t xml:space="preserve">) 740, </w:t>
      </w:r>
      <w:r>
        <w:rPr>
          <w:rFonts w:ascii="Times New Roman" w:hAnsi="Times New Roman"/>
          <w:b w:val="false"/>
          <w:i/>
          <w:color w:val="000000"/>
          <w:sz w:val="20"/>
        </w:rPr>
        <w:t>Income Taxes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Authorized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the following classes of share capital, with each class having no par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 Subordinate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w:t>
      </w:r>
      <w:r>
        <w:rPr>
          <w:rFonts w:ascii="Times New Roman" w:hAnsi="Times New Roman"/>
          <w:color w:val="000000"/>
          <w:sz w:val="20"/>
        </w:rPr>
        <w:t xml:space="preserve"> </w:t>
      </w:r>
      <w:r>
        <w:rPr>
          <w:rFonts w:ascii="Times New Roman" w:hAnsi="Times New Roman"/>
          <w:b w:val="false"/>
          <w:color w:val="000000"/>
          <w:sz w:val="20"/>
        </w:rPr>
        <w:t>par value Subordinate Voting Shares. During the three months ended September 30, 2023, shareholders of the Company converted 25,000</w:t>
      </w:r>
      <w:r>
        <w:rPr>
          <w:rFonts w:ascii="Times New Roman" w:hAnsi="Times New Roman"/>
          <w:color w:val="000000"/>
          <w:sz w:val="20"/>
        </w:rPr>
        <w:t xml:space="preserve"> </w:t>
      </w:r>
      <w:r>
        <w:rPr>
          <w:rFonts w:ascii="Times New Roman" w:hAnsi="Times New Roman"/>
          <w:b w:val="false"/>
          <w:color w:val="000000"/>
          <w:sz w:val="20"/>
        </w:rPr>
        <w:t>Multiple Voting Shares into 2,500,000</w:t>
      </w:r>
      <w:r>
        <w:rPr>
          <w:rFonts w:ascii="Times New Roman" w:hAnsi="Times New Roman"/>
          <w:color w:val="000000"/>
          <w:sz w:val="20"/>
        </w:rPr>
        <w:t xml:space="preserve"> </w:t>
      </w:r>
      <w:r>
        <w:rPr>
          <w:rFonts w:ascii="Times New Roman" w:hAnsi="Times New Roman"/>
          <w:b w:val="false"/>
          <w:color w:val="000000"/>
          <w:sz w:val="20"/>
        </w:rPr>
        <w:t>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 Multiple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Each Multiple Voting Share is entitled to 100</w:t>
      </w:r>
      <w:r>
        <w:rPr>
          <w:rFonts w:ascii="Times New Roman" w:hAnsi="Times New Roman"/>
          <w:color w:val="000000"/>
          <w:sz w:val="20"/>
        </w:rPr>
        <w:t xml:space="preserve"> </w:t>
      </w:r>
      <w:r>
        <w:rPr>
          <w:rFonts w:ascii="Times New Roman" w:hAnsi="Times New Roman"/>
          <w:b w:val="false"/>
          <w:color w:val="000000"/>
          <w:sz w:val="20"/>
        </w:rPr>
        <w:t>votes per share at shareholder meetings of the Company and is exchangeable for 100 Subordinate Voting Shares. At September 30, 2023, the Company had 38,531</w:t>
      </w:r>
      <w:r>
        <w:rPr>
          <w:rFonts w:ascii="Times New Roman" w:hAnsi="Times New Roman"/>
          <w:color w:val="000000"/>
          <w:sz w:val="20"/>
        </w:rPr>
        <w:t xml:space="preserve"> </w:t>
      </w:r>
      <w:r>
        <w:rPr>
          <w:rFonts w:ascii="Times New Roman" w:hAnsi="Times New Roman"/>
          <w:b w:val="false"/>
          <w:color w:val="000000"/>
          <w:sz w:val="20"/>
        </w:rPr>
        <w:t>issued and outstanding Multiple Voting Shares, which convert into 3,853,100</w:t>
      </w:r>
      <w:r>
        <w:rPr>
          <w:rFonts w:ascii="Times New Roman" w:hAnsi="Times New Roman"/>
          <w:color w:val="000000"/>
          <w:sz w:val="20"/>
        </w:rPr>
        <w:t xml:space="preserve"> </w:t>
      </w:r>
      <w:r>
        <w:rPr>
          <w:rFonts w:ascii="Times New Roman" w:hAnsi="Times New Roman"/>
          <w:b w:val="false"/>
          <w:color w:val="000000"/>
          <w:sz w:val="20"/>
        </w:rPr>
        <w:t>Subordinate Voting Shares. The Company is authorized to issue an unlimited number of Multiple Voting Shares. During the three months ended September 30, 2023, shareholders of the Company converted 25,000</w:t>
      </w:r>
      <w:r>
        <w:rPr>
          <w:rFonts w:ascii="Times New Roman" w:hAnsi="Times New Roman"/>
          <w:color w:val="000000"/>
          <w:sz w:val="20"/>
        </w:rPr>
        <w:t xml:space="preserve"> </w:t>
      </w:r>
      <w:r>
        <w:rPr>
          <w:rFonts w:ascii="Times New Roman" w:hAnsi="Times New Roman"/>
          <w:b w:val="false"/>
          <w:color w:val="000000"/>
          <w:sz w:val="20"/>
        </w:rPr>
        <w:t>Super Voting Shares into 25,000</w:t>
      </w:r>
      <w:r>
        <w:rPr>
          <w:rFonts w:ascii="Times New Roman" w:hAnsi="Times New Roman"/>
          <w:color w:val="000000"/>
          <w:sz w:val="20"/>
        </w:rPr>
        <w:t xml:space="preserve"> </w:t>
      </w:r>
      <w:r>
        <w:rPr>
          <w:rFonts w:ascii="Times New Roman" w:hAnsi="Times New Roman"/>
          <w:b w:val="false"/>
          <w:color w:val="000000"/>
          <w:sz w:val="20"/>
        </w:rPr>
        <w:t>Multiple Voting Shares and 25,000</w:t>
      </w:r>
      <w:r>
        <w:rPr>
          <w:rFonts w:ascii="Times New Roman" w:hAnsi="Times New Roman"/>
          <w:color w:val="000000"/>
          <w:sz w:val="20"/>
        </w:rPr>
        <w:t xml:space="preserve"> </w:t>
      </w:r>
      <w:r>
        <w:rPr>
          <w:rFonts w:ascii="Times New Roman" w:hAnsi="Times New Roman"/>
          <w:b w:val="false"/>
          <w:color w:val="000000"/>
          <w:sz w:val="20"/>
        </w:rPr>
        <w:t>Multiple Voting Shares into 2,500,000</w:t>
      </w:r>
      <w:r>
        <w:rPr>
          <w:rFonts w:ascii="Times New Roman" w:hAnsi="Times New Roman"/>
          <w:color w:val="000000"/>
          <w:sz w:val="20"/>
        </w:rPr>
        <w:t xml:space="preserve"> </w:t>
      </w:r>
      <w:r>
        <w:rPr>
          <w:rFonts w:ascii="Times New Roman" w:hAnsi="Times New Roman"/>
          <w:b w:val="false"/>
          <w:color w:val="000000"/>
          <w:sz w:val="20"/>
        </w:rPr>
        <w:t>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(iii) Super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Each Super Voting Share is entitled to 1,000</w:t>
      </w:r>
      <w:r>
        <w:rPr>
          <w:rFonts w:ascii="Times New Roman" w:hAnsi="Times New Roman"/>
          <w:color w:val="000000"/>
          <w:sz w:val="20"/>
        </w:rPr>
        <w:t xml:space="preserve"> </w:t>
      </w:r>
      <w:r>
        <w:rPr>
          <w:rFonts w:ascii="Times New Roman" w:hAnsi="Times New Roman"/>
          <w:b w:val="false"/>
          <w:color w:val="000000"/>
          <w:sz w:val="20"/>
        </w:rPr>
        <w:t>votes per share at shareholder meetings of the Company and is exchangeable for one Multiple Voting Share. At September 30, 2023, the Company had 226,690</w:t>
      </w:r>
      <w:r>
        <w:rPr>
          <w:rFonts w:ascii="Times New Roman" w:hAnsi="Times New Roman"/>
          <w:color w:val="000000"/>
          <w:sz w:val="20"/>
        </w:rPr>
        <w:t xml:space="preserve"> </w:t>
      </w:r>
      <w:r>
        <w:rPr>
          <w:rFonts w:ascii="Times New Roman" w:hAnsi="Times New Roman"/>
          <w:b w:val="false"/>
          <w:color w:val="000000"/>
          <w:sz w:val="20"/>
        </w:rPr>
        <w:t>issued and outstanding Super Voting Shares which ultimately convert into 22,669,000</w:t>
      </w:r>
      <w:r>
        <w:rPr>
          <w:rFonts w:ascii="Times New Roman" w:hAnsi="Times New Roman"/>
          <w:color w:val="000000"/>
          <w:sz w:val="20"/>
        </w:rPr>
        <w:t xml:space="preserve"> </w:t>
      </w:r>
      <w:r>
        <w:rPr>
          <w:rFonts w:ascii="Times New Roman" w:hAnsi="Times New Roman"/>
          <w:b w:val="false"/>
          <w:color w:val="000000"/>
          <w:sz w:val="20"/>
        </w:rPr>
        <w:t>Subordinate Voting Shares. The Company is authorized to issue an unlimited number of Super Voting Shares. During the three months ended September 30, 2023, shareholders of the Company converted 25,000</w:t>
      </w:r>
      <w:r>
        <w:rPr>
          <w:rFonts w:ascii="Times New Roman" w:hAnsi="Times New Roman"/>
          <w:color w:val="000000"/>
          <w:sz w:val="20"/>
        </w:rPr>
        <w:t xml:space="preserve"> </w:t>
      </w:r>
      <w:r>
        <w:rPr>
          <w:rFonts w:ascii="Times New Roman" w:hAnsi="Times New Roman"/>
          <w:b w:val="false"/>
          <w:color w:val="000000"/>
          <w:sz w:val="20"/>
        </w:rPr>
        <w:t>Super Voting Shares into 25,000</w:t>
      </w:r>
      <w:r>
        <w:rPr>
          <w:rFonts w:ascii="Times New Roman" w:hAnsi="Times New Roman"/>
          <w:color w:val="000000"/>
          <w:sz w:val="20"/>
        </w:rPr>
        <w:t xml:space="preserve"> </w:t>
      </w:r>
      <w:r>
        <w:rPr>
          <w:rFonts w:ascii="Times New Roman" w:hAnsi="Times New Roman"/>
          <w:b w:val="false"/>
          <w:color w:val="000000"/>
          <w:sz w:val="20"/>
        </w:rPr>
        <w:t>Multiple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reconciliation of the beginning and ending amounts of the issued and outstanding shares by class is as follows:</w:t>
      </w:r>
      <w:r>
        <w:rPr>
          <w:rFonts w:ascii="Times New Roman" w:hAnsi="Times New Roman"/>
          <w:color w:val="000000"/>
          <w:sz w:val="20"/>
        </w:rPr>
        <w:t xml:space="preserve"> </w:t>
      </w:r>
    </w:p>
    <w:p>
      <w:pPr>
        <w:pStyle w:val="TextBody"/>
        <w:bidi w:val="0"/>
        <w:spacing w:before="120" w:after="283"/>
        <w:jc w:val="left"/>
        <w:rPr/>
      </w:pPr>
      <w:r>
        <w:rPr/>
        <w:t> </w:t>
      </w:r>
    </w:p>
    <w:tbl>
      <w:tblPr>
        <w:tblW w:w="6727" w:type="dxa"/>
        <w:jc w:val="left"/>
        <w:tblInd w:w="0" w:type="dxa"/>
        <w:tblLayout w:type="fixed"/>
        <w:tblCellMar>
          <w:top w:w="28" w:type="dxa"/>
          <w:left w:w="28" w:type="dxa"/>
          <w:bottom w:w="28" w:type="dxa"/>
          <w:right w:w="28" w:type="dxa"/>
        </w:tblCellMar>
      </w:tblPr>
      <w:tblGrid>
        <w:gridCol w:w="3601"/>
        <w:gridCol w:w="146"/>
        <w:gridCol w:w="1141"/>
        <w:gridCol w:w="146"/>
        <w:gridCol w:w="706"/>
        <w:gridCol w:w="146"/>
        <w:gridCol w:w="84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r>
      <w:tr>
        <w:trPr/>
        <w:tc>
          <w:tcPr>
            <w:tcW w:w="36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Super</w:t>
              <w:br/>
              <w:t>Voting</w:t>
              <w:br/>
              <w:t>Shares</w:t>
            </w:r>
          </w:p>
        </w:tc>
      </w:tr>
      <w:tr>
        <w:trPr/>
        <w:tc>
          <w:tcPr>
            <w:tcW w:w="36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 2023</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206,991,275</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38,531</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251,690</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Distribution of contingent consideration</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1,614,871</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r>
      <w:tr>
        <w:trPr/>
        <w:tc>
          <w:tcPr>
            <w:tcW w:w="3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Distribution of deferred shares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680,089</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shares upon exercise of options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365,521</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r>
      <w:tr>
        <w:trPr/>
        <w:tc>
          <w:tcPr>
            <w:tcW w:w="3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Issuances of shares upon vesting of RSUs</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390,676</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r>
      <w:tr>
        <w:trPr/>
        <w:tc>
          <w:tcPr>
            <w:tcW w:w="36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Repurchase of Subordinate Voting Shares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(2,500,001)</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r>
      <w:tr>
        <w:trPr/>
        <w:tc>
          <w:tcPr>
            <w:tcW w:w="36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Exchange of shares</w:t>
            </w:r>
          </w:p>
        </w:tc>
        <w:tc>
          <w:tcPr>
            <w:tcW w:w="146" w:type="dxa"/>
            <w:tcBorders/>
            <w:shd w:fill="CFF0FC" w:val="cle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w:t>
            </w:r>
          </w:p>
        </w:tc>
      </w:tr>
      <w:tr>
        <w:trPr/>
        <w:tc>
          <w:tcPr>
            <w:tcW w:w="36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September 30, 2023</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210,042,431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226,690</w:t>
            </w:r>
          </w:p>
        </w:tc>
      </w:tr>
    </w:tbl>
    <w:p>
      <w:pPr>
        <w:pStyle w:val="TextBody"/>
        <w:bidi w:val="0"/>
        <w:spacing w:before="12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b w:val="false"/>
          <w:i/>
          <w:color w:val="000000"/>
          <w:sz w:val="20"/>
        </w:rPr>
        <w:t>(Continued)</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r>
        <w:rPr>
          <w:rFonts w:ascii="Times New Roman" w:hAnsi="Times New Roman"/>
          <w:b w:val="false"/>
          <w:i/>
          <w:color w:val="000000"/>
          <w:sz w:val="20"/>
        </w:rPr>
        <w:t>(Continued)</w:t>
      </w:r>
    </w:p>
    <w:p>
      <w:pPr>
        <w:pStyle w:val="TextBody"/>
        <w:bidi w:val="0"/>
        <w:spacing w:before="120" w:after="283"/>
        <w:jc w:val="left"/>
        <w:rPr>
          <w:rFonts w:ascii="Times New Roman" w:hAnsi="Times New Roman"/>
          <w:sz w:val="20"/>
        </w:rPr>
      </w:pPr>
      <w:r>
        <w:rPr>
          <w:rFonts w:ascii="Times New Roman" w:hAnsi="Times New Roman"/>
          <w:b/>
          <w:color w:val="000000"/>
          <w:sz w:val="20"/>
        </w:rPr>
        <w:t>(i) Distribution of Deferred Shares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part of the consideration exchanged for certain acquisitions completed throughout 2021, the Company deferred the distribution of Subordinate Voting Shares to secure the Company's indemnification rights associated with post-acquisition costs. The following table summarizes the activity during the nine months ended September 30, 2023:</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287"/>
        <w:gridCol w:w="1597"/>
        <w:gridCol w:w="1369"/>
        <w:gridCol w:w="1264"/>
        <w:gridCol w:w="1688"/>
      </w:tblGrid>
      <w:tr>
        <w:trPr/>
        <w:tc>
          <w:tcPr>
            <w:tcW w:w="42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4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Related Acquisition</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at December 31, 2022</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Distributed Shares</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Cancelled Shares</w:t>
            </w:r>
          </w:p>
        </w:tc>
        <w:tc>
          <w:tcPr>
            <w:tcW w:w="1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at September 30, 2023</w:t>
            </w:r>
          </w:p>
        </w:tc>
      </w:tr>
      <w:tr>
        <w:trPr/>
        <w:tc>
          <w:tcPr>
            <w:tcW w:w="4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Liberty Compassion, Inc.</w:t>
            </w:r>
          </w:p>
        </w:tc>
        <w:tc>
          <w:tcPr>
            <w:tcW w:w="1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214,768</w:t>
            </w:r>
          </w:p>
        </w:tc>
        <w:tc>
          <w:tcPr>
            <w:tcW w:w="13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(214,768)</w:t>
            </w:r>
          </w:p>
        </w:tc>
        <w:tc>
          <w:tcPr>
            <w:tcW w:w="1264" w:type="dxa"/>
            <w:tcBorders/>
            <w:shd w:fill="CFF0FC" w:val="clear"/>
            <w:vAlign w:val="center"/>
          </w:tcPr>
          <w:p>
            <w:pPr>
              <w:pStyle w:val="TableContents"/>
              <w:bidi w:val="0"/>
              <w:spacing w:before="0" w:after="283"/>
              <w:jc w:val="right"/>
              <w:rPr>
                <w:color w:val="000000"/>
              </w:rPr>
            </w:pPr>
            <w:r>
              <w:rPr>
                <w:color w:val="000000"/>
              </w:rPr>
              <w:t>—</w:t>
            </w:r>
          </w:p>
        </w:tc>
        <w:tc>
          <w:tcPr>
            <w:tcW w:w="1688" w:type="dxa"/>
            <w:tcBorders/>
            <w:shd w:fill="CFF0FC" w:val="clear"/>
            <w:vAlign w:val="center"/>
          </w:tcPr>
          <w:p>
            <w:pPr>
              <w:pStyle w:val="TableContents"/>
              <w:bidi w:val="0"/>
              <w:spacing w:before="0" w:after="283"/>
              <w:jc w:val="right"/>
              <w:rPr>
                <w:color w:val="000000"/>
              </w:rPr>
            </w:pPr>
            <w:r>
              <w:rPr>
                <w:color w:val="000000"/>
              </w:rPr>
              <w:t>—</w:t>
            </w:r>
          </w:p>
        </w:tc>
      </w:tr>
      <w:tr>
        <w:trPr/>
        <w:tc>
          <w:tcPr>
            <w:tcW w:w="4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Dharma Pharmaceuticals, LLC</w:t>
            </w:r>
          </w:p>
        </w:tc>
        <w:tc>
          <w:tcPr>
            <w:tcW w:w="15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229,878</w:t>
            </w:r>
          </w:p>
        </w:tc>
        <w:tc>
          <w:tcPr>
            <w:tcW w:w="13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(229,878)</w:t>
            </w:r>
          </w:p>
        </w:tc>
        <w:tc>
          <w:tcPr>
            <w:tcW w:w="1264" w:type="dxa"/>
            <w:tcBorders/>
            <w:shd w:fill="FFFFFF" w:val="clear"/>
            <w:vAlign w:val="center"/>
          </w:tcPr>
          <w:p>
            <w:pPr>
              <w:pStyle w:val="TableContents"/>
              <w:bidi w:val="0"/>
              <w:spacing w:before="0" w:after="283"/>
              <w:jc w:val="right"/>
              <w:rPr>
                <w:color w:val="000000"/>
              </w:rPr>
            </w:pPr>
            <w:r>
              <w:rPr>
                <w:color w:val="000000"/>
              </w:rPr>
              <w:t>—</w:t>
            </w:r>
          </w:p>
        </w:tc>
        <w:tc>
          <w:tcPr>
            <w:tcW w:w="1688" w:type="dxa"/>
            <w:tcBorders/>
            <w:shd w:fill="FFFFFF" w:val="clear"/>
            <w:vAlign w:val="center"/>
          </w:tcPr>
          <w:p>
            <w:pPr>
              <w:pStyle w:val="TableContents"/>
              <w:bidi w:val="0"/>
              <w:spacing w:before="0" w:after="283"/>
              <w:jc w:val="right"/>
              <w:rPr>
                <w:color w:val="000000"/>
              </w:rPr>
            </w:pPr>
            <w:r>
              <w:rPr>
                <w:color w:val="000000"/>
              </w:rPr>
              <w:t>—</w:t>
            </w:r>
          </w:p>
        </w:tc>
      </w:tr>
      <w:tr>
        <w:trPr/>
        <w:tc>
          <w:tcPr>
            <w:tcW w:w="4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Mobley Pain Management and Wellness Center, LLC and Canwell Processing, LLC</w:t>
            </w:r>
          </w:p>
        </w:tc>
        <w:tc>
          <w:tcPr>
            <w:tcW w:w="1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264,760</w:t>
            </w:r>
          </w:p>
        </w:tc>
        <w:tc>
          <w:tcPr>
            <w:tcW w:w="13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(12,305)</w:t>
            </w:r>
          </w:p>
        </w:tc>
        <w:tc>
          <w:tcPr>
            <w:tcW w:w="12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(84,122)</w:t>
            </w:r>
          </w:p>
        </w:tc>
        <w:tc>
          <w:tcPr>
            <w:tcW w:w="168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168,333</w:t>
            </w:r>
          </w:p>
        </w:tc>
      </w:tr>
      <w:tr>
        <w:trPr/>
        <w:tc>
          <w:tcPr>
            <w:tcW w:w="4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GreenStar Herbals, Inc.</w:t>
            </w:r>
          </w:p>
        </w:tc>
        <w:tc>
          <w:tcPr>
            <w:tcW w:w="15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161,306</w:t>
            </w:r>
          </w:p>
        </w:tc>
        <w:tc>
          <w:tcPr>
            <w:tcW w:w="13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(161,306)</w:t>
            </w:r>
          </w:p>
        </w:tc>
        <w:tc>
          <w:tcPr>
            <w:tcW w:w="1264" w:type="dxa"/>
            <w:tcBorders/>
            <w:shd w:fill="FFFFFF" w:val="clear"/>
            <w:vAlign w:val="center"/>
          </w:tcPr>
          <w:p>
            <w:pPr>
              <w:pStyle w:val="TableContents"/>
              <w:bidi w:val="0"/>
              <w:spacing w:before="0" w:after="283"/>
              <w:jc w:val="right"/>
              <w:rPr>
                <w:color w:val="000000"/>
              </w:rPr>
            </w:pPr>
            <w:r>
              <w:rPr>
                <w:color w:val="000000"/>
              </w:rPr>
              <w:t>—</w:t>
            </w:r>
          </w:p>
        </w:tc>
        <w:tc>
          <w:tcPr>
            <w:tcW w:w="1688" w:type="dxa"/>
            <w:tcBorders/>
            <w:shd w:fill="FFFFFF" w:val="clear"/>
            <w:vAlign w:val="center"/>
          </w:tcPr>
          <w:p>
            <w:pPr>
              <w:pStyle w:val="TableContents"/>
              <w:bidi w:val="0"/>
              <w:spacing w:before="0" w:after="283"/>
              <w:jc w:val="right"/>
              <w:rPr>
                <w:color w:val="000000"/>
              </w:rPr>
            </w:pPr>
            <w:r>
              <w:rPr>
                <w:color w:val="000000"/>
              </w:rPr>
              <w:t>—</w:t>
            </w:r>
          </w:p>
        </w:tc>
      </w:tr>
      <w:tr>
        <w:trPr/>
        <w:tc>
          <w:tcPr>
            <w:tcW w:w="4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Maryland Health and Wellness Center, Inc.</w:t>
            </w:r>
          </w:p>
        </w:tc>
        <w:tc>
          <w:tcPr>
            <w:tcW w:w="1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61,832</w:t>
            </w:r>
          </w:p>
        </w:tc>
        <w:tc>
          <w:tcPr>
            <w:tcW w:w="13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(61,832)</w:t>
            </w:r>
          </w:p>
        </w:tc>
        <w:tc>
          <w:tcPr>
            <w:tcW w:w="1264" w:type="dxa"/>
            <w:tcBorders/>
            <w:shd w:fill="CFF0FC" w:val="clear"/>
            <w:vAlign w:val="center"/>
          </w:tcPr>
          <w:p>
            <w:pPr>
              <w:pStyle w:val="TableContents"/>
              <w:bidi w:val="0"/>
              <w:spacing w:before="0" w:after="283"/>
              <w:jc w:val="right"/>
              <w:rPr>
                <w:color w:val="000000"/>
              </w:rPr>
            </w:pPr>
            <w:r>
              <w:rPr>
                <w:color w:val="000000"/>
              </w:rPr>
              <w:t>—</w:t>
            </w:r>
          </w:p>
        </w:tc>
        <w:tc>
          <w:tcPr>
            <w:tcW w:w="1688" w:type="dxa"/>
            <w:tcBorders/>
            <w:shd w:fill="CFF0FC" w:val="clear"/>
            <w:vAlign w:val="center"/>
          </w:tcPr>
          <w:p>
            <w:pPr>
              <w:pStyle w:val="TableContents"/>
              <w:bidi w:val="0"/>
              <w:spacing w:before="0" w:after="283"/>
              <w:jc w:val="right"/>
              <w:rPr>
                <w:color w:val="000000"/>
              </w:rPr>
            </w:pPr>
            <w:r>
              <w:rPr>
                <w:color w:val="000000"/>
              </w:rPr>
              <w:t>—</w:t>
            </w:r>
          </w:p>
        </w:tc>
      </w:tr>
      <w:tr>
        <w:trPr/>
        <w:tc>
          <w:tcPr>
            <w:tcW w:w="4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LeafLine Industries, LLC</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386,002</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386,002</w:t>
            </w:r>
          </w:p>
        </w:tc>
      </w:tr>
      <w:tr>
        <w:trPr/>
        <w:tc>
          <w:tcPr>
            <w:tcW w:w="428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1,318,546</w:t>
            </w:r>
          </w:p>
        </w:tc>
        <w:tc>
          <w:tcPr>
            <w:tcW w:w="1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(680,089)</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(84,122)</w:t>
            </w:r>
          </w:p>
        </w:tc>
        <w:tc>
          <w:tcPr>
            <w:tcW w:w="1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554,335</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held deferred shares in the amount of $12,973</w:t>
      </w:r>
      <w:r>
        <w:rPr>
          <w:rFonts w:ascii="Times New Roman" w:hAnsi="Times New Roman"/>
          <w:color w:val="000000"/>
          <w:sz w:val="20"/>
        </w:rPr>
        <w:t xml:space="preserve"> </w:t>
      </w:r>
      <w:r>
        <w:rPr>
          <w:rFonts w:ascii="Times New Roman" w:hAnsi="Times New Roman"/>
          <w:b w:val="false"/>
          <w:color w:val="000000"/>
          <w:sz w:val="20"/>
        </w:rPr>
        <w:t>thousand and $36,211</w:t>
      </w:r>
      <w:r>
        <w:rPr>
          <w:rFonts w:ascii="Times New Roman" w:hAnsi="Times New Roman"/>
          <w:color w:val="000000"/>
          <w:sz w:val="20"/>
        </w:rPr>
        <w:t xml:space="preserve"> </w:t>
      </w:r>
      <w:r>
        <w:rPr>
          <w:rFonts w:ascii="Times New Roman" w:hAnsi="Times New Roman"/>
          <w:b w:val="false"/>
          <w:color w:val="000000"/>
          <w:sz w:val="20"/>
        </w:rPr>
        <w:t>thousand, respectively. In accordance with the relevant acquisition agreement, a portion of the outstanding deferred shares were cancelled in order to indemnify the Company for post-acquisition costs. As the cancellation of the deferred shares occurred outside of the purchase price allocation measurement period (generally one year from the acquisition date), the Company recorded a gain of $2,784 thousand within selling general and administrative expenses on the Company's unaudited interim condensed consolidated statements of operations during the nine months ended September 30, 2023.</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(ii) Distribution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Dharma Pharmaceuticals,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connection with the Company's 2021 acquisition of Dharma Pharmaceuticals, LLC (“Dharma”), the purchase agreement included contingent consideration of up to $65,000</w:t>
      </w:r>
      <w:r>
        <w:rPr>
          <w:rFonts w:ascii="Times New Roman" w:hAnsi="Times New Roman"/>
          <w:color w:val="000000"/>
          <w:sz w:val="20"/>
        </w:rPr>
        <w:t xml:space="preserve"> </w:t>
      </w:r>
      <w:r>
        <w:rPr>
          <w:rFonts w:ascii="Times New Roman" w:hAnsi="Times New Roman"/>
          <w:b w:val="false"/>
          <w:color w:val="000000"/>
          <w:sz w:val="20"/>
        </w:rPr>
        <w:t>thousand in Subordinate Voting Shares of Green Thumb, dependent upon the successful opening of up to five retail stores in the Virginia area within the first three years following the signing of the agreement and the legal sale of adult-use cannabis in a retail store by January 1, 2025. On June 1, 2023 and July 10, 2023, the Company issued 822,447</w:t>
      </w:r>
      <w:r>
        <w:rPr>
          <w:rFonts w:ascii="Times New Roman" w:hAnsi="Times New Roman"/>
          <w:color w:val="000000"/>
          <w:sz w:val="20"/>
        </w:rPr>
        <w:t xml:space="preserve"> </w:t>
      </w:r>
      <w:r>
        <w:rPr>
          <w:rFonts w:ascii="Times New Roman" w:hAnsi="Times New Roman"/>
          <w:b w:val="false"/>
          <w:color w:val="000000"/>
          <w:sz w:val="20"/>
        </w:rPr>
        <w:t>and 792,424</w:t>
      </w:r>
      <w:r>
        <w:rPr>
          <w:rFonts w:ascii="Times New Roman" w:hAnsi="Times New Roman"/>
          <w:color w:val="000000"/>
          <w:sz w:val="20"/>
        </w:rPr>
        <w:t xml:space="preserve"> </w:t>
      </w:r>
      <w:r>
        <w:rPr>
          <w:rFonts w:ascii="Times New Roman" w:hAnsi="Times New Roman"/>
          <w:b w:val="false"/>
          <w:color w:val="000000"/>
          <w:sz w:val="20"/>
        </w:rPr>
        <w:t>Subordinate Voting Shares, respectively, to the former owners of Dharma in connection with the successful opening of the fourth and fifth retail stores in Virginia. The shares had a combined fair value of $12,524</w:t>
      </w:r>
      <w:r>
        <w:rPr>
          <w:rFonts w:ascii="Times New Roman" w:hAnsi="Times New Roman"/>
          <w:color w:val="000000"/>
          <w:sz w:val="20"/>
        </w:rPr>
        <w:t xml:space="preserve"> </w:t>
      </w:r>
      <w:r>
        <w:rPr>
          <w:rFonts w:ascii="Times New Roman" w:hAnsi="Times New Roman"/>
          <w:b w:val="false"/>
          <w:color w:val="000000"/>
          <w:sz w:val="20"/>
        </w:rPr>
        <w:t>thousand at the date of issuance.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the total estimated fair value of the contingent consideration associated with the acquisition of Dharma, which was valued based on the probability weighting of potential payouts, was $32,789</w:t>
      </w:r>
      <w:r>
        <w:rPr>
          <w:rFonts w:ascii="Times New Roman" w:hAnsi="Times New Roman"/>
          <w:color w:val="000000"/>
          <w:sz w:val="20"/>
        </w:rPr>
        <w:t xml:space="preserve"> </w:t>
      </w:r>
      <w:r>
        <w:rPr>
          <w:rFonts w:ascii="Times New Roman" w:hAnsi="Times New Roman"/>
          <w:b w:val="false"/>
          <w:color w:val="000000"/>
          <w:sz w:val="20"/>
        </w:rPr>
        <w:t>thousand, and $41,943</w:t>
      </w:r>
      <w:r>
        <w:rPr>
          <w:rFonts w:ascii="Times New Roman" w:hAnsi="Times New Roman"/>
          <w:color w:val="000000"/>
          <w:sz w:val="20"/>
        </w:rPr>
        <w:t xml:space="preserve"> </w:t>
      </w:r>
      <w:r>
        <w:rPr>
          <w:rFonts w:ascii="Times New Roman" w:hAnsi="Times New Roman"/>
          <w:b w:val="false"/>
          <w:color w:val="000000"/>
          <w:sz w:val="20"/>
        </w:rPr>
        <w:t>thousand, respectively. As of December 31, 2022, $11,400</w:t>
      </w:r>
      <w:r>
        <w:rPr>
          <w:rFonts w:ascii="Times New Roman" w:hAnsi="Times New Roman"/>
          <w:color w:val="000000"/>
          <w:sz w:val="20"/>
        </w:rPr>
        <w:t xml:space="preserve"> </w:t>
      </w:r>
      <w:r>
        <w:rPr>
          <w:rFonts w:ascii="Times New Roman" w:hAnsi="Times New Roman"/>
          <w:b w:val="false"/>
          <w:color w:val="000000"/>
          <w:sz w:val="20"/>
        </w:rPr>
        <w:t>thousand of the total value of the contingent consideration was included within current liabilities on the Company's unaudited interim condensed consolidated balance sheets. As of September 30, 2023, no portion of the contingent consideration was included within current liabilities on the Company's unaudited interim condensed consolidated balance sheets.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(iii) Repurchase of Subordinate Voting Shares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5, 2023, the Company announced that its Board of Directors authorized the Company to repurchase up to 5%, or 10,486,951</w:t>
      </w:r>
      <w:r>
        <w:rPr>
          <w:rFonts w:ascii="Times New Roman" w:hAnsi="Times New Roman"/>
          <w:color w:val="000000"/>
          <w:sz w:val="20"/>
        </w:rPr>
        <w:t xml:space="preserve"> </w:t>
      </w:r>
      <w:r>
        <w:rPr>
          <w:rFonts w:ascii="Times New Roman" w:hAnsi="Times New Roman"/>
          <w:b w:val="false"/>
          <w:color w:val="000000"/>
          <w:sz w:val="20"/>
        </w:rPr>
        <w:t>of its Subordinate Voting Shares over a 12-month period at an aggregate cost of up to $50,000</w:t>
      </w:r>
      <w:r>
        <w:rPr>
          <w:rFonts w:ascii="Times New Roman" w:hAnsi="Times New Roman"/>
          <w:color w:val="000000"/>
          <w:sz w:val="20"/>
        </w:rPr>
        <w:t xml:space="preserve"> </w:t>
      </w:r>
      <w:r>
        <w:rPr>
          <w:rFonts w:ascii="Times New Roman" w:hAnsi="Times New Roman"/>
          <w:b w:val="false"/>
          <w:color w:val="000000"/>
          <w:sz w:val="20"/>
        </w:rPr>
        <w:t>thousand. During the month of September 2023, the Company repurchased 2,500,000</w:t>
      </w:r>
      <w:r>
        <w:rPr>
          <w:rFonts w:ascii="Times New Roman" w:hAnsi="Times New Roman"/>
          <w:color w:val="000000"/>
          <w:sz w:val="20"/>
        </w:rPr>
        <w:t xml:space="preserve"> </w:t>
      </w:r>
      <w:r>
        <w:rPr>
          <w:rFonts w:ascii="Times New Roman" w:hAnsi="Times New Roman"/>
          <w:b w:val="false"/>
          <w:color w:val="000000"/>
          <w:sz w:val="20"/>
        </w:rPr>
        <w:t>Subordinate Voting Shares at an average price of $9.96</w:t>
      </w:r>
      <w:r>
        <w:rPr>
          <w:rFonts w:ascii="Times New Roman" w:hAnsi="Times New Roman"/>
          <w:color w:val="000000"/>
          <w:sz w:val="20"/>
        </w:rPr>
        <w:t xml:space="preserve"> </w:t>
      </w:r>
      <w:r>
        <w:rPr>
          <w:rFonts w:ascii="Times New Roman" w:hAnsi="Times New Roman"/>
          <w:b w:val="false"/>
          <w:color w:val="000000"/>
          <w:sz w:val="20"/>
        </w:rPr>
        <w:t>per share.</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b w:val="false"/>
          <w:i/>
          <w:color w:val="000000"/>
          <w:sz w:val="20"/>
        </w:rPr>
        <w:t>(Continued)</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 Stock-Based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2018, the Company established the Green Thumb Industries Inc. 2018 Stock and Incentive Plan, which was amended by Amendment No. 1 and Amendment No. 2 thereto (as amended, the “Plan”). The maximum number of Restricted Stock Units (“RSUs”) and options outstanding under the Plan at any time shall not exceed 10% of the then issued and outstanding shares on an as-converted basis.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Option and RSU awards generally vest over three years, and options typically have a life of five to ten years. Option grants under the Plan are determined by the Compensation Committee of the Company’s Board of Directors with the option price set at no less than 100% of the fair market value of a share on the date of grant.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Stock option activity is summarized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007"/>
        <w:gridCol w:w="1385"/>
        <w:gridCol w:w="2402"/>
        <w:gridCol w:w="3411"/>
      </w:tblGrid>
      <w:tr>
        <w:trPr/>
        <w:tc>
          <w:tcPr>
            <w:tcW w:w="300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3007" w:type="dxa"/>
            <w:tcBorders/>
            <w:shd w:fill="FFFFFF" w:val="cle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r>
      <w:tr>
        <w:trPr/>
        <w:tc>
          <w:tcPr>
            <w:tcW w:w="30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December 31, 2022</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9,577,947</w:t>
            </w:r>
          </w:p>
        </w:tc>
        <w:tc>
          <w:tcPr>
            <w:tcW w:w="24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w:t>
            </w:r>
          </w:p>
        </w:tc>
        <w:tc>
          <w:tcPr>
            <w:tcW w:w="3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w:t>
            </w:r>
          </w:p>
        </w:tc>
      </w:tr>
      <w:tr>
        <w:trPr/>
        <w:tc>
          <w:tcPr>
            <w:tcW w:w="30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3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2,321,729</w:t>
            </w:r>
          </w:p>
        </w:tc>
        <w:tc>
          <w:tcPr>
            <w:tcW w:w="24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7.72</w:t>
            </w:r>
          </w:p>
        </w:tc>
        <w:tc>
          <w:tcPr>
            <w:tcW w:w="34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w:t>
            </w:r>
          </w:p>
        </w:tc>
      </w:tr>
      <w:tr>
        <w:trPr/>
        <w:tc>
          <w:tcPr>
            <w:tcW w:w="30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(365,521)</w:t>
            </w:r>
          </w:p>
        </w:tc>
        <w:tc>
          <w:tcPr>
            <w:tcW w:w="24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w:t>
            </w:r>
          </w:p>
        </w:tc>
        <w:tc>
          <w:tcPr>
            <w:tcW w:w="3411" w:type="dxa"/>
            <w:tcBorders/>
            <w:shd w:fill="CFF0FC" w:val="clear"/>
            <w:vAlign w:val="center"/>
          </w:tcPr>
          <w:p>
            <w:pPr>
              <w:pStyle w:val="TableContents"/>
              <w:bidi w:val="0"/>
              <w:spacing w:before="0" w:after="283"/>
              <w:jc w:val="right"/>
              <w:rPr/>
            </w:pPr>
            <w:r>
              <w:rPr/>
              <w:t> </w:t>
            </w:r>
          </w:p>
        </w:tc>
      </w:tr>
      <w:tr>
        <w:trPr/>
        <w:tc>
          <w:tcPr>
            <w:tcW w:w="30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(1,304,260)</w:t>
            </w:r>
          </w:p>
        </w:tc>
        <w:tc>
          <w:tcPr>
            <w:tcW w:w="2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12.25</w:t>
            </w:r>
          </w:p>
        </w:tc>
        <w:tc>
          <w:tcPr>
            <w:tcW w:w="3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September 30, 2023</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10,229,895</w:t>
            </w:r>
          </w:p>
        </w:tc>
        <w:tc>
          <w:tcPr>
            <w:tcW w:w="24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$11.82</w:t>
            </w:r>
          </w:p>
        </w:tc>
        <w:tc>
          <w:tcPr>
            <w:tcW w:w="3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r>
      <w:tr>
        <w:trPr/>
        <w:tc>
          <w:tcPr>
            <w:tcW w:w="30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3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5,341,985</w:t>
            </w:r>
          </w:p>
        </w:tc>
        <w:tc>
          <w:tcPr>
            <w:tcW w:w="24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$17.24</w:t>
            </w:r>
          </w:p>
        </w:tc>
        <w:tc>
          <w:tcPr>
            <w:tcW w:w="3411" w:type="dxa"/>
            <w:tcBorders/>
            <w:shd w:fill="FFFFFF" w:val="clear"/>
            <w:vAlign w:val="center"/>
          </w:tcPr>
          <w:p>
            <w:pPr>
              <w:pStyle w:val="TableContents"/>
              <w:bidi w:val="0"/>
              <w:spacing w:before="0" w:after="283"/>
              <w:jc w:val="right"/>
              <w:rPr/>
            </w:pPr>
            <w:r>
              <w:rPr/>
              <w:t> </w:t>
            </w:r>
          </w:p>
        </w:tc>
      </w:tr>
      <w:tr>
        <w:trPr/>
        <w:tc>
          <w:tcPr>
            <w:tcW w:w="30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as of September 30, 2023</w:t>
            </w:r>
          </w:p>
        </w:tc>
        <w:tc>
          <w:tcPr>
            <w:tcW w:w="13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3,566,406</w:t>
            </w:r>
          </w:p>
        </w:tc>
        <w:tc>
          <w:tcPr>
            <w:tcW w:w="24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w:t>
            </w:r>
          </w:p>
        </w:tc>
        <w:tc>
          <w:tcPr>
            <w:tcW w:w="3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r>
    </w:tbl>
    <w:p>
      <w:pPr>
        <w:pStyle w:val="TextBody"/>
        <w:bidi w:val="0"/>
        <w:spacing w:before="40"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used the Black-Scholes option pricing model to estimate the fair value of the options granted during the nine months ended September 30, 2023 and the year ended December 31, 2022, using the following ranges of assumptions:</w:t>
      </w:r>
      <w:r>
        <w:rPr>
          <w:rFonts w:ascii="Times New Roman" w:hAnsi="Times New Roman"/>
          <w:color w:val="000000"/>
          <w:sz w:val="20"/>
        </w:rPr>
        <w:t xml:space="preserve"> </w:t>
      </w:r>
    </w:p>
    <w:tbl>
      <w:tblPr>
        <w:tblW w:w="4758" w:type="dxa"/>
        <w:jc w:val="left"/>
        <w:tblInd w:w="0" w:type="dxa"/>
        <w:tblLayout w:type="fixed"/>
        <w:tblCellMar>
          <w:top w:w="28" w:type="dxa"/>
          <w:left w:w="28" w:type="dxa"/>
          <w:bottom w:w="28" w:type="dxa"/>
          <w:right w:w="28" w:type="dxa"/>
        </w:tblCellMar>
      </w:tblPr>
      <w:tblGrid>
        <w:gridCol w:w="2131"/>
        <w:gridCol w:w="1276"/>
        <w:gridCol w:w="1351"/>
      </w:tblGrid>
      <w:tr>
        <w:trPr/>
        <w:tc>
          <w:tcPr>
            <w:tcW w:w="213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35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131" w:type="dxa"/>
            <w:tcBorders/>
            <w:shd w:fill="FFFFFF" w:val="cle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2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3.06% - 4%</w:t>
            </w:r>
          </w:p>
        </w:tc>
        <w:tc>
          <w:tcPr>
            <w:tcW w:w="13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1.18% - 3.54%</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2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w:t>
            </w:r>
          </w:p>
        </w:tc>
        <w:tc>
          <w:tcPr>
            <w:tcW w:w="135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2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64%</w:t>
            </w:r>
          </w:p>
        </w:tc>
        <w:tc>
          <w:tcPr>
            <w:tcW w:w="13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60% - 64%</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option life</w:t>
            </w:r>
          </w:p>
        </w:tc>
        <w:tc>
          <w:tcPr>
            <w:tcW w:w="127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3.5</w:t>
            </w:r>
            <w:r>
              <w:rPr>
                <w:rFonts w:ascii="Times New Roman" w:hAnsi="Times New Roman"/>
                <w:color w:val="000000"/>
                <w:sz w:val="20"/>
              </w:rPr>
              <w:t xml:space="preserve"> – </w:t>
            </w:r>
            <w:r>
              <w:rPr>
                <w:rFonts w:ascii="Times New Roman" w:hAnsi="Times New Roman"/>
                <w:b w:val="false"/>
                <w:color w:val="000000"/>
                <w:sz w:val="20"/>
              </w:rPr>
              <w:t>4.5</w:t>
            </w:r>
            <w:r>
              <w:rPr>
                <w:rFonts w:ascii="Times New Roman" w:hAnsi="Times New Roman"/>
                <w:color w:val="000000"/>
                <w:sz w:val="20"/>
              </w:rPr>
              <w:t> </w:t>
            </w:r>
            <w:r>
              <w:rPr>
                <w:rFonts w:ascii="Times New Roman" w:hAnsi="Times New Roman"/>
                <w:b w:val="false"/>
                <w:color w:val="000000"/>
                <w:sz w:val="20"/>
              </w:rPr>
              <w:t>years</w:t>
            </w:r>
          </w:p>
        </w:tc>
        <w:tc>
          <w:tcPr>
            <w:tcW w:w="135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xml:space="preserve"> – </w:t>
            </w:r>
            <w:r>
              <w:rPr>
                <w:rFonts w:ascii="Times New Roman" w:hAnsi="Times New Roman"/>
                <w:b w:val="false"/>
                <w:color w:val="000000"/>
                <w:sz w:val="20"/>
              </w:rPr>
              <w:t>4.5</w:t>
            </w:r>
            <w:r>
              <w:rPr>
                <w:rFonts w:ascii="Times New Roman" w:hAnsi="Times New Roman"/>
                <w:color w:val="000000"/>
                <w:sz w:val="20"/>
              </w:rPr>
              <w:t> </w:t>
            </w:r>
            <w:r>
              <w:rPr>
                <w:rFonts w:ascii="Times New Roman" w:hAnsi="Times New Roman"/>
                <w:b w:val="false"/>
                <w:color w:val="000000"/>
                <w:sz w:val="20"/>
              </w:rPr>
              <w:t>years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permitted under ASC 718, the Company has made an accounting policy choice to account for forfeitures when they occur.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b w:val="false"/>
          <w:i/>
          <w:color w:val="000000"/>
          <w:sz w:val="20"/>
        </w:rPr>
        <w:t>(Continued)</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 Stock-Based Compensation</w:t>
      </w:r>
      <w:r>
        <w:rPr>
          <w:rFonts w:ascii="Times New Roman" w:hAnsi="Times New Roman"/>
          <w:color w:val="000000"/>
          <w:sz w:val="20"/>
        </w:rPr>
        <w:t xml:space="preserve"> </w:t>
      </w:r>
      <w:r>
        <w:rPr>
          <w:rFonts w:ascii="Times New Roman" w:hAnsi="Times New Roman"/>
          <w:b w:val="false"/>
          <w:i/>
          <w:color w:val="000000"/>
          <w:sz w:val="20"/>
        </w:rPr>
        <w:t>(Continued)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the number of unvested RSU awards as of September 30, 2023 and December 31, 2022 and the changes during the nine months ended September 30, 2023:</w:t>
      </w:r>
      <w:r>
        <w:rPr>
          <w:rFonts w:ascii="Times New Roman" w:hAnsi="Times New Roman"/>
          <w:color w:val="000000"/>
          <w:sz w:val="20"/>
        </w:rPr>
        <w:t xml:space="preserve"> </w:t>
      </w:r>
    </w:p>
    <w:tbl>
      <w:tblPr>
        <w:tblW w:w="8295" w:type="dxa"/>
        <w:jc w:val="left"/>
        <w:tblInd w:w="0" w:type="dxa"/>
        <w:tblLayout w:type="fixed"/>
        <w:tblCellMar>
          <w:top w:w="28" w:type="dxa"/>
          <w:left w:w="28" w:type="dxa"/>
          <w:bottom w:w="28" w:type="dxa"/>
          <w:right w:w="28" w:type="dxa"/>
        </w:tblCellMar>
      </w:tblPr>
      <w:tblGrid>
        <w:gridCol w:w="3316"/>
        <w:gridCol w:w="146"/>
        <w:gridCol w:w="1411"/>
        <w:gridCol w:w="211"/>
        <w:gridCol w:w="32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Shares at December 31, 2022</w:t>
            </w:r>
          </w:p>
        </w:tc>
        <w:tc>
          <w:tcPr>
            <w:tcW w:w="146"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947,502</w:t>
            </w:r>
          </w:p>
        </w:tc>
        <w:tc>
          <w:tcPr>
            <w:tcW w:w="2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2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17.91</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3,307,909</w:t>
            </w:r>
          </w:p>
        </w:tc>
        <w:tc>
          <w:tcPr>
            <w:tcW w:w="211" w:type="dxa"/>
            <w:tcBorders/>
            <w:shd w:fill="FFFFFF" w:val="clear"/>
            <w:vAlign w:val="center"/>
          </w:tcPr>
          <w:p>
            <w:pPr>
              <w:pStyle w:val="TableContents"/>
              <w:bidi w:val="0"/>
              <w:spacing w:before="0" w:after="283"/>
              <w:jc w:val="right"/>
              <w:rPr/>
            </w:pPr>
            <w:r>
              <w:rPr/>
              <w:t> </w:t>
            </w:r>
          </w:p>
        </w:tc>
        <w:tc>
          <w:tcPr>
            <w:tcW w:w="32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(365,542)</w:t>
            </w:r>
          </w:p>
        </w:tc>
        <w:tc>
          <w:tcPr>
            <w:tcW w:w="211" w:type="dxa"/>
            <w:tcBorders/>
            <w:shd w:fill="CFF0FC" w:val="clear"/>
            <w:vAlign w:val="center"/>
          </w:tcPr>
          <w:p>
            <w:pPr>
              <w:pStyle w:val="TableContents"/>
              <w:bidi w:val="0"/>
              <w:spacing w:before="0" w:after="283"/>
              <w:jc w:val="right"/>
              <w:rPr/>
            </w:pPr>
            <w:r>
              <w:rPr/>
              <w:t> </w:t>
            </w:r>
          </w:p>
        </w:tc>
        <w:tc>
          <w:tcPr>
            <w:tcW w:w="32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(390,676)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Shares at September 30, 2023</w:t>
            </w:r>
          </w:p>
        </w:tc>
        <w:tc>
          <w:tcPr>
            <w:tcW w:w="146"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3,499,193</w:t>
            </w:r>
          </w:p>
        </w:tc>
        <w:tc>
          <w:tcPr>
            <w:tcW w:w="2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2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stock-based compensation expense for the three and nine months ended September 30, 2023 and 2022 was as follows:</w:t>
      </w:r>
      <w:r>
        <w:rPr>
          <w:rFonts w:ascii="Times New Roman" w:hAnsi="Times New Roman"/>
          <w:color w:val="000000"/>
          <w:sz w:val="20"/>
        </w:rPr>
        <w:t xml:space="preserve"> </w:t>
      </w:r>
    </w:p>
    <w:tbl>
      <w:tblPr>
        <w:tblW w:w="9317" w:type="dxa"/>
        <w:jc w:val="left"/>
        <w:tblInd w:w="0" w:type="dxa"/>
        <w:tblLayout w:type="fixed"/>
        <w:tblCellMar>
          <w:top w:w="28" w:type="dxa"/>
          <w:left w:w="28" w:type="dxa"/>
          <w:bottom w:w="28" w:type="dxa"/>
          <w:right w:w="28" w:type="dxa"/>
        </w:tblCellMar>
      </w:tblPr>
      <w:tblGrid>
        <w:gridCol w:w="3571"/>
        <w:gridCol w:w="211"/>
        <w:gridCol w:w="1133"/>
        <w:gridCol w:w="418"/>
        <w:gridCol w:w="1133"/>
        <w:gridCol w:w="211"/>
        <w:gridCol w:w="1110"/>
        <w:gridCol w:w="346"/>
        <w:gridCol w:w="1184"/>
      </w:tblGrid>
      <w:tr>
        <w:trPr/>
        <w:tc>
          <w:tcPr>
            <w:tcW w:w="3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5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35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expense</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4,009</w:t>
            </w:r>
          </w:p>
        </w:tc>
        <w:tc>
          <w:tcPr>
            <w:tcW w:w="418"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6,003</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12,795</w:t>
            </w:r>
          </w:p>
        </w:tc>
        <w:tc>
          <w:tcPr>
            <w:tcW w:w="3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12,985</w:t>
            </w:r>
          </w:p>
        </w:tc>
      </w:tr>
      <w:tr>
        <w:trPr/>
        <w:tc>
          <w:tcPr>
            <w:tcW w:w="35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211" w:type="dxa"/>
            <w:tcBorders/>
            <w:shd w:fill="FFFFFF" w:val="clear"/>
            <w:vAlign w:val="center"/>
          </w:tcPr>
          <w:p>
            <w:pPr>
              <w:pStyle w:val="TableContents"/>
              <w:bidi w:val="0"/>
              <w:spacing w:before="0" w:after="283"/>
              <w:jc w:val="center"/>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6,377</w:t>
            </w:r>
          </w:p>
        </w:tc>
      </w:tr>
      <w:tr>
        <w:trPr/>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 Based Compensation Expense</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7,215</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19,362</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$45,048</w:t>
      </w:r>
      <w:r>
        <w:rPr>
          <w:rFonts w:ascii="Times New Roman" w:hAnsi="Times New Roman"/>
          <w:color w:val="000000"/>
          <w:sz w:val="20"/>
        </w:rPr>
        <w:t xml:space="preserve"> </w:t>
      </w:r>
      <w:r>
        <w:rPr>
          <w:rFonts w:ascii="Times New Roman" w:hAnsi="Times New Roman"/>
          <w:b w:val="false"/>
          <w:color w:val="000000"/>
          <w:sz w:val="20"/>
        </w:rPr>
        <w:t>thousand of total unrecognized expense related to stock-based compensation awards is expected to be recognized over a weighted-average period of 2.05</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INCOME TAX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summarizes the Company’s income tax expense and effective tax rates for the three and nine months ended September 30, 2023 and 2022:</w:t>
      </w:r>
      <w:r>
        <w:rPr>
          <w:rFonts w:ascii="Times New Roman" w:hAnsi="Times New Roman"/>
          <w:color w:val="000000"/>
          <w:sz w:val="20"/>
        </w:rPr>
        <w:t xml:space="preserve">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2446"/>
        <w:gridCol w:w="211"/>
        <w:gridCol w:w="1161"/>
        <w:gridCol w:w="362"/>
        <w:gridCol w:w="1161"/>
        <w:gridCol w:w="211"/>
        <w:gridCol w:w="1134"/>
        <w:gridCol w:w="306"/>
        <w:gridCol w:w="1199"/>
      </w:tblGrid>
      <w:tr>
        <w:trPr/>
        <w:tc>
          <w:tcPr>
            <w:tcW w:w="2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6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4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45,333</w:t>
            </w:r>
          </w:p>
        </w:tc>
        <w:tc>
          <w:tcPr>
            <w:tcW w:w="36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43,117</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127,829</w:t>
            </w:r>
          </w:p>
        </w:tc>
        <w:tc>
          <w:tcPr>
            <w:tcW w:w="30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167,005</w:t>
            </w:r>
          </w:p>
        </w:tc>
      </w:tr>
      <w:tr>
        <w:trPr/>
        <w:tc>
          <w:tcPr>
            <w:tcW w:w="2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211"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34,526</w:t>
            </w:r>
          </w:p>
        </w:tc>
        <w:tc>
          <w:tcPr>
            <w:tcW w:w="362"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32,969</w:t>
            </w:r>
          </w:p>
        </w:tc>
        <w:tc>
          <w:tcPr>
            <w:tcW w:w="211" w:type="dxa"/>
            <w:tcBorders/>
            <w:shd w:fill="FFFFFF" w:val="clear"/>
            <w:vAlign w:val="center"/>
          </w:tcPr>
          <w:p>
            <w:pPr>
              <w:pStyle w:val="TableContents"/>
              <w:bidi w:val="0"/>
              <w:spacing w:before="0" w:after="283"/>
              <w:jc w:val="center"/>
              <w:rPr/>
            </w:pPr>
            <w:r>
              <w:rPr/>
              <w:t> </w:t>
            </w:r>
          </w:p>
        </w:tc>
        <w:tc>
          <w:tcPr>
            <w:tcW w:w="11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93,927</w:t>
            </w:r>
          </w:p>
        </w:tc>
        <w:tc>
          <w:tcPr>
            <w:tcW w:w="306" w:type="dxa"/>
            <w:tcBorders/>
            <w:shd w:fill="FFFFFF" w:val="clear"/>
            <w:vAlign w:val="center"/>
          </w:tcPr>
          <w:p>
            <w:pPr>
              <w:pStyle w:val="TableContents"/>
              <w:bidi w:val="0"/>
              <w:spacing w:before="0" w:after="283"/>
              <w:jc w:val="center"/>
              <w:rPr/>
            </w:pPr>
            <w:r>
              <w:rPr/>
              <w:t> </w:t>
            </w:r>
          </w:p>
        </w:tc>
        <w:tc>
          <w:tcPr>
            <w:tcW w:w="11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102,440</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Effective Tax Rate</w:t>
            </w:r>
          </w:p>
        </w:tc>
        <w:tc>
          <w:tcPr>
            <w:tcW w:w="211"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w:t>
            </w:r>
          </w:p>
        </w:tc>
        <w:tc>
          <w:tcPr>
            <w:tcW w:w="362" w:type="dxa"/>
            <w:tcBorders/>
            <w:shd w:fill="CFF0FC" w:val="clear"/>
            <w:vAlign w:val="center"/>
          </w:tcPr>
          <w:p>
            <w:pPr>
              <w:pStyle w:val="TableContents"/>
              <w:bidi w:val="0"/>
              <w:spacing w:before="0" w:after="283"/>
              <w:jc w:val="left"/>
              <w:rPr/>
            </w:pPr>
            <w:r>
              <w:rPr/>
              <w:t> </w:t>
            </w:r>
          </w:p>
        </w:tc>
        <w:tc>
          <w:tcPr>
            <w:tcW w:w="11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211" w:type="dxa"/>
            <w:tcBorders/>
            <w:shd w:fill="CFF0FC" w:val="clear"/>
            <w:vAlign w:val="center"/>
          </w:tcPr>
          <w:p>
            <w:pPr>
              <w:pStyle w:val="TableContents"/>
              <w:bidi w:val="0"/>
              <w:spacing w:before="0" w:after="283"/>
              <w:jc w:val="center"/>
              <w:rPr/>
            </w:pPr>
            <w:r>
              <w:rPr/>
              <w:t> </w:t>
            </w:r>
          </w:p>
        </w:tc>
        <w:tc>
          <w:tcPr>
            <w:tcW w:w="11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w:t>
            </w:r>
          </w:p>
        </w:tc>
        <w:tc>
          <w:tcPr>
            <w:tcW w:w="306" w:type="dxa"/>
            <w:tcBorders/>
            <w:shd w:fill="CFF0FC" w:val="clear"/>
            <w:vAlign w:val="center"/>
          </w:tcPr>
          <w:p>
            <w:pPr>
              <w:pStyle w:val="TableContents"/>
              <w:bidi w:val="0"/>
              <w:spacing w:before="0" w:after="283"/>
              <w:jc w:val="center"/>
              <w:rPr/>
            </w:pPr>
            <w:r>
              <w:rPr/>
              <w:t> </w:t>
            </w:r>
          </w:p>
        </w:tc>
        <w:tc>
          <w:tcPr>
            <w:tcW w:w="11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effective tax rates for the three and nine months ended September 30, 2023 and 2022 were based on the Company’s forecasted annualized effective tax rates and were adjusted for discrete items that occurred within the periods presented.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Due to its cannabis operations, the Company is subject to the limitations of the U.S. Internal Revenue Code of 1986, as amended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Taxes paid during the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were $80,398</w:t>
      </w:r>
      <w:r>
        <w:rPr>
          <w:rFonts w:ascii="Times New Roman" w:hAnsi="Times New Roman"/>
          <w:color w:val="000000"/>
          <w:sz w:val="20"/>
        </w:rPr>
        <w:t xml:space="preserve"> </w:t>
      </w:r>
      <w:r>
        <w:rPr>
          <w:rFonts w:ascii="Times New Roman" w:hAnsi="Times New Roman"/>
          <w:b w:val="false"/>
          <w:color w:val="000000"/>
          <w:sz w:val="20"/>
        </w:rPr>
        <w:t>thousand and $95,307</w:t>
      </w:r>
      <w:r>
        <w:rPr>
          <w:rFonts w:ascii="Times New Roman" w:hAnsi="Times New Roman"/>
          <w:color w:val="000000"/>
          <w:sz w:val="20"/>
        </w:rPr>
        <w:t xml:space="preserve"> </w:t>
      </w:r>
      <w:r>
        <w:rPr>
          <w:rFonts w:ascii="Times New Roman" w:hAnsi="Times New Roman"/>
          <w:b w:val="false"/>
          <w:color w:val="000000"/>
          <w:sz w:val="20"/>
        </w:rPr>
        <w:t>thousand,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OTHER INCOME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and 2022 other income (expense) was comprised of the following:</w:t>
      </w:r>
      <w:r>
        <w:rPr>
          <w:rFonts w:ascii="Times New Roman" w:hAnsi="Times New Roman"/>
          <w:color w:val="000000"/>
          <w:sz w:val="20"/>
        </w:rPr>
        <w:t xml:space="preserve"> </w:t>
      </w:r>
    </w:p>
    <w:p>
      <w:pPr>
        <w:pStyle w:val="TextBody"/>
        <w:bidi w:val="0"/>
        <w:spacing w:before="120" w:after="283"/>
        <w:jc w:val="left"/>
        <w:rPr/>
      </w:pPr>
      <w:r>
        <w:rPr/>
        <w:t> </w:t>
      </w:r>
    </w:p>
    <w:tbl>
      <w:tblPr>
        <w:tblW w:w="9734" w:type="dxa"/>
        <w:jc w:val="left"/>
        <w:tblInd w:w="0" w:type="dxa"/>
        <w:tblLayout w:type="fixed"/>
        <w:tblCellMar>
          <w:top w:w="28" w:type="dxa"/>
          <w:left w:w="28" w:type="dxa"/>
          <w:bottom w:w="28" w:type="dxa"/>
          <w:right w:w="28" w:type="dxa"/>
        </w:tblCellMar>
      </w:tblPr>
      <w:tblGrid>
        <w:gridCol w:w="3871"/>
        <w:gridCol w:w="196"/>
        <w:gridCol w:w="1162"/>
        <w:gridCol w:w="361"/>
        <w:gridCol w:w="1162"/>
        <w:gridCol w:w="146"/>
        <w:gridCol w:w="196"/>
        <w:gridCol w:w="898"/>
        <w:gridCol w:w="355"/>
        <w:gridCol w:w="1387"/>
      </w:tblGrid>
      <w:tr>
        <w:trPr/>
        <w:tc>
          <w:tcPr>
            <w:tcW w:w="3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87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387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Fair value adjustments on equity investments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724</w:t>
            </w:r>
          </w:p>
        </w:tc>
        <w:tc>
          <w:tcPr>
            <w:tcW w:w="361"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(410)</w:t>
            </w:r>
          </w:p>
        </w:tc>
        <w:tc>
          <w:tcPr>
            <w:tcW w:w="35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38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(17,368)</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Fair value adjustments on equity method investments</w:t>
            </w:r>
          </w:p>
        </w:tc>
        <w:tc>
          <w:tcPr>
            <w:tcW w:w="196" w:type="dxa"/>
            <w:tcBorders/>
            <w:shd w:fill="FFFFFF" w:val="clear"/>
            <w:vAlign w:val="center"/>
          </w:tcPr>
          <w:p>
            <w:pPr>
              <w:pStyle w:val="TableContents"/>
              <w:bidi w:val="0"/>
              <w:spacing w:before="0" w:after="283"/>
              <w:jc w:val="center"/>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361" w:type="dxa"/>
            <w:tcBorders/>
            <w:shd w:fill="FFFFFF" w:val="clear"/>
            <w:vAlign w:val="center"/>
          </w:tcPr>
          <w:p>
            <w:pPr>
              <w:pStyle w:val="TableContents"/>
              <w:bidi w:val="0"/>
              <w:spacing w:before="0" w:after="283"/>
              <w:jc w:val="center"/>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355" w:type="dxa"/>
            <w:tcBorders/>
            <w:shd w:fill="FFFFFF" w:val="clear"/>
            <w:vAlign w:val="center"/>
          </w:tcPr>
          <w:p>
            <w:pPr>
              <w:pStyle w:val="TableContents"/>
              <w:bidi w:val="0"/>
              <w:spacing w:before="0" w:after="283"/>
              <w:jc w:val="center"/>
              <w:rPr/>
            </w:pPr>
            <w:r>
              <w:rPr/>
              <w:t> </w:t>
            </w:r>
          </w:p>
        </w:tc>
        <w:tc>
          <w:tcPr>
            <w:tcW w:w="138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14,119</w:t>
            </w:r>
          </w:p>
        </w:tc>
      </w:tr>
      <w:tr>
        <w:trPr/>
        <w:tc>
          <w:tcPr>
            <w:tcW w:w="3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Fair value adjustments on warrants issued</w:t>
            </w:r>
          </w:p>
        </w:tc>
        <w:tc>
          <w:tcPr>
            <w:tcW w:w="196" w:type="dxa"/>
            <w:tcBorders/>
            <w:shd w:fill="CFF0FC" w:val="clear"/>
            <w:vAlign w:val="center"/>
          </w:tcPr>
          <w:p>
            <w:pPr>
              <w:pStyle w:val="TableContents"/>
              <w:bidi w:val="0"/>
              <w:spacing w:before="0" w:after="283"/>
              <w:jc w:val="center"/>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(1,329)</w:t>
            </w:r>
          </w:p>
        </w:tc>
        <w:tc>
          <w:tcPr>
            <w:tcW w:w="361" w:type="dxa"/>
            <w:tcBorders/>
            <w:shd w:fill="CFF0FC" w:val="clear"/>
            <w:vAlign w:val="center"/>
          </w:tcPr>
          <w:p>
            <w:pPr>
              <w:pStyle w:val="TableContents"/>
              <w:bidi w:val="0"/>
              <w:spacing w:before="0" w:after="283"/>
              <w:jc w:val="center"/>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(1,896)</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934</w:t>
            </w:r>
          </w:p>
        </w:tc>
        <w:tc>
          <w:tcPr>
            <w:tcW w:w="355" w:type="dxa"/>
            <w:tcBorders/>
            <w:shd w:fill="CFF0FC" w:val="clear"/>
            <w:vAlign w:val="center"/>
          </w:tcPr>
          <w:p>
            <w:pPr>
              <w:pStyle w:val="TableContents"/>
              <w:bidi w:val="0"/>
              <w:spacing w:before="0" w:after="283"/>
              <w:jc w:val="center"/>
              <w:rPr/>
            </w:pPr>
            <w:r>
              <w:rPr/>
              <w:t> </w:t>
            </w:r>
          </w:p>
        </w:tc>
        <w:tc>
          <w:tcPr>
            <w:tcW w:w="138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19,876</w:t>
            </w:r>
          </w:p>
        </w:tc>
      </w:tr>
      <w:tr>
        <w:trPr/>
        <w:tc>
          <w:tcPr>
            <w:tcW w:w="38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Earnings (loss) from equity method investments</w:t>
            </w:r>
          </w:p>
        </w:tc>
        <w:tc>
          <w:tcPr>
            <w:tcW w:w="196" w:type="dxa"/>
            <w:tcBorders/>
            <w:shd w:fill="FFFFFF" w:val="clear"/>
            <w:vAlign w:val="center"/>
          </w:tcPr>
          <w:p>
            <w:pPr>
              <w:pStyle w:val="TableContents"/>
              <w:bidi w:val="0"/>
              <w:spacing w:before="0" w:after="283"/>
              <w:jc w:val="center"/>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(202)</w:t>
            </w:r>
          </w:p>
        </w:tc>
        <w:tc>
          <w:tcPr>
            <w:tcW w:w="361" w:type="dxa"/>
            <w:tcBorders/>
            <w:shd w:fill="FFFFFF" w:val="clear"/>
            <w:vAlign w:val="center"/>
          </w:tcPr>
          <w:p>
            <w:pPr>
              <w:pStyle w:val="TableContents"/>
              <w:bidi w:val="0"/>
              <w:spacing w:before="0" w:after="283"/>
              <w:jc w:val="center"/>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(952)</w:t>
            </w:r>
          </w:p>
        </w:tc>
        <w:tc>
          <w:tcPr>
            <w:tcW w:w="355" w:type="dxa"/>
            <w:tcBorders/>
            <w:shd w:fill="FFFFFF" w:val="clear"/>
            <w:vAlign w:val="center"/>
          </w:tcPr>
          <w:p>
            <w:pPr>
              <w:pStyle w:val="TableContents"/>
              <w:bidi w:val="0"/>
              <w:spacing w:before="0" w:after="283"/>
              <w:jc w:val="center"/>
              <w:rPr/>
            </w:pPr>
            <w:r>
              <w:rPr/>
              <w:t> </w:t>
            </w:r>
          </w:p>
        </w:tc>
        <w:tc>
          <w:tcPr>
            <w:tcW w:w="138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(2,382)</w:t>
            </w:r>
          </w:p>
        </w:tc>
      </w:tr>
      <w:tr>
        <w:trPr/>
        <w:tc>
          <w:tcPr>
            <w:tcW w:w="38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w:t>
            </w:r>
          </w:p>
        </w:tc>
        <w:tc>
          <w:tcPr>
            <w:tcW w:w="196" w:type="dxa"/>
            <w:tcBorders/>
            <w:shd w:fill="CFF0FC" w:val="clear"/>
            <w:vAlign w:val="center"/>
          </w:tcPr>
          <w:p>
            <w:pPr>
              <w:pStyle w:val="TableContents"/>
              <w:bidi w:val="0"/>
              <w:spacing w:before="0" w:after="283"/>
              <w:jc w:val="center"/>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176</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451</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688</w:t>
            </w:r>
          </w:p>
        </w:tc>
      </w:tr>
      <w:tr>
        <w:trPr/>
        <w:tc>
          <w:tcPr>
            <w:tcW w:w="38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(631)</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14,933</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(a)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 Claims and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be involved in litigation relating to claims arising out of operations in the normal course of business. The following is an update to the status of previously disclosed matters 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Cresco Labs New York, LLC and Cresco Labs LLC (“Plaintiffs”) filed an amended complaint against one of the Company’s subsidiaries, Fiorello Pharmaceuticals, Inc. (“Defendant”) on November 20, 2018, in the Supreme Court of the State of New York, alleging Defendant breached the parties’ Equity Purchase Agreement Letter of Intent (“LOI”) relating to the acquisition of Defendant by Plaintiffs. As of September 30, 2023, the Company believed the potential exposure associated with the complaint was de minimis and reduced the estimated liability accordingly. Subsequently, on October 18, 2023, all pending motions were withdrawn and Plaintiffs' claims were dismissed with prejudice.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there were no other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 Construction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held approximately $7,100</w:t>
      </w:r>
      <w:r>
        <w:rPr>
          <w:rFonts w:ascii="Times New Roman" w:hAnsi="Times New Roman"/>
          <w:color w:val="000000"/>
          <w:sz w:val="20"/>
        </w:rPr>
        <w:t xml:space="preserve"> </w:t>
      </w:r>
      <w:r>
        <w:rPr>
          <w:rFonts w:ascii="Times New Roman" w:hAnsi="Times New Roman"/>
          <w:b w:val="false"/>
          <w:color w:val="000000"/>
          <w:sz w:val="20"/>
        </w:rPr>
        <w:t>thousand of open construction commitments to contractors on work being performed.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FAIR VALUE MEASUREMENTS</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1</w:t>
      </w:r>
      <w:r>
        <w:rPr>
          <w:rFonts w:ascii="Times New Roman" w:hAnsi="Times New Roman"/>
          <w:color w:val="000000"/>
          <w:sz w:val="20"/>
        </w:rPr>
        <w:t xml:space="preserve"> – </w:t>
      </w:r>
      <w:r>
        <w:rPr>
          <w:rFonts w:ascii="Times New Roman" w:hAnsi="Times New Roman"/>
          <w:b w:val="false"/>
          <w:color w:val="000000"/>
          <w:sz w:val="20"/>
        </w:rPr>
        <w:t>Unadjusted 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2</w:t>
      </w:r>
      <w:r>
        <w:rPr>
          <w:rFonts w:ascii="Times New Roman" w:hAnsi="Times New Roman"/>
          <w:color w:val="000000"/>
          <w:sz w:val="20"/>
        </w:rPr>
        <w:t xml:space="preserve"> – </w:t>
      </w:r>
      <w:r>
        <w:rPr>
          <w:rFonts w:ascii="Times New Roman" w:hAnsi="Times New Roman"/>
          <w:b w:val="false"/>
          <w:color w:val="000000"/>
          <w:sz w:val="20"/>
        </w:rPr>
        <w:t>Inputs other than quoted prices that are observable for the asset or liability, either directly or indirectly;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3</w:t>
      </w:r>
      <w:r>
        <w:rPr>
          <w:rFonts w:ascii="Times New Roman" w:hAnsi="Times New Roman"/>
          <w:color w:val="000000"/>
          <w:sz w:val="20"/>
        </w:rPr>
        <w:t xml:space="preserve"> – </w:t>
      </w:r>
      <w:r>
        <w:rPr>
          <w:rFonts w:ascii="Times New Roman" w:hAnsi="Times New Roman"/>
          <w:b w:val="false"/>
          <w:color w:val="000000"/>
          <w:sz w:val="20"/>
        </w:rPr>
        <w:t>Inputs for the asset or liability that are not based on observable market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financial instruments consist of cash and cash equivalents, accounts receivable, investments, accounts payable and accrued liabilities, notes payable, warrant liability, and contingent consideration payable.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It was not practicable to estimate the fair value of the Company's long-term notes payable, which consist of charitable contributions, private placement debt and mortgage notes, since there were no quoted prices or active trading markets. The carrying amount of notes payable at September 30, 2023 and December 31, 2022 was $298,541</w:t>
      </w:r>
      <w:r>
        <w:rPr>
          <w:rFonts w:ascii="Times New Roman" w:hAnsi="Times New Roman"/>
          <w:color w:val="000000"/>
          <w:sz w:val="20"/>
        </w:rPr>
        <w:t xml:space="preserve"> </w:t>
      </w:r>
      <w:r>
        <w:rPr>
          <w:rFonts w:ascii="Times New Roman" w:hAnsi="Times New Roman"/>
          <w:b w:val="false"/>
          <w:color w:val="000000"/>
          <w:sz w:val="20"/>
        </w:rPr>
        <w:t>thousand and $275,668</w:t>
      </w:r>
      <w:r>
        <w:rPr>
          <w:rFonts w:ascii="Times New Roman" w:hAnsi="Times New Roman"/>
          <w:color w:val="000000"/>
          <w:sz w:val="20"/>
        </w:rPr>
        <w:t xml:space="preserve"> </w:t>
      </w:r>
      <w:r>
        <w:rPr>
          <w:rFonts w:ascii="Times New Roman" w:hAnsi="Times New Roman"/>
          <w:b w:val="false"/>
          <w:color w:val="000000"/>
          <w:sz w:val="20"/>
        </w:rPr>
        <w:t>thousand, which includes $1,466</w:t>
      </w:r>
      <w:r>
        <w:rPr>
          <w:rFonts w:ascii="Times New Roman" w:hAnsi="Times New Roman"/>
          <w:color w:val="000000"/>
          <w:sz w:val="20"/>
        </w:rPr>
        <w:t xml:space="preserve"> </w:t>
      </w:r>
      <w:r>
        <w:rPr>
          <w:rFonts w:ascii="Times New Roman" w:hAnsi="Times New Roman"/>
          <w:b w:val="false"/>
          <w:color w:val="000000"/>
          <w:sz w:val="20"/>
        </w:rPr>
        <w:t>thousand and $1,037</w:t>
      </w:r>
      <w:r>
        <w:rPr>
          <w:rFonts w:ascii="Times New Roman" w:hAnsi="Times New Roman"/>
          <w:color w:val="000000"/>
          <w:sz w:val="20"/>
        </w:rPr>
        <w:t xml:space="preserve"> </w:t>
      </w:r>
      <w:r>
        <w:rPr>
          <w:rFonts w:ascii="Times New Roman" w:hAnsi="Times New Roman"/>
          <w:b w:val="false"/>
          <w:color w:val="000000"/>
          <w:sz w:val="20"/>
        </w:rPr>
        <w:t>thousand, respectively, of short-term debt due within one year.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jc w:val="left"/>
        <w:rPr/>
      </w:pPr>
      <w:r>
        <w:rPr/>
        <w:t> </w:t>
      </w:r>
    </w:p>
    <w:tbl>
      <w:tblPr>
        <w:tblW w:w="6144" w:type="dxa"/>
        <w:jc w:val="left"/>
        <w:tblInd w:w="0" w:type="dxa"/>
        <w:tblLayout w:type="fixed"/>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2023</w:t>
            </w:r>
          </w:p>
        </w:tc>
      </w:tr>
      <w:tr>
        <w:trPr/>
        <w:tc>
          <w:tcPr>
            <w:tcW w:w="2536" w:type="dxa"/>
            <w:tcBorders/>
            <w:shd w:fill="FFFFFF" w:val="clear"/>
            <w:vAlign w:val="center"/>
          </w:tcPr>
          <w:p>
            <w:pPr>
              <w:pStyle w:val="TableContents"/>
              <w:bidi w:val="0"/>
              <w:spacing w:before="0" w:after="283"/>
              <w:jc w:val="left"/>
              <w:rPr/>
            </w:pPr>
            <w:r>
              <w:rPr/>
              <w:t> </w:t>
            </w:r>
          </w:p>
        </w:tc>
        <w:tc>
          <w:tcPr>
            <w:tcW w:w="3608"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5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136,842</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136,842</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Investments</w:t>
            </w:r>
          </w:p>
        </w:tc>
        <w:tc>
          <w:tcPr>
            <w:tcW w:w="19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24,308</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53,027</w:t>
            </w:r>
          </w:p>
        </w:tc>
        <w:tc>
          <w:tcPr>
            <w:tcW w:w="19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77,335</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Contingent Consideration Payable</w:t>
            </w:r>
          </w:p>
        </w:tc>
        <w:tc>
          <w:tcPr>
            <w:tcW w:w="196" w:type="dxa"/>
            <w:tcBorders/>
            <w:shd w:fill="CFF0FC" w:val="clear"/>
            <w:vAlign w:val="center"/>
          </w:tcPr>
          <w:p>
            <w:pPr>
              <w:pStyle w:val="TableContents"/>
              <w:bidi w:val="0"/>
              <w:spacing w:before="0" w:after="283"/>
              <w:jc w:val="center"/>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(32,789)</w:t>
            </w:r>
          </w:p>
        </w:tc>
        <w:tc>
          <w:tcPr>
            <w:tcW w:w="19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(32,789)</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Warrant Liability</w:t>
            </w:r>
          </w:p>
        </w:tc>
        <w:tc>
          <w:tcPr>
            <w:tcW w:w="196" w:type="dxa"/>
            <w:tcBorders/>
            <w:shd w:fill="FFFFFF" w:val="cle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(3,586)</w:t>
            </w:r>
          </w:p>
        </w:tc>
      </w:tr>
      <w:tr>
        <w:trPr/>
        <w:tc>
          <w:tcPr>
            <w:tcW w:w="253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161,150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16,652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177,802</w:t>
            </w:r>
          </w:p>
        </w:tc>
      </w:tr>
    </w:tbl>
    <w:p>
      <w:pPr>
        <w:pStyle w:val="TextBody"/>
        <w:bidi w:val="0"/>
        <w:jc w:val="left"/>
        <w:rPr/>
      </w:pPr>
      <w:r>
        <w:rPr/>
        <w:t> </w:t>
      </w:r>
    </w:p>
    <w:p>
      <w:pPr>
        <w:pStyle w:val="TextBody"/>
        <w:bidi w:val="0"/>
        <w:jc w:val="left"/>
        <w:rPr/>
      </w:pPr>
      <w:r>
        <w:rPr/>
        <w:t> </w:t>
      </w:r>
    </w:p>
    <w:tbl>
      <w:tblPr>
        <w:tblW w:w="6144" w:type="dxa"/>
        <w:jc w:val="left"/>
        <w:tblInd w:w="0" w:type="dxa"/>
        <w:tblLayout w:type="fixed"/>
        <w:tblCellMar>
          <w:top w:w="28" w:type="dxa"/>
          <w:left w:w="28" w:type="dxa"/>
          <w:bottom w:w="28" w:type="dxa"/>
          <w:right w:w="28" w:type="dxa"/>
        </w:tblCellMar>
      </w:tblPr>
      <w:tblGrid>
        <w:gridCol w:w="2536"/>
        <w:gridCol w:w="196"/>
        <w:gridCol w:w="691"/>
        <w:gridCol w:w="196"/>
        <w:gridCol w:w="646"/>
        <w:gridCol w:w="196"/>
        <w:gridCol w:w="721"/>
        <w:gridCol w:w="196"/>
        <w:gridCol w:w="766"/>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34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2022</w:t>
            </w:r>
          </w:p>
        </w:tc>
      </w:tr>
      <w:tr>
        <w:trPr/>
        <w:tc>
          <w:tcPr>
            <w:tcW w:w="2536" w:type="dxa"/>
            <w:tcBorders/>
            <w:shd w:fill="FFFFFF" w:val="clear"/>
            <w:vAlign w:val="center"/>
          </w:tcPr>
          <w:p>
            <w:pPr>
              <w:pStyle w:val="TableContents"/>
              <w:bidi w:val="0"/>
              <w:spacing w:before="0" w:after="283"/>
              <w:jc w:val="left"/>
              <w:rPr/>
            </w:pPr>
            <w:r>
              <w:rPr/>
              <w:t> </w:t>
            </w:r>
          </w:p>
        </w:tc>
        <w:tc>
          <w:tcPr>
            <w:tcW w:w="3608"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53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177,682</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177,682</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Investments</w:t>
            </w:r>
          </w:p>
        </w:tc>
        <w:tc>
          <w:tcPr>
            <w:tcW w:w="19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24,749</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49,420</w:t>
            </w:r>
          </w:p>
        </w:tc>
        <w:tc>
          <w:tcPr>
            <w:tcW w:w="196" w:type="dxa"/>
            <w:tcBorders/>
            <w:shd w:fill="FFFFFF" w:val="clear"/>
            <w:vAlign w:val="center"/>
          </w:tcPr>
          <w:p>
            <w:pPr>
              <w:pStyle w:val="TableContents"/>
              <w:bidi w:val="0"/>
              <w:spacing w:before="0" w:after="283"/>
              <w:jc w:val="center"/>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74,169</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Contingent Consideration Payable</w:t>
            </w:r>
          </w:p>
        </w:tc>
        <w:tc>
          <w:tcPr>
            <w:tcW w:w="196" w:type="dxa"/>
            <w:tcBorders/>
            <w:shd w:fill="CFF0FC" w:val="clear"/>
            <w:vAlign w:val="center"/>
          </w:tcPr>
          <w:p>
            <w:pPr>
              <w:pStyle w:val="TableContents"/>
              <w:bidi w:val="0"/>
              <w:spacing w:before="0" w:after="283"/>
              <w:jc w:val="center"/>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center"/>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(41,943)</w:t>
            </w:r>
          </w:p>
        </w:tc>
        <w:tc>
          <w:tcPr>
            <w:tcW w:w="196" w:type="dxa"/>
            <w:tcBorders/>
            <w:shd w:fill="CFF0FC" w:val="clear"/>
            <w:vAlign w:val="center"/>
          </w:tcPr>
          <w:p>
            <w:pPr>
              <w:pStyle w:val="TableContents"/>
              <w:bidi w:val="0"/>
              <w:spacing w:before="0" w:after="283"/>
              <w:jc w:val="center"/>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(41,943)</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Warrant Liability</w:t>
            </w:r>
          </w:p>
        </w:tc>
        <w:tc>
          <w:tcPr>
            <w:tcW w:w="19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(4,520)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(4,520)</w:t>
            </w:r>
          </w:p>
        </w:tc>
      </w:tr>
      <w:tr>
        <w:trPr/>
        <w:tc>
          <w:tcPr>
            <w:tcW w:w="253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202,431</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205,388</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(Amounts Expressed in United States Dollars, Except Where Stated Otherwise)</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below table presents revenues by type for the three and nine months ended September 30, 2023 and 2022:</w:t>
      </w:r>
      <w:r>
        <w:rPr>
          <w:rFonts w:ascii="Times New Roman" w:hAnsi="Times New Roman"/>
          <w:color w:val="000000"/>
          <w:sz w:val="20"/>
        </w:rPr>
        <w:t xml:space="preserve"> </w:t>
      </w:r>
    </w:p>
    <w:p>
      <w:pPr>
        <w:pStyle w:val="TextBody"/>
        <w:bidi w:val="0"/>
        <w:jc w:val="left"/>
        <w:rPr/>
      </w:pPr>
      <w:r>
        <w:rPr/>
        <w:t> </w:t>
      </w:r>
    </w:p>
    <w:tbl>
      <w:tblPr>
        <w:tblW w:w="9857" w:type="dxa"/>
        <w:jc w:val="left"/>
        <w:tblInd w:w="0" w:type="dxa"/>
        <w:tblLayout w:type="fixed"/>
        <w:tblCellMar>
          <w:top w:w="28" w:type="dxa"/>
          <w:left w:w="28" w:type="dxa"/>
          <w:bottom w:w="28" w:type="dxa"/>
          <w:right w:w="28" w:type="dxa"/>
        </w:tblCellMar>
      </w:tblPr>
      <w:tblGrid>
        <w:gridCol w:w="3271"/>
        <w:gridCol w:w="211"/>
        <w:gridCol w:w="1377"/>
        <w:gridCol w:w="365"/>
        <w:gridCol w:w="1377"/>
        <w:gridCol w:w="211"/>
        <w:gridCol w:w="1333"/>
        <w:gridCol w:w="312"/>
        <w:gridCol w:w="1400"/>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31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3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3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31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3271"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Revenues, Net of Discounts</w:t>
            </w:r>
          </w:p>
        </w:tc>
        <w:tc>
          <w:tcPr>
            <w:tcW w:w="211"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pPr>
            <w:r>
              <w:rPr/>
              <w:t> </w:t>
            </w:r>
          </w:p>
        </w:tc>
        <w:tc>
          <w:tcPr>
            <w:tcW w:w="1333"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center"/>
              <w:rPr/>
            </w:pPr>
            <w:r>
              <w:rPr/>
              <w:t> </w:t>
            </w:r>
          </w:p>
        </w:tc>
        <w:tc>
          <w:tcPr>
            <w:tcW w:w="1400" w:type="dxa"/>
            <w:tcBorders/>
            <w:shd w:fill="CFF0FC" w:val="clear"/>
            <w:vAlign w:val="center"/>
          </w:tcPr>
          <w:p>
            <w:pPr>
              <w:pStyle w:val="TableContents"/>
              <w:bidi w:val="0"/>
              <w:spacing w:before="0" w:after="283"/>
              <w:jc w:val="righ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Retail</w:t>
            </w:r>
          </w:p>
        </w:tc>
        <w:tc>
          <w:tcPr>
            <w:tcW w:w="21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205,441</w:t>
            </w:r>
          </w:p>
        </w:tc>
        <w:tc>
          <w:tcPr>
            <w:tcW w:w="36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199,632</w:t>
            </w:r>
          </w:p>
        </w:tc>
        <w:tc>
          <w:tcPr>
            <w:tcW w:w="21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582,363</w:t>
            </w:r>
          </w:p>
        </w:tc>
        <w:tc>
          <w:tcPr>
            <w:tcW w:w="31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564,951</w:t>
            </w:r>
          </w:p>
        </w:tc>
      </w:tr>
      <w:tr>
        <w:trPr/>
        <w:tc>
          <w:tcPr>
            <w:tcW w:w="3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Consumer Packaged Goods</w:t>
            </w:r>
          </w:p>
        </w:tc>
        <w:tc>
          <w:tcPr>
            <w:tcW w:w="211"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150,425</w:t>
            </w:r>
          </w:p>
        </w:tc>
        <w:tc>
          <w:tcPr>
            <w:tcW w:w="365"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127,676</w:t>
            </w:r>
          </w:p>
        </w:tc>
        <w:tc>
          <w:tcPr>
            <w:tcW w:w="211" w:type="dxa"/>
            <w:tcBorders/>
            <w:shd w:fill="CFF0FC" w:val="clear"/>
            <w:vAlign w:val="center"/>
          </w:tcPr>
          <w:p>
            <w:pPr>
              <w:pStyle w:val="TableContents"/>
              <w:bidi w:val="0"/>
              <w:spacing w:before="0" w:after="283"/>
              <w:jc w:val="center"/>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412,096</w:t>
            </w:r>
          </w:p>
        </w:tc>
        <w:tc>
          <w:tcPr>
            <w:tcW w:w="312" w:type="dxa"/>
            <w:tcBorders/>
            <w:shd w:fill="CFF0FC" w:val="clear"/>
            <w:vAlign w:val="center"/>
          </w:tcPr>
          <w:p>
            <w:pPr>
              <w:pStyle w:val="TableContents"/>
              <w:bidi w:val="0"/>
              <w:spacing w:before="0" w:after="283"/>
              <w:jc w:val="center"/>
              <w:rPr/>
            </w:pPr>
            <w:r>
              <w:rPr/>
              <w:t> </w:t>
            </w:r>
          </w:p>
        </w:tc>
        <w:tc>
          <w:tcPr>
            <w:tcW w:w="14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368,692</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Eliminations</w:t>
            </w:r>
          </w:p>
        </w:tc>
        <w:tc>
          <w:tcPr>
            <w:tcW w:w="211" w:type="dxa"/>
            <w:tcBorders/>
            <w:shd w:fill="FFFFFF" w:val="cle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(80,468)</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(218,137)</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(175,538)</w:t>
            </w:r>
          </w:p>
        </w:tc>
      </w:tr>
      <w:tr>
        <w:trPr/>
        <w:tc>
          <w:tcPr>
            <w:tcW w:w="3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Net of Discounts</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275,398</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261,194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776,322</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758,105</w:t>
            </w:r>
          </w:p>
        </w:tc>
      </w:tr>
      <w:tr>
        <w:trPr/>
        <w:tc>
          <w:tcPr>
            <w:tcW w:w="3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Depreciation and Amortization</w:t>
            </w:r>
          </w:p>
        </w:tc>
        <w:tc>
          <w:tcPr>
            <w:tcW w:w="211" w:type="dxa"/>
            <w:tcBorders/>
            <w:shd w:fill="FFFFFF" w:val="clear"/>
            <w:vAlign w:val="center"/>
          </w:tcPr>
          <w:p>
            <w:pPr>
              <w:pStyle w:val="TableContents"/>
              <w:bidi w:val="0"/>
              <w:spacing w:before="0" w:after="283"/>
              <w:jc w:val="center"/>
              <w:rPr/>
            </w:pPr>
            <w:r>
              <w:rPr/>
              <w:t> </w:t>
            </w:r>
          </w:p>
        </w:tc>
        <w:tc>
          <w:tcPr>
            <w:tcW w:w="1377"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center"/>
              <w:rPr/>
            </w:pPr>
            <w:r>
              <w:rPr/>
              <w:t> </w:t>
            </w:r>
          </w:p>
        </w:tc>
        <w:tc>
          <w:tcPr>
            <w:tcW w:w="1377"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center"/>
              <w:rPr/>
            </w:pPr>
            <w:r>
              <w:rPr/>
              <w:t> </w:t>
            </w:r>
          </w:p>
        </w:tc>
        <w:tc>
          <w:tcPr>
            <w:tcW w:w="1333"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righ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Retail</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9,598</w:t>
            </w:r>
          </w:p>
        </w:tc>
        <w:tc>
          <w:tcPr>
            <w:tcW w:w="36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9,921</w:t>
            </w:r>
          </w:p>
        </w:tc>
        <w:tc>
          <w:tcPr>
            <w:tcW w:w="21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27,539</w:t>
            </w:r>
          </w:p>
        </w:tc>
        <w:tc>
          <w:tcPr>
            <w:tcW w:w="31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29,881</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Consumer Packaged Goods</w:t>
            </w:r>
          </w:p>
        </w:tc>
        <w:tc>
          <w:tcPr>
            <w:tcW w:w="211" w:type="dxa"/>
            <w:tcBorders/>
            <w:shd w:fill="FFFFFF" w:val="clear"/>
            <w:vAlign w:val="center"/>
          </w:tcPr>
          <w:p>
            <w:pPr>
              <w:pStyle w:val="TableContents"/>
              <w:bidi w:val="0"/>
              <w:spacing w:before="0" w:after="283"/>
              <w:jc w:val="center"/>
              <w:rPr/>
            </w:pPr>
            <w:r>
              <w:rPr/>
              <w:t> </w:t>
            </w:r>
          </w:p>
        </w:tc>
        <w:tc>
          <w:tcPr>
            <w:tcW w:w="1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16,030</w:t>
            </w:r>
          </w:p>
        </w:tc>
        <w:tc>
          <w:tcPr>
            <w:tcW w:w="365" w:type="dxa"/>
            <w:tcBorders/>
            <w:shd w:fill="FFFFFF" w:val="clear"/>
            <w:vAlign w:val="center"/>
          </w:tcPr>
          <w:p>
            <w:pPr>
              <w:pStyle w:val="TableContents"/>
              <w:bidi w:val="0"/>
              <w:spacing w:before="0" w:after="283"/>
              <w:jc w:val="center"/>
              <w:rPr/>
            </w:pPr>
            <w:r>
              <w:rPr/>
              <w:t> </w:t>
            </w:r>
          </w:p>
        </w:tc>
        <w:tc>
          <w:tcPr>
            <w:tcW w:w="1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14,597</w:t>
            </w:r>
          </w:p>
        </w:tc>
        <w:tc>
          <w:tcPr>
            <w:tcW w:w="211" w:type="dxa"/>
            <w:tcBorders/>
            <w:shd w:fill="FFFFFF" w:val="clear"/>
            <w:vAlign w:val="center"/>
          </w:tcPr>
          <w:p>
            <w:pPr>
              <w:pStyle w:val="TableContents"/>
              <w:bidi w:val="0"/>
              <w:spacing w:before="0" w:after="283"/>
              <w:jc w:val="center"/>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45,824</w:t>
            </w:r>
          </w:p>
        </w:tc>
        <w:tc>
          <w:tcPr>
            <w:tcW w:w="312" w:type="dxa"/>
            <w:tcBorders/>
            <w:shd w:fill="FFFFFF" w:val="clear"/>
            <w:vAlign w:val="center"/>
          </w:tcPr>
          <w:p>
            <w:pPr>
              <w:pStyle w:val="TableContents"/>
              <w:bidi w:val="0"/>
              <w:spacing w:before="0" w:after="283"/>
              <w:jc w:val="center"/>
              <w:rPr/>
            </w:pPr>
            <w:r>
              <w:rPr/>
              <w:t> </w:t>
            </w:r>
          </w:p>
        </w:tc>
        <w:tc>
          <w:tcPr>
            <w:tcW w:w="14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41,825</w:t>
            </w:r>
          </w:p>
        </w:tc>
      </w:tr>
      <w:tr>
        <w:trPr/>
        <w:tc>
          <w:tcPr>
            <w:tcW w:w="3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Eliminations</w:t>
            </w:r>
          </w:p>
        </w:tc>
        <w:tc>
          <w:tcPr>
            <w:tcW w:w="211" w:type="dxa"/>
            <w:tcBorders/>
            <w:shd w:fill="CFF0FC" w:val="clear"/>
            <w:vAlign w:val="center"/>
          </w:tcPr>
          <w:p>
            <w:pPr>
              <w:pStyle w:val="TableContents"/>
              <w:bidi w:val="0"/>
              <w:spacing w:before="0" w:after="283"/>
              <w:jc w:val="center"/>
              <w:rPr/>
            </w:pPr>
            <w:r>
              <w:rPr/>
              <w:t> </w:t>
            </w:r>
          </w:p>
        </w:tc>
        <w:tc>
          <w:tcPr>
            <w:tcW w:w="1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and Amortization</w:t>
            </w:r>
          </w:p>
        </w:tc>
        <w:tc>
          <w:tcPr>
            <w:tcW w:w="21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25,628</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73,363</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71,706</w:t>
            </w:r>
          </w:p>
        </w:tc>
      </w:tr>
      <w:tr>
        <w:trPr/>
        <w:tc>
          <w:tcPr>
            <w:tcW w:w="3271"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Income Taxes</w:t>
            </w:r>
          </w:p>
        </w:tc>
        <w:tc>
          <w:tcPr>
            <w:tcW w:w="211"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pPr>
            <w:r>
              <w:rPr/>
              <w:t> </w:t>
            </w:r>
          </w:p>
        </w:tc>
        <w:tc>
          <w:tcPr>
            <w:tcW w:w="365"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center"/>
              <w:rPr/>
            </w:pPr>
            <w:r>
              <w:rPr/>
              <w:t> </w:t>
            </w:r>
          </w:p>
        </w:tc>
        <w:tc>
          <w:tcPr>
            <w:tcW w:w="1333" w:type="dxa"/>
            <w:tcBorders/>
            <w:shd w:fill="CFF0FC" w:val="clear"/>
            <w:vAlign w:val="center"/>
          </w:tcPr>
          <w:p>
            <w:pPr>
              <w:pStyle w:val="TableContents"/>
              <w:bidi w:val="0"/>
              <w:spacing w:before="0" w:after="283"/>
              <w:jc w:val="right"/>
              <w:rPr/>
            </w:pPr>
            <w:r>
              <w:rPr/>
              <w:t> </w:t>
            </w:r>
          </w:p>
        </w:tc>
        <w:tc>
          <w:tcPr>
            <w:tcW w:w="312" w:type="dxa"/>
            <w:tcBorders/>
            <w:shd w:fill="CFF0FC" w:val="clear"/>
            <w:vAlign w:val="center"/>
          </w:tcPr>
          <w:p>
            <w:pPr>
              <w:pStyle w:val="TableContents"/>
              <w:bidi w:val="0"/>
              <w:spacing w:before="0" w:after="283"/>
              <w:jc w:val="center"/>
              <w:rPr/>
            </w:pPr>
            <w:r>
              <w:rPr/>
              <w:t> </w:t>
            </w:r>
          </w:p>
        </w:tc>
        <w:tc>
          <w:tcPr>
            <w:tcW w:w="1400" w:type="dxa"/>
            <w:tcBorders/>
            <w:shd w:fill="CFF0FC" w:val="clear"/>
            <w:vAlign w:val="center"/>
          </w:tcPr>
          <w:p>
            <w:pPr>
              <w:pStyle w:val="TableContents"/>
              <w:bidi w:val="0"/>
              <w:spacing w:before="0" w:after="283"/>
              <w:jc w:val="righ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Retail</w:t>
            </w:r>
          </w:p>
        </w:tc>
        <w:tc>
          <w:tcPr>
            <w:tcW w:w="21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18,551</w:t>
            </w:r>
          </w:p>
        </w:tc>
        <w:tc>
          <w:tcPr>
            <w:tcW w:w="36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18,589</w:t>
            </w:r>
          </w:p>
        </w:tc>
        <w:tc>
          <w:tcPr>
            <w:tcW w:w="21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50,890</w:t>
            </w:r>
          </w:p>
        </w:tc>
        <w:tc>
          <w:tcPr>
            <w:tcW w:w="31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w:t>
            </w:r>
          </w:p>
        </w:tc>
        <w:tc>
          <w:tcPr>
            <w:tcW w:w="14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58,460</w:t>
            </w:r>
          </w:p>
        </w:tc>
      </w:tr>
      <w:tr>
        <w:trPr/>
        <w:tc>
          <w:tcPr>
            <w:tcW w:w="3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Consumer Packaged Goods</w:t>
            </w:r>
          </w:p>
        </w:tc>
        <w:tc>
          <w:tcPr>
            <w:tcW w:w="211"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15,975</w:t>
            </w:r>
          </w:p>
        </w:tc>
        <w:tc>
          <w:tcPr>
            <w:tcW w:w="365" w:type="dxa"/>
            <w:tcBorders/>
            <w:shd w:fill="CFF0FC" w:val="clear"/>
            <w:vAlign w:val="center"/>
          </w:tcPr>
          <w:p>
            <w:pPr>
              <w:pStyle w:val="TableContents"/>
              <w:bidi w:val="0"/>
              <w:spacing w:before="0" w:after="283"/>
              <w:jc w:val="center"/>
              <w:rPr/>
            </w:pPr>
            <w:r>
              <w:rPr/>
              <w:t> </w:t>
            </w:r>
          </w:p>
        </w:tc>
        <w:tc>
          <w:tcPr>
            <w:tcW w:w="13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14,380</w:t>
            </w:r>
          </w:p>
        </w:tc>
        <w:tc>
          <w:tcPr>
            <w:tcW w:w="211" w:type="dxa"/>
            <w:tcBorders/>
            <w:shd w:fill="CFF0FC" w:val="clear"/>
            <w:vAlign w:val="center"/>
          </w:tcPr>
          <w:p>
            <w:pPr>
              <w:pStyle w:val="TableContents"/>
              <w:bidi w:val="0"/>
              <w:spacing w:before="0" w:after="283"/>
              <w:jc w:val="center"/>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43,037</w:t>
            </w:r>
          </w:p>
        </w:tc>
        <w:tc>
          <w:tcPr>
            <w:tcW w:w="312" w:type="dxa"/>
            <w:tcBorders/>
            <w:shd w:fill="CFF0FC" w:val="clear"/>
            <w:vAlign w:val="center"/>
          </w:tcPr>
          <w:p>
            <w:pPr>
              <w:pStyle w:val="TableContents"/>
              <w:bidi w:val="0"/>
              <w:spacing w:before="0" w:after="283"/>
              <w:jc w:val="center"/>
              <w:rPr/>
            </w:pPr>
            <w:r>
              <w:rPr/>
              <w:t> </w:t>
            </w:r>
          </w:p>
        </w:tc>
        <w:tc>
          <w:tcPr>
            <w:tcW w:w="14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43,980</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Intersegment Eliminations</w:t>
            </w:r>
          </w:p>
        </w:tc>
        <w:tc>
          <w:tcPr>
            <w:tcW w:w="211" w:type="dxa"/>
            <w:tcBorders/>
            <w:shd w:fill="FFFFFF" w:val="cle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Income Taxes</w:t>
            </w:r>
          </w:p>
        </w:tc>
        <w:tc>
          <w:tcPr>
            <w:tcW w:w="21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34,526</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93,927</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102,440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Goodwill assigned to the Consumer Packaged Goods segment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was $315,889</w:t>
      </w:r>
      <w:r>
        <w:rPr>
          <w:rFonts w:ascii="Times New Roman" w:hAnsi="Times New Roman"/>
          <w:color w:val="000000"/>
          <w:sz w:val="20"/>
        </w:rPr>
        <w:t xml:space="preserve"> </w:t>
      </w:r>
      <w:r>
        <w:rPr>
          <w:rFonts w:ascii="Times New Roman" w:hAnsi="Times New Roman"/>
          <w:b w:val="false"/>
          <w:color w:val="000000"/>
          <w:sz w:val="20"/>
        </w:rPr>
        <w:t>thousand and $315,889</w:t>
      </w:r>
      <w:r>
        <w:rPr>
          <w:rFonts w:ascii="Times New Roman" w:hAnsi="Times New Roman"/>
          <w:color w:val="000000"/>
          <w:sz w:val="20"/>
        </w:rPr>
        <w:t xml:space="preserve"> </w:t>
      </w:r>
      <w:r>
        <w:rPr>
          <w:rFonts w:ascii="Times New Roman" w:hAnsi="Times New Roman"/>
          <w:b w:val="false"/>
          <w:color w:val="000000"/>
          <w:sz w:val="20"/>
        </w:rPr>
        <w:t>thousand, respectively. Intangible assets, net assigned to the Consumer Packaged Goods segment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was $266,884</w:t>
      </w:r>
      <w:r>
        <w:rPr>
          <w:rFonts w:ascii="Times New Roman" w:hAnsi="Times New Roman"/>
          <w:color w:val="000000"/>
          <w:sz w:val="20"/>
        </w:rPr>
        <w:t xml:space="preserve"> </w:t>
      </w:r>
      <w:r>
        <w:rPr>
          <w:rFonts w:ascii="Times New Roman" w:hAnsi="Times New Roman"/>
          <w:b w:val="false"/>
          <w:color w:val="000000"/>
          <w:sz w:val="20"/>
        </w:rPr>
        <w:t>thousand and $286,922</w:t>
      </w:r>
      <w:r>
        <w:rPr>
          <w:rFonts w:ascii="Times New Roman" w:hAnsi="Times New Roman"/>
          <w:color w:val="000000"/>
          <w:sz w:val="20"/>
        </w:rPr>
        <w:t xml:space="preserve"> </w:t>
      </w:r>
      <w:r>
        <w:rPr>
          <w:rFonts w:ascii="Times New Roman" w:hAnsi="Times New Roman"/>
          <w:b w:val="false"/>
          <w:color w:val="000000"/>
          <w:sz w:val="20"/>
        </w:rPr>
        <w:t>thousand,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Goodwill assigned to the Retail segment as of September 30, 2023 and December 31, 2022 was $273,802</w:t>
      </w:r>
      <w:r>
        <w:rPr>
          <w:rFonts w:ascii="Times New Roman" w:hAnsi="Times New Roman"/>
          <w:color w:val="000000"/>
          <w:sz w:val="20"/>
        </w:rPr>
        <w:t xml:space="preserve"> </w:t>
      </w:r>
      <w:r>
        <w:rPr>
          <w:rFonts w:ascii="Times New Roman" w:hAnsi="Times New Roman"/>
          <w:b w:val="false"/>
          <w:color w:val="000000"/>
          <w:sz w:val="20"/>
        </w:rPr>
        <w:t>thousand and $273,802</w:t>
      </w:r>
      <w:r>
        <w:rPr>
          <w:rFonts w:ascii="Times New Roman" w:hAnsi="Times New Roman"/>
          <w:color w:val="000000"/>
          <w:sz w:val="20"/>
        </w:rPr>
        <w:t xml:space="preserve"> </w:t>
      </w:r>
      <w:r>
        <w:rPr>
          <w:rFonts w:ascii="Times New Roman" w:hAnsi="Times New Roman"/>
          <w:b w:val="false"/>
          <w:color w:val="000000"/>
          <w:sz w:val="20"/>
        </w:rPr>
        <w:t>thousand, respectively. Intangible assets, net assigned to the Retail segment as of September 30, 2023 and December 31, 2022 was $284,538</w:t>
      </w:r>
      <w:r>
        <w:rPr>
          <w:rFonts w:ascii="Times New Roman" w:hAnsi="Times New Roman"/>
          <w:color w:val="000000"/>
          <w:sz w:val="20"/>
        </w:rPr>
        <w:t xml:space="preserve"> </w:t>
      </w:r>
      <w:r>
        <w:rPr>
          <w:rFonts w:ascii="Times New Roman" w:hAnsi="Times New Roman"/>
          <w:b w:val="false"/>
          <w:color w:val="000000"/>
          <w:sz w:val="20"/>
        </w:rPr>
        <w:t>thousand and $302,597</w:t>
      </w:r>
      <w:r>
        <w:rPr>
          <w:rFonts w:ascii="Times New Roman" w:hAnsi="Times New Roman"/>
          <w:color w:val="000000"/>
          <w:sz w:val="20"/>
        </w:rPr>
        <w:t xml:space="preserve"> </w:t>
      </w:r>
      <w:r>
        <w:rPr>
          <w:rFonts w:ascii="Times New Roman" w:hAnsi="Times New Roman"/>
          <w:b w:val="false"/>
          <w:color w:val="000000"/>
          <w:sz w:val="20"/>
        </w:rPr>
        <w:t>thousand,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8" w:name="item2_mda"/>
      <w:bookmarkStart w:id="9" w:name="management_discussion_and_analysis"/>
      <w:bookmarkEnd w:id="8"/>
      <w:bookmarkEnd w:id="9"/>
      <w:r>
        <w:rPr>
          <w:rFonts w:ascii="Times New Roman" w:hAnsi="Times New Roman"/>
          <w:b/>
          <w:color w:val="000000"/>
          <w:sz w:val="20"/>
        </w:rPr>
        <w:t>ITEM 2. MANAGEMENT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management discussion and analysis (“MD&amp;A”) of the financial condition and results of operations of Green Thumb Industries Inc. (the “Company” or “Green Thumb”) is for the three and nine months ended September 30, 2023 and 2022. It is supplemental to, and should be read in conjunction with, the Company’s unaudited interim condensed consolidated financial statements as of September 30, 2023 and the consolidated financial statements for the year ended December 31, 2022 included in the Company’s Annual Report on Form 10-K for the year ended December 31, 2022 filed with the U.S. Securities and Exchange Commission on March 1, 2023 (the “2022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of the 2022 Form 10-K.” As a result of many factors, the Company’s actual results may differ materially from those anticipated in these forward-looking statements and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Established in 2014 and headquartered in Chicago, Illinois, Green Thumb promotes well-being through the power of cannabis through branded consumer packaged goods and people-first retail experiences, while giving back to the communities in which it serves. As of September 30, 2023, Green Thumb has operations in fifteen U.S. markets, employs approximately 4,400 people and serves millions of patients and customers annually.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Consumer Packaged Goods portfolio is primarily generated from plant material that Green Thumb grows and processes itself, which we use to produce our consumer packaged goods in eighteen manufacturing facilities. This portfolio consists of stock keeping units across a range of cannabis product categories, including flower, pre-rolls, concentrates, vape, capsules, tinctures, edibles, topicals and other cannabis-related products (none of which are individually material to the Company). These Consumer Packaged Goods products are sold in retail stores throughout the U.S. including at Green Thumb’s own RISE and other retail stores.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Green Thumb owns and operates a national cannabis retail chain called RISE that provides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retail stores under other names, primarily where naming is subject to licensing or similar restrictions or in certain instances where we co-own the store.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fourteen of the states in which we operate. As of September 30, 2023, the Company had 85 open and operating retail stores. The Company’s new store opening plans is fluid, depending on market conditions, obtaining local licensing, construction and other permissions and subject to the Company’s capital allocation plans.</w:t>
      </w:r>
    </w:p>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 – Consolidated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the Company’s selected consolidated financial results for the periods, and as of the dates, indicated. The (i) unaudited interim condensed consolidated statements of operations for the three and nine months ended September 30, 2023 and 2022 and (ii) unaudited interim condensed consolidated balance sheet as of September 30, 2023 and December 31, 2022 have been derived from, and should be read in conjunction with, the unaudited interim condensed consolidated financial statements and accompanying notes presented in Item 1 of this quarterly report on Form 10-Q.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28"/>
        <w:gridCol w:w="196"/>
        <w:gridCol w:w="1063"/>
        <w:gridCol w:w="207"/>
        <w:gridCol w:w="1063"/>
        <w:gridCol w:w="146"/>
        <w:gridCol w:w="196"/>
        <w:gridCol w:w="1052"/>
        <w:gridCol w:w="205"/>
        <w:gridCol w:w="1052"/>
        <w:gridCol w:w="146"/>
        <w:gridCol w:w="196"/>
        <w:gridCol w:w="602"/>
        <w:gridCol w:w="342"/>
        <w:gridCol w:w="196"/>
        <w:gridCol w:w="676"/>
        <w:gridCol w:w="539"/>
      </w:tblGrid>
      <w:tr>
        <w:trPr/>
        <w:tc>
          <w:tcPr>
            <w:tcW w:w="2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328"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3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3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328"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328"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498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3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Revenues, Net of Discounts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275,398</w:t>
            </w:r>
          </w:p>
        </w:tc>
        <w:tc>
          <w:tcPr>
            <w:tcW w:w="20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261,194</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776,322</w:t>
            </w:r>
          </w:p>
        </w:tc>
        <w:tc>
          <w:tcPr>
            <w:tcW w:w="20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758,105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14,204</w:t>
            </w:r>
          </w:p>
        </w:tc>
        <w:tc>
          <w:tcPr>
            <w:tcW w:w="3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18,217</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Cost of Goods Sold, Net</w:t>
            </w:r>
          </w:p>
        </w:tc>
        <w:tc>
          <w:tcPr>
            <w:tcW w:w="196" w:type="dxa"/>
            <w:tcBorders/>
            <w:shd w:fill="FFFFFF" w:val="cle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(141,592)</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(392,515)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(378,127)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11,638</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14,388</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Gross Profit</w:t>
            </w:r>
          </w:p>
        </w:tc>
        <w:tc>
          <w:tcPr>
            <w:tcW w:w="196"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133,806</w:t>
            </w:r>
          </w:p>
        </w:tc>
        <w:tc>
          <w:tcPr>
            <w:tcW w:w="207"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131,240</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383,807</w:t>
            </w:r>
          </w:p>
        </w:tc>
        <w:tc>
          <w:tcPr>
            <w:tcW w:w="205"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379,978</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2,566</w:t>
            </w:r>
          </w:p>
        </w:tc>
        <w:tc>
          <w:tcPr>
            <w:tcW w:w="3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96" w:type="dxa"/>
            <w:tcBorders/>
            <w:shd w:fill="CFF0FC" w:val="clear"/>
            <w:vAlign w:val="center"/>
          </w:tcPr>
          <w:p>
            <w:pPr>
              <w:pStyle w:val="TableContents"/>
              <w:bidi w:val="0"/>
              <w:spacing w:before="0" w:after="283"/>
              <w:jc w:val="center"/>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3,829</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r>
      <w:tr>
        <w:trPr/>
        <w:tc>
          <w:tcPr>
            <w:tcW w:w="232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96" w:type="dxa"/>
            <w:tcBorders/>
            <w:shd w:fill="FFFFFF" w:val="clear"/>
            <w:vAlign w:val="center"/>
          </w:tcPr>
          <w:p>
            <w:pPr>
              <w:pStyle w:val="TableContents"/>
              <w:bidi w:val="0"/>
              <w:spacing w:before="0" w:after="283"/>
              <w:jc w:val="center"/>
              <w:rPr/>
            </w:pPr>
            <w:r>
              <w:rPr/>
              <w:t> </w:t>
            </w:r>
          </w:p>
        </w:tc>
        <w:tc>
          <w:tcPr>
            <w:tcW w:w="1063"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center"/>
              <w:rPr/>
            </w:pPr>
            <w:r>
              <w:rPr/>
              <w:t> </w:t>
            </w:r>
          </w:p>
        </w:tc>
        <w:tc>
          <w:tcPr>
            <w:tcW w:w="106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center"/>
              <w:rPr/>
            </w:pPr>
            <w:r>
              <w:rPr/>
              <w:t> </w:t>
            </w:r>
          </w:p>
        </w:tc>
        <w:tc>
          <w:tcPr>
            <w:tcW w:w="10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shd w:fill="FFFFFF" w:val="clear"/>
            <w:vAlign w:val="center"/>
          </w:tcPr>
          <w:p>
            <w:pPr>
              <w:pStyle w:val="TableContents"/>
              <w:bidi w:val="0"/>
              <w:spacing w:before="0" w:after="283"/>
              <w:jc w:val="right"/>
              <w:rPr/>
            </w:pPr>
            <w:r>
              <w:rPr/>
              <w:t> </w:t>
            </w:r>
          </w:p>
        </w:tc>
        <w:tc>
          <w:tcPr>
            <w:tcW w:w="342"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Selling, General, and Administrative</w:t>
            </w:r>
          </w:p>
        </w:tc>
        <w:tc>
          <w:tcPr>
            <w:tcW w:w="196"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84,779</w:t>
            </w:r>
          </w:p>
        </w:tc>
        <w:tc>
          <w:tcPr>
            <w:tcW w:w="207"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82,479</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249,515</w:t>
            </w:r>
          </w:p>
        </w:tc>
        <w:tc>
          <w:tcPr>
            <w:tcW w:w="205"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214,402</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2,300</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35,113</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Expenses</w:t>
            </w:r>
          </w:p>
        </w:tc>
        <w:tc>
          <w:tcPr>
            <w:tcW w:w="196" w:type="dxa"/>
            <w:tcBorders/>
            <w:shd w:fill="FFFFFF" w:val="clear"/>
            <w:vAlign w:val="center"/>
          </w:tcPr>
          <w:p>
            <w:pPr>
              <w:pStyle w:val="TableContents"/>
              <w:bidi w:val="0"/>
              <w:spacing w:before="0" w:after="283"/>
              <w:jc w:val="center"/>
              <w:rPr/>
            </w:pPr>
            <w:r>
              <w:rPr/>
              <w:t> </w:t>
            </w:r>
          </w:p>
        </w:tc>
        <w:tc>
          <w:tcPr>
            <w:tcW w:w="10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84,779</w:t>
            </w:r>
          </w:p>
        </w:tc>
        <w:tc>
          <w:tcPr>
            <w:tcW w:w="20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82,479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249,515</w:t>
            </w:r>
          </w:p>
        </w:tc>
        <w:tc>
          <w:tcPr>
            <w:tcW w:w="205"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214,402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2,300</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35,113</w:t>
            </w:r>
          </w:p>
        </w:tc>
        <w:tc>
          <w:tcPr>
            <w:tcW w:w="5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From Operations</w:t>
            </w:r>
          </w:p>
        </w:tc>
        <w:tc>
          <w:tcPr>
            <w:tcW w:w="196"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49,027</w:t>
            </w:r>
          </w:p>
        </w:tc>
        <w:tc>
          <w:tcPr>
            <w:tcW w:w="207"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48,761</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134,292</w:t>
            </w:r>
          </w:p>
        </w:tc>
        <w:tc>
          <w:tcPr>
            <w:tcW w:w="205"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165,576</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w:t>
            </w:r>
          </w:p>
        </w:tc>
        <w:tc>
          <w:tcPr>
            <w:tcW w:w="3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96" w:type="dxa"/>
            <w:tcBorders/>
            <w:shd w:fill="CFF0FC" w:val="clear"/>
            <w:vAlign w:val="center"/>
          </w:tcPr>
          <w:p>
            <w:pPr>
              <w:pStyle w:val="TableContents"/>
              <w:bidi w:val="0"/>
              <w:spacing w:before="0" w:after="283"/>
              <w:jc w:val="center"/>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(31,284)</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Other Income (Expense)</w:t>
            </w:r>
          </w:p>
        </w:tc>
        <w:tc>
          <w:tcPr>
            <w:tcW w:w="196" w:type="dxa"/>
            <w:tcBorders/>
            <w:shd w:fill="FFFFFF" w:val="cle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(6,463)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1,950</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(7,892)</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(552)%</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Before Provision for Income Taxes And Non-Controlling Interest</w:t>
            </w:r>
          </w:p>
        </w:tc>
        <w:tc>
          <w:tcPr>
            <w:tcW w:w="196"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45,333</w:t>
            </w:r>
          </w:p>
        </w:tc>
        <w:tc>
          <w:tcPr>
            <w:tcW w:w="207"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43,117</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127,829</w:t>
            </w:r>
          </w:p>
        </w:tc>
        <w:tc>
          <w:tcPr>
            <w:tcW w:w="205"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167,005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2,216</w:t>
            </w:r>
          </w:p>
        </w:tc>
        <w:tc>
          <w:tcPr>
            <w:tcW w:w="3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96" w:type="dxa"/>
            <w:tcBorders/>
            <w:shd w:fill="CFF0FC" w:val="clear"/>
            <w:vAlign w:val="center"/>
          </w:tcPr>
          <w:p>
            <w:pPr>
              <w:pStyle w:val="TableContents"/>
              <w:bidi w:val="0"/>
              <w:spacing w:before="0" w:after="283"/>
              <w:jc w:val="center"/>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(39,176)</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Provision for Income Taxes</w:t>
            </w:r>
          </w:p>
        </w:tc>
        <w:tc>
          <w:tcPr>
            <w:tcW w:w="196" w:type="dxa"/>
            <w:tcBorders/>
            <w:shd w:fill="FFFFFF" w:val="cle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93,927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1,557</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(8,513)</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 Before Non-Controlling Interest</w:t>
            </w:r>
          </w:p>
        </w:tc>
        <w:tc>
          <w:tcPr>
            <w:tcW w:w="196"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10,807</w:t>
            </w:r>
          </w:p>
        </w:tc>
        <w:tc>
          <w:tcPr>
            <w:tcW w:w="207" w:type="dxa"/>
            <w:tcBorders/>
            <w:shd w:fill="CFF0FC" w:val="clear"/>
            <w:vAlign w:val="center"/>
          </w:tcPr>
          <w:p>
            <w:pPr>
              <w:pStyle w:val="TableContents"/>
              <w:bidi w:val="0"/>
              <w:spacing w:before="0" w:after="283"/>
              <w:jc w:val="center"/>
              <w:rPr/>
            </w:pPr>
            <w:r>
              <w:rPr/>
              <w:t> </w:t>
            </w:r>
          </w:p>
        </w:tc>
        <w:tc>
          <w:tcPr>
            <w:tcW w:w="106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10,148</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33,902</w:t>
            </w:r>
          </w:p>
        </w:tc>
        <w:tc>
          <w:tcPr>
            <w:tcW w:w="205" w:type="dxa"/>
            <w:tcBorders/>
            <w:shd w:fill="CFF0FC" w:val="clear"/>
            <w:vAlign w:val="center"/>
          </w:tcPr>
          <w:p>
            <w:pPr>
              <w:pStyle w:val="TableContents"/>
              <w:bidi w:val="0"/>
              <w:spacing w:before="0" w:after="283"/>
              <w:jc w:val="center"/>
              <w:rPr/>
            </w:pPr>
            <w:r>
              <w:rPr/>
              <w:t> </w:t>
            </w:r>
          </w:p>
        </w:tc>
        <w:tc>
          <w:tcPr>
            <w:tcW w:w="10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64,565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6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659</w:t>
            </w:r>
          </w:p>
        </w:tc>
        <w:tc>
          <w:tcPr>
            <w:tcW w:w="34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96" w:type="dxa"/>
            <w:tcBorders/>
            <w:shd w:fill="CFF0FC" w:val="clear"/>
            <w:vAlign w:val="center"/>
          </w:tcPr>
          <w:p>
            <w:pPr>
              <w:pStyle w:val="TableContents"/>
              <w:bidi w:val="0"/>
              <w:spacing w:before="0" w:after="283"/>
              <w:jc w:val="center"/>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(30,663)</w:t>
            </w:r>
          </w:p>
        </w:tc>
        <w:tc>
          <w:tcPr>
            <w:tcW w:w="53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 Attributable to Non-Controlling Interest</w:t>
            </w:r>
          </w:p>
        </w:tc>
        <w:tc>
          <w:tcPr>
            <w:tcW w:w="196" w:type="dxa"/>
            <w:tcBorders/>
            <w:shd w:fill="FFFFFF" w:val="cle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 Attributable To Green Thumb Industries Inc.</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10,512</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33,051</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683</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(30,154)</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 Per Share - Basic</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0.05</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0.14</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(0.13)</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 Per Share - Diluted</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0.05</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0.14</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(0.12)</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w:t>
            </w:r>
          </w:p>
        </w:tc>
      </w:tr>
      <w:tr>
        <w:trPr/>
        <w:tc>
          <w:tcPr>
            <w:tcW w:w="23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Number of Shares Outstanding – Basic</w:t>
            </w:r>
          </w:p>
        </w:tc>
        <w:tc>
          <w:tcPr>
            <w:tcW w:w="196" w:type="dxa"/>
            <w:tcBorders/>
            <w:shd w:fill="FFFFFF" w:val="clear"/>
            <w:vAlign w:val="center"/>
          </w:tcPr>
          <w:p>
            <w:pPr>
              <w:pStyle w:val="TableContents"/>
              <w:bidi w:val="0"/>
              <w:spacing w:before="0" w:after="283"/>
              <w:jc w:val="center"/>
              <w:rPr/>
            </w:pPr>
            <w:r>
              <w:rPr/>
              <w:t> </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239,459,783</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237,002,873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238,248,852</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236,546,078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jc w:val="center"/>
              <w:rPr/>
            </w:pPr>
            <w:r>
              <w:rPr/>
              <w:t> </w:t>
            </w:r>
          </w:p>
        </w:tc>
        <w:tc>
          <w:tcPr>
            <w:tcW w:w="539" w:type="dxa"/>
            <w:tcBorders/>
            <w:shd w:fill="FFFFFF" w:val="clear"/>
            <w:vAlign w:val="center"/>
          </w:tcPr>
          <w:p>
            <w:pPr>
              <w:pStyle w:val="TableContents"/>
              <w:bidi w:val="0"/>
              <w:spacing w:before="0" w:after="283"/>
              <w:jc w:val="center"/>
              <w:rPr/>
            </w:pPr>
            <w:r>
              <w:rPr/>
              <w:t> </w:t>
            </w:r>
          </w:p>
        </w:tc>
      </w:tr>
      <w:tr>
        <w:trPr/>
        <w:tc>
          <w:tcPr>
            <w:tcW w:w="23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Number of Shares Outstanding – Diluted</w:t>
            </w:r>
          </w:p>
        </w:tc>
        <w:tc>
          <w:tcPr>
            <w:tcW w:w="196" w:type="dxa"/>
            <w:tcBorders/>
            <w:shd w:fill="CFF0FC" w:val="clear"/>
            <w:vAlign w:val="center"/>
          </w:tcPr>
          <w:p>
            <w:pPr>
              <w:pStyle w:val="TableContents"/>
              <w:bidi w:val="0"/>
              <w:spacing w:before="0" w:after="283"/>
              <w:jc w:val="center"/>
              <w:rPr/>
            </w:pPr>
            <w:r>
              <w:rPr/>
              <w:t> </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240,289,959</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237,804,799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center"/>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239,827,112</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237,872,595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602"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5255" w:type="dxa"/>
        <w:jc w:val="left"/>
        <w:tblInd w:w="0" w:type="dxa"/>
        <w:tblLayout w:type="fixed"/>
        <w:tblCellMar>
          <w:top w:w="28" w:type="dxa"/>
          <w:left w:w="28" w:type="dxa"/>
          <w:bottom w:w="28" w:type="dxa"/>
          <w:right w:w="28" w:type="dxa"/>
        </w:tblCellMar>
      </w:tblPr>
      <w:tblGrid>
        <w:gridCol w:w="1666"/>
        <w:gridCol w:w="196"/>
        <w:gridCol w:w="1606"/>
        <w:gridCol w:w="196"/>
        <w:gridCol w:w="1591"/>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r>
      <w:tr>
        <w:trPr/>
        <w:tc>
          <w:tcPr>
            <w:tcW w:w="16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3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Assets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2,499,212</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2,433,528</w:t>
            </w:r>
          </w:p>
        </w:tc>
      </w:tr>
      <w:tr>
        <w:trPr/>
        <w:tc>
          <w:tcPr>
            <w:tcW w:w="16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Long-Term Liabilities</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6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642,431</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5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621,525</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September 30, 2023 Compared to the Three Months Ended September 30, 2022</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Revenues, net of Discounts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for the three months ended September 30, 2023 was $275,398 thousand, an increase of 5% from $261,194 thousand for the three months ended September 30, 2022. The increase in revenue was largely due to legalization of adult-use sales in Maryland, which began on July 1,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generated revenue from 85 retail stores during the quarter, compared to 77 in the same quarter of the prior year. During the three months ended September 30, 2023, the Company opened one retail store in Nevada, and one retail store in Florida.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Cost of Goods Sold,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 of goods sold are derived from retail purchases made by the Company from its third-party licensed producers operating within our state markets and costs related to the internal cultivation and production of cannabis. Cost of goods sold for the three months ended September 30, 2023 was $141,592 thousand, an increase of 9% from $129,954 thousand for the three months ended September 30, 2022, driven by increased volume from the launch of adult-use sales in Maryland as described above, and new retail store openings in Nevada and Florida.</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for the three months ended September 30, 2023 was $133,806 thousand, representing a gross margin on the sale of branded cannabis flower and processed and packaged products including concentrates, edibles, topicals and other cannabis products, of 49%. This is compared to gross profit for the three months ended September 30, 2022 of $131,240 thousand, or a 50% gross margin. The decrease in gross margin (percent) was primarily driven by price compression. The increase in gross profit (dollars) was directly attributable to the revenue increase as described above.</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Total expenses for the three months ended September 30, 2023 were $84,779 thousand, or 31% of revenues, net of discounts, resulting in an increase of $2,300 thousand over the same period in the prior year. Total expenses for the three months ended September 30, 2022 were $82,479 thousand or 32% of revenues, net of discounts. The increase in total expense for the three months ended September 30, 2023 was attributable to an increase in retail salaries and benefits and other operational and facility expenses, mainly as a result of the legalization of adult-use sales in Maryland, which began on July 1, 2023, as well as new locations opened since September 30,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Total 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other income (expense) for three months ended September 30, 2023 was $(3,694) thousand, an increase of $1,950 thousand, primarily due to favorable fair value adjustments to the Company's equity investments, as well as a reduction in unfavorable fair value adjustments to the Company's warrant liability recorded during the three months ended September 30, 2023.</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Income (Loss) Before Provision for Income Taxes and Non-Controlling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Income before provision for income taxes and non-controlling interest for the three months ended September 30, 2023 was $45,333 thousand, an increase of $2,216 thousand compared to the three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presented under the heading “Non-GAAP Measures” below, after adjusting for non-cash equity incentive compensation of $7,215 thousand and $7,878 thousand in the three months ended September 30, 2023 and 2022, respectively, and other nonoperating (income) expenses, of $1,119 thousand and $3,306 thousand in the three months ended September 30, 2023 and 2022, respectively, adjusted earnings before interest, depreciation, and amortization (“EBITDA”) was $82,989 thousand and $84,463 thousand,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Income tax expense is recognized based on the expected tax payable on the taxable income for the year, using tax rates enacted or substantively enacted at year-end. For the three months ended September 30, 2023, federal and state income tax expense totaled $34,526 thousand compared to expense of $32,969 thousand</w:t>
      </w:r>
      <w:r>
        <w:rPr>
          <w:rFonts w:ascii="Times New Roman" w:hAnsi="Times New Roman"/>
          <w:color w:val="FF0000"/>
          <w:sz w:val="20"/>
        </w:rPr>
        <w:t xml:space="preserve"> </w:t>
      </w:r>
      <w:r>
        <w:rPr>
          <w:rFonts w:ascii="Times New Roman" w:hAnsi="Times New Roman"/>
          <w:b w:val="false"/>
          <w:color w:val="000000"/>
          <w:sz w:val="20"/>
        </w:rPr>
        <w:t>for the three months ended September 30, 2022.</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Nine Months Ended September 30, 2023 Compared to the Nine Months Ended September 30, 2022</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Revenues, net of Discounts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Revenue for the nine months ended September 30, 2023 was $776,322 thousand, an increase of 2% from $758,105 for the nine months ended September 30, 2022. The increase in revenue was largely due to legalization of adult-use sales in New Jersey, which began on April 21, 2022, legalization of adult-use sales in Maryland, which began on July 1, 2023, legalization of adult-use sales in Connecticut, which began on January 10, 2023, continued growth in existing markets, as well as revenue generated from new retail stores opened in the current period, partially offset by price compression.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generated revenue from 85 retail stores during the period compared to 77 in the same period of the prior year. During the nine months ended September 30, 2023, the Company opened two retail stores in Pennsylvania, two retail stores in Virginia, one retail store in Minnesota, two retail stores in Nevada, and one retail store in Florida.</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Cost of Goods Sold, net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Cost of goods sold are derived from retail purchases made by the Company from its third-party licensed producers operating within our state markets and costs related to the internal cultivation and production of cannabis. Cost of goods sold for the nine months ended September 30, 2023 was $392,515 thousand, an increase of 4% from $378,127 thousand for the nine months ended September 30, 2022, driven by increased volume from the launch of adult-use sales in New Jersey and Maryland as described above, and new retail store openings in Pennsylvania, Virginia, Minnesota, Nevada and Florida.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Gross Profit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Gross profit for the nine months ended September 30, 2023 was $383,807 thousand, representing a gross margin on the sale of branded cannabis flower and processed and packaged products including concentrates, edibles, topicals and other cannabis products, of 49%. This is compared to gross profit for the nine months ended September 30, 2022 of $379,978 thousand or a 50% gross margin. The decrease in gross margin (percent) was primarily driven by price compression. The increase in gross profit (dollars) was directly attributable to the revenue increase as described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Total Expenses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Total expenses for the nine months ended September 30, 2023 were $249,515 thousand or 32% of revenues, net of discounts, resulting in an increase of $35,113 thousand over the same period in the prior year. Total expenses for the nine months ended September 30, 2022 were $214,402 thousand or 28% of revenues, net of discounts. Total expenses were lower in the first nine months of 2022 primarily due to favorable fair value adjustments associated with the remeasurement of the Company's contingent consideration arrangements recorded during the nine months ended September 30, 2022.</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Total Other Income (Expense)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Total other income (expense) for the nine months ended September 30, 2023 was $(6,463) thousand, a decrease of $7,892 thousand over the same period in the prior year, primarily due to a one-time favorable fair value adjustment associated with the Company's acquisition of ILDISP, LLC recorded during nine months ended September 30, 2022, partially offset by an increase in capitalized interest during the nine months ended September 30, 2023.</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Income (Loss) Before Provision for Income Taxes and Non-Controlling Interest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Net operating income before provision for income taxes and non-controlling interest for the nine months ended September 30, 2023 was $127,829 thousand, a decrease of $39,176 thousand compared to the nine months ended September 30, 2022.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presented under the heading “Non-GAAP Measures” below, after adjusting for non-cash equity incentive compensation of $20,835 thousand and $19,362 thousand, and other nonoperating (income) expenses, of $6,549 thousand and $(26,405) thousand in the nine months ended September 30, 2023 and 2022, respectively, Adjusted EBITDA was $235,039 thousand and $230,239 thousand, respectively.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Provision for Income Taxes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Income tax expense is recognized based on the expected tax payable on the taxable income for the year, using tax rates enacted or substantively enacted at year-end. For the nine months ended September 30, 2023, federal and state income tax expense totaled $93,927 thousand compared to expense of $102,440 thousand for the nine months ended September 30, 2022.</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by Segment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revenues net of sales discounts by segment for the three and nine months ended September 30, 2023 and 2022:</w:t>
      </w:r>
      <w:r>
        <w:rPr>
          <w:rFonts w:ascii="Times New Roman" w:hAnsi="Times New Roman"/>
          <w:color w:val="000000"/>
          <w:sz w:val="20"/>
        </w:rPr>
        <w:t xml:space="preserve"> </w:t>
      </w:r>
    </w:p>
    <w:p>
      <w:pPr>
        <w:pStyle w:val="TextBody"/>
        <w:bidi w:val="0"/>
        <w:spacing w:before="120" w:after="283"/>
        <w:jc w:val="left"/>
        <w:rPr/>
      </w:pPr>
      <w:r>
        <w:rPr/>
        <w:t> </w:t>
      </w:r>
    </w:p>
    <w:tbl>
      <w:tblPr>
        <w:tblW w:w="7143" w:type="dxa"/>
        <w:jc w:val="left"/>
        <w:tblInd w:w="0" w:type="dxa"/>
        <w:tblLayout w:type="fixed"/>
        <w:tblCellMar>
          <w:top w:w="28" w:type="dxa"/>
          <w:left w:w="28" w:type="dxa"/>
          <w:bottom w:w="28" w:type="dxa"/>
          <w:right w:w="28" w:type="dxa"/>
        </w:tblCellMar>
      </w:tblPr>
      <w:tblGrid>
        <w:gridCol w:w="2506"/>
        <w:gridCol w:w="196"/>
        <w:gridCol w:w="1182"/>
        <w:gridCol w:w="321"/>
        <w:gridCol w:w="1182"/>
        <w:gridCol w:w="196"/>
        <w:gridCol w:w="754"/>
        <w:gridCol w:w="806"/>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Retail</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1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205,441</w:t>
            </w:r>
          </w:p>
        </w:tc>
        <w:tc>
          <w:tcPr>
            <w:tcW w:w="32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1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199,632</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7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5,809</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Consumer Packaged Goods</w:t>
            </w:r>
          </w:p>
        </w:tc>
        <w:tc>
          <w:tcPr>
            <w:tcW w:w="196" w:type="dxa"/>
            <w:tcBorders/>
            <w:shd w:fill="CFF0FC" w:val="clear"/>
            <w:vAlign w:val="center"/>
          </w:tcPr>
          <w:p>
            <w:pPr>
              <w:pStyle w:val="TableContents"/>
              <w:bidi w:val="0"/>
              <w:spacing w:before="0" w:after="283"/>
              <w:jc w:val="center"/>
              <w:rPr/>
            </w:pPr>
            <w:r>
              <w:rPr/>
              <w:t> </w:t>
            </w:r>
          </w:p>
        </w:tc>
        <w:tc>
          <w:tcPr>
            <w:tcW w:w="11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150,425</w:t>
            </w:r>
          </w:p>
        </w:tc>
        <w:tc>
          <w:tcPr>
            <w:tcW w:w="321" w:type="dxa"/>
            <w:tcBorders/>
            <w:shd w:fill="CFF0FC" w:val="clear"/>
            <w:vAlign w:val="center"/>
          </w:tcPr>
          <w:p>
            <w:pPr>
              <w:pStyle w:val="TableContents"/>
              <w:bidi w:val="0"/>
              <w:spacing w:before="0" w:after="283"/>
              <w:jc w:val="center"/>
              <w:rPr/>
            </w:pPr>
            <w:r>
              <w:rPr/>
              <w:t> </w:t>
            </w:r>
          </w:p>
        </w:tc>
        <w:tc>
          <w:tcPr>
            <w:tcW w:w="11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127,676</w:t>
            </w:r>
          </w:p>
        </w:tc>
        <w:tc>
          <w:tcPr>
            <w:tcW w:w="196" w:type="dxa"/>
            <w:tcBorders/>
            <w:shd w:fill="CFF0FC" w:val="clear"/>
            <w:vAlign w:val="center"/>
          </w:tcPr>
          <w:p>
            <w:pPr>
              <w:pStyle w:val="TableContents"/>
              <w:bidi w:val="0"/>
              <w:spacing w:before="0" w:after="283"/>
              <w:jc w:val="center"/>
              <w:rPr/>
            </w:pPr>
            <w:r>
              <w:rPr/>
              <w:t> </w:t>
            </w:r>
          </w:p>
        </w:tc>
        <w:tc>
          <w:tcPr>
            <w:tcW w:w="7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22,749</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Intersegment Eliminations</w:t>
            </w:r>
          </w:p>
        </w:tc>
        <w:tc>
          <w:tcPr>
            <w:tcW w:w="196" w:type="dxa"/>
            <w:tcBorders/>
            <w:shd w:fill="FFFFFF" w:val="cle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(80,468)</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(66,114)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14,354</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r>
      <w:tr>
        <w:trPr/>
        <w:tc>
          <w:tcPr>
            <w:tcW w:w="250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275,398</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261,194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14,204</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r>
    </w:tbl>
    <w:p>
      <w:pPr>
        <w:pStyle w:val="TextBody"/>
        <w:bidi w:val="0"/>
        <w:spacing w:before="360" w:after="283"/>
        <w:jc w:val="left"/>
        <w:rPr/>
      </w:pPr>
      <w:r>
        <w:rPr/>
        <w:t> </w:t>
      </w:r>
    </w:p>
    <w:tbl>
      <w:tblPr>
        <w:tblW w:w="7053" w:type="dxa"/>
        <w:jc w:val="left"/>
        <w:tblInd w:w="0" w:type="dxa"/>
        <w:tblLayout w:type="fixed"/>
        <w:tblCellMar>
          <w:top w:w="28" w:type="dxa"/>
          <w:left w:w="28" w:type="dxa"/>
          <w:bottom w:w="28" w:type="dxa"/>
          <w:right w:w="28" w:type="dxa"/>
        </w:tblCellMar>
      </w:tblPr>
      <w:tblGrid>
        <w:gridCol w:w="2506"/>
        <w:gridCol w:w="196"/>
        <w:gridCol w:w="1158"/>
        <w:gridCol w:w="279"/>
        <w:gridCol w:w="1158"/>
        <w:gridCol w:w="196"/>
        <w:gridCol w:w="754"/>
        <w:gridCol w:w="806"/>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5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r>
      <w:tr>
        <w:trPr/>
        <w:tc>
          <w:tcPr>
            <w:tcW w:w="250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25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Retail</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15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582,363</w:t>
            </w:r>
          </w:p>
        </w:tc>
        <w:tc>
          <w:tcPr>
            <w:tcW w:w="27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15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564,951</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75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17,412</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r>
      <w:tr>
        <w:trPr/>
        <w:tc>
          <w:tcPr>
            <w:tcW w:w="25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Consumer Packaged Goods</w:t>
            </w:r>
          </w:p>
        </w:tc>
        <w:tc>
          <w:tcPr>
            <w:tcW w:w="196" w:type="dxa"/>
            <w:tcBorders/>
            <w:shd w:fill="FFFFFF" w:val="clear"/>
            <w:vAlign w:val="center"/>
          </w:tcPr>
          <w:p>
            <w:pPr>
              <w:pStyle w:val="TableContents"/>
              <w:bidi w:val="0"/>
              <w:spacing w:before="0" w:after="283"/>
              <w:jc w:val="center"/>
              <w:rPr/>
            </w:pPr>
            <w:r>
              <w:rPr/>
              <w:t> </w:t>
            </w:r>
          </w:p>
        </w:tc>
        <w:tc>
          <w:tcPr>
            <w:tcW w:w="115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412,096</w:t>
            </w:r>
          </w:p>
        </w:tc>
        <w:tc>
          <w:tcPr>
            <w:tcW w:w="279" w:type="dxa"/>
            <w:tcBorders/>
            <w:shd w:fill="FFFFFF" w:val="clear"/>
            <w:vAlign w:val="center"/>
          </w:tcPr>
          <w:p>
            <w:pPr>
              <w:pStyle w:val="TableContents"/>
              <w:bidi w:val="0"/>
              <w:spacing w:before="0" w:after="283"/>
              <w:jc w:val="center"/>
              <w:rPr/>
            </w:pPr>
            <w:r>
              <w:rPr/>
              <w:t> </w:t>
            </w:r>
          </w:p>
        </w:tc>
        <w:tc>
          <w:tcPr>
            <w:tcW w:w="115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368,692</w:t>
            </w:r>
          </w:p>
        </w:tc>
        <w:tc>
          <w:tcPr>
            <w:tcW w:w="196" w:type="dxa"/>
            <w:tcBorders/>
            <w:shd w:fill="FFFFFF" w:val="clear"/>
            <w:vAlign w:val="center"/>
          </w:tcPr>
          <w:p>
            <w:pPr>
              <w:pStyle w:val="TableContents"/>
              <w:bidi w:val="0"/>
              <w:spacing w:before="0" w:after="283"/>
              <w:jc w:val="center"/>
              <w:rPr/>
            </w:pPr>
            <w:r>
              <w:rPr/>
              <w:t> </w:t>
            </w:r>
          </w:p>
        </w:tc>
        <w:tc>
          <w:tcPr>
            <w:tcW w:w="7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43,404</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r>
      <w:tr>
        <w:trPr/>
        <w:tc>
          <w:tcPr>
            <w:tcW w:w="25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Intersegment Eliminations</w:t>
            </w:r>
          </w:p>
        </w:tc>
        <w:tc>
          <w:tcPr>
            <w:tcW w:w="196" w:type="dxa"/>
            <w:tcBorders/>
            <w:shd w:fill="CFF0FC" w:val="clear"/>
            <w:vAlign w:val="center"/>
          </w:tcPr>
          <w:p>
            <w:pPr>
              <w:pStyle w:val="TableContents"/>
              <w:bidi w:val="0"/>
              <w:spacing w:before="0" w:after="283"/>
              <w:jc w:val="center"/>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(218,137)</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(175,538)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42,599</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776,322</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758,105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18,217</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Three Months Ended September 30, 2023 Compared with the Three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Revenues, net of discounts, for the Retail segment were $205,441 thousand, an increase of $5,809 thousand or 3%, compared to the three months ended September 30, 2022. The increase in revenue was primarily due to the legalization of adult-use sales in Maryland, which began on July 1, 2023, partially offset by price compression.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Revenues, net of discounts, for the Consumer Packaged Goods Segment were $150,425 thousand, an increase of $22,749 thousand or 18%, compared to the three months ended September 30, 2022. The increase in Consumer Packaged Goods revenues was primarily due to the legalization of adult-use sales in Maryland, which began on July 1, 2023, as well as the legalization of adult-use sales in Connecticut, which began on January 10,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Intersegment eliminations associated with the Consumer Packaged Goods Segment were $80,468 thousand, an increase of $14,354 thousand or 22% compared to the three months ended September 30, 2022. The increase in intersegment eliminations was driven by increased intercompany sales to Company-owned retail stores primarily in Pennsylvania and Maryland. Consumer Packaged Goods revenues, net of intersegment eliminations, made up 25% of total revenues during the three months ended September 30, 2023 as compared to 24% during the three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Due to the vertically integrated nature of the business, the Company reviews its revenue at the Retail and Consumer Packaged Goods level while reviewing its operating results on a consolidated basis.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Nine Months Ended September 30, 2023 Compared with the Nine Months Ended September 30, 2022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Revenues, net of discounts for the Retail segment were $582,363, an increase of $17,412 or 3%, compared to the nine months ended September 30, 2022. The increase in Retail revenues, net of discounts, was primarily driven by the legalization of adult-use sales in New Jersey, which began on April 21, 2022, and the legalization of adult-use sales in Maryland, which began on July 1, 2023, partially offset by price compression.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Revenues, net of discounts, for the Consumer Packaged Goods Segment were $412,096 thousand, an increase of $43,404 thousand or 12%, compared to the nine months ended September 30, 2022. The increase in Consumer Packaged Goods revenues was primarily driven by the legalization of adult-use sales in New Jersey, which began on April 21, 2022, and the legalization of adult-use sales in Maryland, which began on July 1, 2023.</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Intersegment eliminations associated with the Consumer Packaged Goods Segment were $218,137 thousand, an increase of $42,599 thousand or 24% compared to the nine months ended September 30, 2022. The increase in intersegment eliminations was driven by increased intercompany sales to Company-owned retail stores primarily in Pennsylvania and Maryland. Consumer Packaged Goods revenues, net of intersegment eliminations, made up 25% of total revenues during the nine months ended September 30, 2023 as compared to 25% during the nine months ended September 30,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360" w:after="283"/>
        <w:jc w:val="left"/>
        <w:rPr>
          <w:rFonts w:ascii="Times New Roman" w:hAnsi="Times New Roman"/>
          <w:sz w:val="20"/>
        </w:rPr>
      </w:pPr>
      <w:r>
        <w:rPr>
          <w:rFonts w:ascii="Times New Roman" w:hAnsi="Times New Roman"/>
          <w:b/>
          <w:color w:val="000000"/>
          <w:sz w:val="20"/>
        </w:rPr>
        <w:t>Drivers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and nine months ended September 30, 2023, revenue was contributed from Consumer Packaged Goods and Retail sales across California, Colorado, Connecticut, Florida, Illinois, Maryland, Massachusetts, Minnesota, Nevada, New Jersey, New York, Ohio, Pennsylvania, Rhode Island and Virginia.</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 Company continued to focus on creating sustainable, profitable growth of the Company’s business within its current markets while considering strategic acquisition and partnership opportunities.</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the U.S. Internal Revenue Code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27"/>
        <w:gridCol w:w="196"/>
        <w:gridCol w:w="1141"/>
        <w:gridCol w:w="354"/>
        <w:gridCol w:w="1141"/>
        <w:gridCol w:w="146"/>
        <w:gridCol w:w="196"/>
        <w:gridCol w:w="1088"/>
        <w:gridCol w:w="308"/>
        <w:gridCol w:w="1208"/>
      </w:tblGrid>
      <w:tr>
        <w:trPr/>
        <w:tc>
          <w:tcPr>
            <w:tcW w:w="4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4427"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6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4427"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4427"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6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42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Before Non-Controlling Interest</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10,807</w:t>
            </w:r>
          </w:p>
        </w:tc>
        <w:tc>
          <w:tcPr>
            <w:tcW w:w="354"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10,148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8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33,902</w:t>
            </w:r>
          </w:p>
        </w:tc>
        <w:tc>
          <w:tcPr>
            <w:tcW w:w="308"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0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64,565</w:t>
            </w:r>
          </w:p>
        </w:tc>
      </w:tr>
      <w:tr>
        <w:trPr/>
        <w:tc>
          <w:tcPr>
            <w:tcW w:w="442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Income, net</w:t>
            </w:r>
          </w:p>
        </w:tc>
        <w:tc>
          <w:tcPr>
            <w:tcW w:w="19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(1,576)</w:t>
            </w:r>
          </w:p>
        </w:tc>
        <w:tc>
          <w:tcPr>
            <w:tcW w:w="354"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0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(4,838)</w:t>
            </w:r>
          </w:p>
        </w:tc>
        <w:tc>
          <w:tcPr>
            <w:tcW w:w="308" w:type="dxa"/>
            <w:tcBorders/>
            <w:shd w:fill="FFFFFF" w:val="clear"/>
            <w:vAlign w:val="center"/>
          </w:tcPr>
          <w:p>
            <w:pPr>
              <w:pStyle w:val="TableContents"/>
              <w:bidi w:val="0"/>
              <w:spacing w:before="0" w:after="283"/>
              <w:jc w:val="center"/>
              <w:rPr/>
            </w:pPr>
            <w:r>
              <w:rPr/>
              <w:t> </w:t>
            </w:r>
          </w:p>
        </w:tc>
        <w:tc>
          <w:tcPr>
            <w:tcW w:w="120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(2,609)</w:t>
            </w:r>
          </w:p>
        </w:tc>
      </w:tr>
      <w:tr>
        <w:trPr/>
        <w:tc>
          <w:tcPr>
            <w:tcW w:w="442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 net</w:t>
            </w:r>
          </w:p>
        </w:tc>
        <w:tc>
          <w:tcPr>
            <w:tcW w:w="19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4,639</w:t>
            </w:r>
          </w:p>
        </w:tc>
        <w:tc>
          <w:tcPr>
            <w:tcW w:w="354"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08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11,324</w:t>
            </w:r>
          </w:p>
        </w:tc>
        <w:tc>
          <w:tcPr>
            <w:tcW w:w="308" w:type="dxa"/>
            <w:tcBorders/>
            <w:shd w:fill="CFF0FC" w:val="clear"/>
            <w:vAlign w:val="center"/>
          </w:tcPr>
          <w:p>
            <w:pPr>
              <w:pStyle w:val="TableContents"/>
              <w:bidi w:val="0"/>
              <w:spacing w:before="0" w:after="283"/>
              <w:jc w:val="center"/>
              <w:rPr/>
            </w:pPr>
            <w:r>
              <w:rPr/>
              <w:t> </w:t>
            </w:r>
          </w:p>
        </w:tc>
        <w:tc>
          <w:tcPr>
            <w:tcW w:w="120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16,113</w:t>
            </w:r>
          </w:p>
        </w:tc>
      </w:tr>
      <w:tr>
        <w:trPr/>
        <w:tc>
          <w:tcPr>
            <w:tcW w:w="442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Provision For Income Taxes</w:t>
            </w:r>
          </w:p>
        </w:tc>
        <w:tc>
          <w:tcPr>
            <w:tcW w:w="19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34,526</w:t>
            </w:r>
          </w:p>
        </w:tc>
        <w:tc>
          <w:tcPr>
            <w:tcW w:w="354"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32,969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0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93,927</w:t>
            </w:r>
          </w:p>
        </w:tc>
        <w:tc>
          <w:tcPr>
            <w:tcW w:w="308" w:type="dxa"/>
            <w:tcBorders/>
            <w:shd w:fill="FFFFFF" w:val="clear"/>
            <w:vAlign w:val="center"/>
          </w:tcPr>
          <w:p>
            <w:pPr>
              <w:pStyle w:val="TableContents"/>
              <w:bidi w:val="0"/>
              <w:spacing w:before="0" w:after="283"/>
              <w:jc w:val="center"/>
              <w:rPr/>
            </w:pPr>
            <w:r>
              <w:rPr/>
              <w:t> </w:t>
            </w:r>
          </w:p>
        </w:tc>
        <w:tc>
          <w:tcPr>
            <w:tcW w:w="120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102,440</w:t>
            </w:r>
          </w:p>
        </w:tc>
      </w:tr>
      <w:tr>
        <w:trPr/>
        <w:tc>
          <w:tcPr>
            <w:tcW w:w="442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Other Income</w:t>
            </w:r>
          </w:p>
        </w:tc>
        <w:tc>
          <w:tcPr>
            <w:tcW w:w="19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631</w:t>
            </w:r>
          </w:p>
        </w:tc>
        <w:tc>
          <w:tcPr>
            <w:tcW w:w="354"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08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308" w:type="dxa"/>
            <w:tcBorders/>
            <w:shd w:fill="CFF0FC" w:val="clear"/>
            <w:vAlign w:val="center"/>
          </w:tcPr>
          <w:p>
            <w:pPr>
              <w:pStyle w:val="TableContents"/>
              <w:bidi w:val="0"/>
              <w:spacing w:before="0" w:after="283"/>
              <w:jc w:val="center"/>
              <w:rPr/>
            </w:pPr>
            <w:r>
              <w:rPr/>
              <w:t> </w:t>
            </w:r>
          </w:p>
        </w:tc>
        <w:tc>
          <w:tcPr>
            <w:tcW w:w="120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(14,933)</w:t>
            </w:r>
          </w:p>
        </w:tc>
      </w:tr>
      <w:tr>
        <w:trPr/>
        <w:tc>
          <w:tcPr>
            <w:tcW w:w="442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Depreciation and amortization</w:t>
            </w:r>
          </w:p>
        </w:tc>
        <w:tc>
          <w:tcPr>
            <w:tcW w:w="196" w:type="dxa"/>
            <w:tcBorders/>
            <w:shd w:fill="FFFFFF" w:val="cle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25,628</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73,363</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71,706</w:t>
            </w:r>
          </w:p>
        </w:tc>
      </w:tr>
      <w:tr>
        <w:trPr/>
        <w:tc>
          <w:tcPr>
            <w:tcW w:w="442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before interest, taxes, depreciation and</w:t>
              <w:br/>
              <w:t>   amortization (EBITDA) (non-GAAP measure)</w:t>
            </w:r>
          </w:p>
        </w:tc>
        <w:tc>
          <w:tcPr>
            <w:tcW w:w="19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74,655</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207,655</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237,282</w:t>
            </w:r>
          </w:p>
        </w:tc>
      </w:tr>
      <w:tr>
        <w:trPr/>
        <w:tc>
          <w:tcPr>
            <w:tcW w:w="442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non-cash</w:t>
            </w:r>
          </w:p>
        </w:tc>
        <w:tc>
          <w:tcPr>
            <w:tcW w:w="19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7,215</w:t>
            </w:r>
          </w:p>
        </w:tc>
        <w:tc>
          <w:tcPr>
            <w:tcW w:w="354"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7,878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08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20,835</w:t>
            </w:r>
          </w:p>
        </w:tc>
        <w:tc>
          <w:tcPr>
            <w:tcW w:w="308" w:type="dxa"/>
            <w:tcBorders/>
            <w:shd w:fill="FFFFFF" w:val="clear"/>
            <w:vAlign w:val="center"/>
          </w:tcPr>
          <w:p>
            <w:pPr>
              <w:pStyle w:val="TableContents"/>
              <w:bidi w:val="0"/>
              <w:spacing w:before="0" w:after="283"/>
              <w:jc w:val="center"/>
              <w:rPr/>
            </w:pPr>
            <w:r>
              <w:rPr/>
              <w:t> </w:t>
            </w:r>
          </w:p>
        </w:tc>
        <w:tc>
          <w:tcPr>
            <w:tcW w:w="120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19,362</w:t>
            </w:r>
          </w:p>
        </w:tc>
      </w:tr>
      <w:tr>
        <w:trPr/>
        <w:tc>
          <w:tcPr>
            <w:tcW w:w="442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Acquisition, transaction and other non-operating (income) costs</w:t>
            </w:r>
          </w:p>
        </w:tc>
        <w:tc>
          <w:tcPr>
            <w:tcW w:w="196" w:type="dxa"/>
            <w:tcBorders/>
            <w:shd w:fill="CFF0FC" w:val="cle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6,549</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(26,405)</w:t>
            </w:r>
          </w:p>
        </w:tc>
      </w:tr>
      <w:tr>
        <w:trPr/>
        <w:tc>
          <w:tcPr>
            <w:tcW w:w="442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 (non-GAAP measure)</w:t>
            </w:r>
          </w:p>
        </w:tc>
        <w:tc>
          <w:tcPr>
            <w:tcW w:w="1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82,989</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235,039</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230,239</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Financing Activities During the Period,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had total current liabilities of $149,882 thousand and $146,571 thousand, respectively, and cash and cash equivalents of $136,842 thousand and $177,682 thousand, respectively, to meet its current obligations. The Company had working capital of $170,299 thousand as of September 30, 2023, a decrease of $34,481 thousand as compared to December 31, 2022. This decrease in working capital was primarily driven by purchases of property, plant, and equipment as well as the repurchase of 2,500,000 Subordinate Voting Shares through the Company's share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an early-stage growth company, generating cash from revenues, deploying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Cash Used in Operating Activities, Investing and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provided by (used in) operating, investing and financing activities for the nine months ended September 30, 2023 and 2022, were as follows:</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3166"/>
        <w:gridCol w:w="196"/>
        <w:gridCol w:w="1241"/>
        <w:gridCol w:w="299"/>
        <w:gridCol w:w="1309"/>
      </w:tblGrid>
      <w:tr>
        <w:trPr/>
        <w:tc>
          <w:tcPr>
            <w:tcW w:w="3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8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r>
      <w:tr>
        <w:trPr/>
        <w:tc>
          <w:tcPr>
            <w:tcW w:w="31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r>
      <w:tr>
        <w:trPr/>
        <w:tc>
          <w:tcPr>
            <w:tcW w:w="316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28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Provided by Operating Activities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24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153,872</w:t>
            </w:r>
          </w:p>
        </w:tc>
        <w:tc>
          <w:tcPr>
            <w:tcW w:w="299"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30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88,220</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Investing Activities</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24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(187,444)</w:t>
            </w:r>
          </w:p>
        </w:tc>
        <w:tc>
          <w:tcPr>
            <w:tcW w:w="299"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30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(161,168)</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Financing Activities</w:t>
            </w:r>
          </w:p>
        </w:tc>
        <w:tc>
          <w:tcPr>
            <w:tcW w:w="196"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24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(7,268)</w:t>
            </w:r>
          </w:p>
        </w:tc>
        <w:tc>
          <w:tcPr>
            <w:tcW w:w="299"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c>
          <w:tcPr>
            <w:tcW w:w="130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(10,214)</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or Adoption of Accounting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Refer to the discussion of recently adopted/issued accounting pronouncements under Part I, Item 1, Notes to Unaudited Interim Condensed Consolidated Financial Statements, Note 1—Overview and Basis of Presentation.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 material changes to our critical accounting policies and estimates from the information provided in “Management’s Discussion and Analysis of Financial Condition and Results of Operations,” included in our 2022 Form 10-K.</w:t>
      </w:r>
      <w:r>
        <w:rPr>
          <w:rFonts w:ascii="Times New Roman" w:hAnsi="Times New Roman"/>
          <w:color w:val="000000"/>
          <w:sz w:val="20"/>
        </w:rPr>
        <w:t xml:space="preserve"> </w:t>
      </w:r>
    </w:p>
    <w:p>
      <w:pPr>
        <w:pStyle w:val="TextBody"/>
        <w:bidi w:val="0"/>
        <w:spacing w:before="360" w:after="283"/>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quant_and_qual_disclosure_market_risk"/>
      <w:bookmarkEnd w:id="10"/>
      <w:r>
        <w:rPr>
          <w:rFonts w:ascii="Times New Roman" w:hAnsi="Times New Roman"/>
          <w:b/>
          <w:color w:val="000000"/>
          <w:sz w:val="20"/>
        </w:rPr>
        <w:t>ITEM 3. QUANTITAVE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material changes to our market risk disclosures as set forth in Part II Item 7A of our 2022 Form 10-K.</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changes in the Company's internal control over financial reporting during the third quarter of 2023 that have materially affected, or are reasonably likely to materially affect, our internal control over financial reporting.</w:t>
      </w:r>
    </w:p>
    <w:p>
      <w:pPr>
        <w:pStyle w:val="TextBody"/>
        <w:bidi w:val="0"/>
        <w:spacing w:before="120" w:after="283"/>
        <w:jc w:val="left"/>
        <w:rPr>
          <w:rFonts w:ascii="Times New Roman" w:hAnsi="Times New Roman"/>
          <w:sz w:val="20"/>
        </w:rPr>
      </w:pPr>
      <w:r>
        <w:rPr>
          <w:rFonts w:ascii="Times New Roman" w:hAnsi="Times New Roman"/>
          <w:b/>
          <w:color w:val="000000"/>
          <w:sz w:val="20"/>
        </w:rPr>
        <w:t>Inherent Limitations on Control Systems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partii_item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r>
        <w:rPr>
          <w:rFonts w:ascii="Times New Roman" w:hAnsi="Times New Roman"/>
          <w:color w:val="000000"/>
          <w:sz w:val="20"/>
        </w:rPr>
        <w:t xml:space="preserve"> </w:t>
      </w:r>
    </w:p>
    <w:p>
      <w:pPr>
        <w:pStyle w:val="TextBody"/>
        <w:bidi w:val="0"/>
        <w:spacing w:before="120" w:after="283"/>
        <w:jc w:val="left"/>
        <w:rPr/>
      </w:pPr>
      <w:bookmarkStart w:id="13" w:name="partii_item1a_risk_factors"/>
      <w:bookmarkEnd w:id="13"/>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 discussion of our potential risks and uncertainties, see the information under the heading "Risk Factors" in our 2022 Form 10-K.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partii_item2_sale_of_unregistered_securi"/>
      <w:bookmarkEnd w:id="14"/>
      <w:r>
        <w:rPr>
          <w:rFonts w:ascii="Times New Roman" w:hAnsi="Times New Roman"/>
          <w:b/>
          <w:color w:val="000000"/>
          <w:sz w:val="20"/>
        </w:rPr>
        <w:t>ITEM 2. UNREGISTERED SALE OF EQUITY SECURITIES, AND ISSUER PURCHASE OF EQUITY SECURITIES</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Subordinate Voting Shares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July 10, 2023, the Company issued 792,424 Subordinate Voting Shares as contingent consideration associated with the Company's July 2021 acquisition of Dharma Pharmaceuticals, LLC.</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Multiple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Super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Issuer Purchases of Equity Securities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2"/>
        <w:gridCol w:w="1553"/>
        <w:gridCol w:w="196"/>
        <w:gridCol w:w="1273"/>
        <w:gridCol w:w="2718"/>
        <w:gridCol w:w="196"/>
        <w:gridCol w:w="2987"/>
      </w:tblGrid>
      <w:tr>
        <w:trPr/>
        <w:tc>
          <w:tcPr>
            <w:tcW w:w="128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(Dollars in thousands except per share amounts)</w:t>
            </w:r>
          </w:p>
        </w:tc>
      </w:tr>
      <w:tr>
        <w:trPr/>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Paid per Share</w:t>
            </w:r>
          </w:p>
        </w:tc>
        <w:tc>
          <w:tcPr>
            <w:tcW w:w="2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Total Number of Shares Purchased as Part of Publicly Announced Program</w:t>
            </w:r>
            <w:r>
              <w:rPr>
                <w:rFonts w:ascii="Times New Roman" w:hAnsi="Times New Roman"/>
                <w:color w:val="000000"/>
                <w:sz w:val="18"/>
              </w:rPr>
              <w:t> </w:t>
            </w:r>
            <w:r>
              <w:rPr>
                <w:rFonts w:ascii="Times New Roman" w:hAnsi="Times New Roman"/>
                <w:b/>
                <w:color w:val="000000"/>
                <w:sz w:val="12"/>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Approximate Dollar Value of Shares that may yet be Purchased Under the Program</w:t>
            </w:r>
          </w:p>
        </w:tc>
      </w:tr>
      <w:tr>
        <w:trPr/>
        <w:tc>
          <w:tcPr>
            <w:tcW w:w="1282" w:type="dxa"/>
            <w:tcBorders/>
            <w:shd w:fill="CFF0FC" w:val="clear"/>
            <w:vAlign w:val="center"/>
          </w:tcPr>
          <w:p>
            <w:pPr>
              <w:pStyle w:val="TableContents"/>
              <w:bidi w:val="0"/>
              <w:spacing w:before="0" w:after="283"/>
              <w:jc w:val="left"/>
              <w:rPr>
                <w:rFonts w:ascii="Times New Roman" w:hAnsi="Times New Roman"/>
                <w:b w:val="false"/>
                <w:color w:val="0D0D0D"/>
                <w:sz w:val="18"/>
              </w:rPr>
            </w:pPr>
            <w:r>
              <w:rPr>
                <w:rFonts w:ascii="Times New Roman" w:hAnsi="Times New Roman"/>
                <w:b w:val="false"/>
                <w:color w:val="0D0D0D"/>
                <w:sz w:val="18"/>
              </w:rPr>
              <w:t xml:space="preserve">July 1, 2023 through </w:t>
              <w:br/>
              <w:t>July 31, 2023</w:t>
            </w:r>
          </w:p>
        </w:tc>
        <w:tc>
          <w:tcPr>
            <w:tcW w:w="1553" w:type="dxa"/>
            <w:tcBorders/>
            <w:shd w:fill="CFF0FC" w:val="clear"/>
            <w:vAlign w:val="center"/>
          </w:tcPr>
          <w:p>
            <w:pPr>
              <w:pStyle w:val="TableContents"/>
              <w:bidi w:val="0"/>
              <w:spacing w:before="0" w:after="283"/>
              <w:jc w:val="right"/>
              <w:rPr>
                <w:color w:val="0D0D0D"/>
              </w:rPr>
            </w:pPr>
            <w:r>
              <w:rPr>
                <w:color w:val="0D0D0D"/>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D0D0D"/>
                <w:sz w:val="18"/>
              </w:rPr>
            </w:pPr>
            <w:r>
              <w:rPr>
                <w:rFonts w:ascii="Times New Roman" w:hAnsi="Times New Roman"/>
                <w:b w:val="false"/>
                <w:color w:val="0D0D0D"/>
                <w:sz w:val="18"/>
              </w:rPr>
              <w:t>$</w:t>
            </w:r>
          </w:p>
        </w:tc>
        <w:tc>
          <w:tcPr>
            <w:tcW w:w="1273" w:type="dxa"/>
            <w:tcBorders/>
            <w:shd w:fill="CFF0FC" w:val="clear"/>
            <w:vAlign w:val="center"/>
          </w:tcPr>
          <w:p>
            <w:pPr>
              <w:pStyle w:val="TableContents"/>
              <w:bidi w:val="0"/>
              <w:spacing w:before="0" w:after="283"/>
              <w:jc w:val="right"/>
              <w:rPr>
                <w:color w:val="0D0D0D"/>
              </w:rPr>
            </w:pPr>
            <w:r>
              <w:rPr>
                <w:color w:val="0D0D0D"/>
              </w:rPr>
              <w:t>—</w:t>
            </w:r>
          </w:p>
        </w:tc>
        <w:tc>
          <w:tcPr>
            <w:tcW w:w="2718" w:type="dxa"/>
            <w:tcBorders/>
            <w:shd w:fill="CFF0FC" w:val="clear"/>
            <w:vAlign w:val="center"/>
          </w:tcPr>
          <w:p>
            <w:pPr>
              <w:pStyle w:val="TableContents"/>
              <w:bidi w:val="0"/>
              <w:spacing w:before="0" w:after="283"/>
              <w:jc w:val="right"/>
              <w:rPr>
                <w:color w:val="0D0D0D"/>
              </w:rPr>
            </w:pPr>
            <w:r>
              <w:rPr>
                <w:color w:val="0D0D0D"/>
              </w:rPr>
              <w:t>—</w:t>
            </w:r>
          </w:p>
        </w:tc>
        <w:tc>
          <w:tcPr>
            <w:tcW w:w="196" w:type="dxa"/>
            <w:tcBorders/>
            <w:shd w:fill="CFF0FC" w:val="clear"/>
            <w:vAlign w:val="center"/>
          </w:tcPr>
          <w:p>
            <w:pPr>
              <w:pStyle w:val="TableContents"/>
              <w:bidi w:val="0"/>
              <w:spacing w:before="0" w:after="283"/>
              <w:jc w:val="center"/>
              <w:rPr>
                <w:rFonts w:ascii="Times New Roman" w:hAnsi="Times New Roman"/>
                <w:b w:val="false"/>
                <w:color w:val="0D0D0D"/>
                <w:sz w:val="18"/>
              </w:rPr>
            </w:pPr>
            <w:r>
              <w:rPr>
                <w:rFonts w:ascii="Times New Roman" w:hAnsi="Times New Roman"/>
                <w:b w:val="false"/>
                <w:color w:val="0D0D0D"/>
                <w:sz w:val="18"/>
              </w:rPr>
              <w:t>$</w:t>
            </w:r>
          </w:p>
        </w:tc>
        <w:tc>
          <w:tcPr>
            <w:tcW w:w="2987" w:type="dxa"/>
            <w:tcBorders/>
            <w:shd w:fill="CFF0FC" w:val="clear"/>
            <w:vAlign w:val="center"/>
          </w:tcPr>
          <w:p>
            <w:pPr>
              <w:pStyle w:val="TableContents"/>
              <w:bidi w:val="0"/>
              <w:spacing w:before="0" w:after="283"/>
              <w:jc w:val="right"/>
              <w:rPr>
                <w:color w:val="0D0D0D"/>
              </w:rPr>
            </w:pPr>
            <w:r>
              <w:rPr>
                <w:color w:val="0D0D0D"/>
              </w:rPr>
              <w:t>—</w:t>
            </w:r>
          </w:p>
        </w:tc>
      </w:tr>
      <w:tr>
        <w:trPr/>
        <w:tc>
          <w:tcPr>
            <w:tcW w:w="1282" w:type="dxa"/>
            <w:tcBorders/>
            <w:shd w:fill="FFFFFF" w:val="clear"/>
            <w:vAlign w:val="center"/>
          </w:tcPr>
          <w:p>
            <w:pPr>
              <w:pStyle w:val="TableContents"/>
              <w:bidi w:val="0"/>
              <w:spacing w:before="0" w:after="283"/>
              <w:jc w:val="left"/>
              <w:rPr>
                <w:rFonts w:ascii="Times New Roman" w:hAnsi="Times New Roman"/>
                <w:b w:val="false"/>
                <w:color w:val="0D0D0D"/>
                <w:sz w:val="18"/>
              </w:rPr>
            </w:pPr>
            <w:r>
              <w:rPr>
                <w:rFonts w:ascii="Times New Roman" w:hAnsi="Times New Roman"/>
                <w:b w:val="false"/>
                <w:color w:val="0D0D0D"/>
                <w:sz w:val="18"/>
              </w:rPr>
              <w:t xml:space="preserve">August 1, 2023 through </w:t>
              <w:br/>
              <w:t>August 31, 2023</w:t>
            </w:r>
          </w:p>
        </w:tc>
        <w:tc>
          <w:tcPr>
            <w:tcW w:w="1553" w:type="dxa"/>
            <w:tcBorders/>
            <w:shd w:fill="FFFFFF" w:val="clear"/>
            <w:vAlign w:val="center"/>
          </w:tcPr>
          <w:p>
            <w:pPr>
              <w:pStyle w:val="TableContents"/>
              <w:bidi w:val="0"/>
              <w:spacing w:before="0" w:after="283"/>
              <w:jc w:val="right"/>
              <w:rPr>
                <w:color w:val="0D0D0D"/>
              </w:rPr>
            </w:pPr>
            <w:r>
              <w:rPr>
                <w:color w:val="0D0D0D"/>
              </w:rPr>
              <w:t>—</w:t>
            </w:r>
          </w:p>
        </w:tc>
        <w:tc>
          <w:tcPr>
            <w:tcW w:w="196" w:type="dxa"/>
            <w:tcBorders/>
            <w:shd w:fill="FFFFFF" w:val="clear"/>
            <w:vAlign w:val="center"/>
          </w:tcPr>
          <w:p>
            <w:pPr>
              <w:pStyle w:val="TableContents"/>
              <w:bidi w:val="0"/>
              <w:spacing w:before="0" w:after="283"/>
              <w:jc w:val="center"/>
              <w:rPr/>
            </w:pPr>
            <w:r>
              <w:rPr/>
              <w:t> </w:t>
            </w:r>
          </w:p>
        </w:tc>
        <w:tc>
          <w:tcPr>
            <w:tcW w:w="1273" w:type="dxa"/>
            <w:tcBorders/>
            <w:shd w:fill="FFFFFF" w:val="clear"/>
            <w:vAlign w:val="center"/>
          </w:tcPr>
          <w:p>
            <w:pPr>
              <w:pStyle w:val="TableContents"/>
              <w:bidi w:val="0"/>
              <w:spacing w:before="0" w:after="283"/>
              <w:jc w:val="right"/>
              <w:rPr>
                <w:color w:val="0D0D0D"/>
              </w:rPr>
            </w:pPr>
            <w:r>
              <w:rPr>
                <w:color w:val="0D0D0D"/>
              </w:rPr>
              <w:t>—</w:t>
            </w:r>
          </w:p>
        </w:tc>
        <w:tc>
          <w:tcPr>
            <w:tcW w:w="2718" w:type="dxa"/>
            <w:tcBorders/>
            <w:shd w:fill="FFFFFF" w:val="clear"/>
            <w:vAlign w:val="center"/>
          </w:tcPr>
          <w:p>
            <w:pPr>
              <w:pStyle w:val="TableContents"/>
              <w:bidi w:val="0"/>
              <w:spacing w:before="0" w:after="283"/>
              <w:jc w:val="right"/>
              <w:rPr>
                <w:color w:val="0D0D0D"/>
              </w:rPr>
            </w:pPr>
            <w:r>
              <w:rPr>
                <w:color w:val="0D0D0D"/>
              </w:rPr>
              <w:t>—</w:t>
            </w:r>
          </w:p>
        </w:tc>
        <w:tc>
          <w:tcPr>
            <w:tcW w:w="196" w:type="dxa"/>
            <w:tcBorders/>
            <w:shd w:fill="FFFFFF" w:val="clear"/>
            <w:vAlign w:val="center"/>
          </w:tcPr>
          <w:p>
            <w:pPr>
              <w:pStyle w:val="TableContents"/>
              <w:bidi w:val="0"/>
              <w:spacing w:before="0" w:after="283"/>
              <w:jc w:val="center"/>
              <w:rPr/>
            </w:pPr>
            <w:r>
              <w:rPr/>
              <w:t> </w:t>
            </w:r>
          </w:p>
        </w:tc>
        <w:tc>
          <w:tcPr>
            <w:tcW w:w="2987" w:type="dxa"/>
            <w:tcBorders/>
            <w:shd w:fill="FFFFFF" w:val="clear"/>
            <w:vAlign w:val="center"/>
          </w:tcPr>
          <w:p>
            <w:pPr>
              <w:pStyle w:val="TableContents"/>
              <w:bidi w:val="0"/>
              <w:spacing w:before="0" w:after="283"/>
              <w:jc w:val="right"/>
              <w:rPr>
                <w:color w:val="0D0D0D"/>
              </w:rPr>
            </w:pPr>
            <w:r>
              <w:rPr>
                <w:color w:val="0D0D0D"/>
              </w:rPr>
              <w:t>—</w:t>
            </w:r>
          </w:p>
        </w:tc>
      </w:tr>
      <w:tr>
        <w:trPr/>
        <w:tc>
          <w:tcPr>
            <w:tcW w:w="1282" w:type="dxa"/>
            <w:tcBorders/>
            <w:shd w:fill="CFF0FC" w:val="clear"/>
            <w:vAlign w:val="center"/>
          </w:tcPr>
          <w:p>
            <w:pPr>
              <w:pStyle w:val="TableContents"/>
              <w:bidi w:val="0"/>
              <w:spacing w:before="0" w:after="283"/>
              <w:jc w:val="left"/>
              <w:rPr>
                <w:rFonts w:ascii="Times New Roman" w:hAnsi="Times New Roman"/>
                <w:b w:val="false"/>
                <w:color w:val="0D0D0D"/>
                <w:sz w:val="18"/>
              </w:rPr>
            </w:pPr>
            <w:r>
              <w:rPr>
                <w:rFonts w:ascii="Times New Roman" w:hAnsi="Times New Roman"/>
                <w:b w:val="false"/>
                <w:color w:val="0D0D0D"/>
                <w:sz w:val="18"/>
              </w:rPr>
              <w:t xml:space="preserve">September 1, 2023 through </w:t>
              <w:br/>
              <w:t>September 30, 2023</w:t>
            </w:r>
          </w:p>
        </w:tc>
        <w:tc>
          <w:tcPr>
            <w:tcW w:w="1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D0D0D"/>
                <w:sz w:val="18"/>
              </w:rPr>
            </w:pPr>
            <w:r>
              <w:rPr>
                <w:rFonts w:ascii="Times New Roman" w:hAnsi="Times New Roman"/>
                <w:b w:val="false"/>
                <w:color w:val="0D0D0D"/>
                <w:sz w:val="18"/>
              </w:rPr>
              <w:t>2,500,000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D0D0D"/>
                <w:sz w:val="18"/>
              </w:rPr>
            </w:pPr>
            <w:r>
              <w:rPr>
                <w:rFonts w:ascii="Times New Roman" w:hAnsi="Times New Roman"/>
                <w:b w:val="false"/>
                <w:color w:val="0D0D0D"/>
                <w:sz w:val="18"/>
              </w:rPr>
              <w:t>9.96</w:t>
            </w:r>
          </w:p>
        </w:tc>
        <w:tc>
          <w:tcPr>
            <w:tcW w:w="2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D0D0D"/>
                <w:sz w:val="18"/>
              </w:rPr>
            </w:pPr>
            <w:r>
              <w:rPr>
                <w:rFonts w:ascii="Times New Roman" w:hAnsi="Times New Roman"/>
                <w:b w:val="false"/>
                <w:color w:val="0D0D0D"/>
                <w:sz w:val="18"/>
              </w:rPr>
              <w:t>2,500,000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D0D0D"/>
                <w:sz w:val="18"/>
              </w:rPr>
            </w:pPr>
            <w:r>
              <w:rPr>
                <w:rFonts w:ascii="Times New Roman" w:hAnsi="Times New Roman"/>
                <w:b w:val="false"/>
                <w:color w:val="0D0D0D"/>
                <w:sz w:val="18"/>
              </w:rPr>
              <w:t>25,110</w:t>
            </w:r>
          </w:p>
        </w:tc>
      </w:tr>
      <w:tr>
        <w:trPr/>
        <w:tc>
          <w:tcPr>
            <w:tcW w:w="1282" w:type="dxa"/>
            <w:tcBorders/>
            <w:shd w:fill="FFFFFF" w:val="clear"/>
            <w:vAlign w:val="center"/>
          </w:tcPr>
          <w:p>
            <w:pPr>
              <w:pStyle w:val="TableContents"/>
              <w:bidi w:val="0"/>
              <w:spacing w:before="0" w:after="283"/>
              <w:jc w:val="left"/>
              <w:rPr/>
            </w:pPr>
            <w:r>
              <w:rPr/>
              <w:t> </w:t>
            </w:r>
          </w:p>
        </w:tc>
        <w:tc>
          <w:tcPr>
            <w:tcW w:w="1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8"/>
              </w:rPr>
            </w:pPr>
            <w:r>
              <w:rPr>
                <w:rFonts w:ascii="Times New Roman" w:hAnsi="Times New Roman"/>
                <w:b/>
                <w:color w:val="0D0D0D"/>
                <w:sz w:val="18"/>
              </w:rPr>
              <w:t>2,500,000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8"/>
              </w:rPr>
            </w:pPr>
            <w:r>
              <w:rPr>
                <w:rFonts w:ascii="Times New Roman" w:hAnsi="Times New Roman"/>
                <w:b/>
                <w:color w:val="0D0D0D"/>
                <w:sz w:val="18"/>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8"/>
              </w:rPr>
            </w:pPr>
            <w:r>
              <w:rPr>
                <w:rFonts w:ascii="Times New Roman" w:hAnsi="Times New Roman"/>
                <w:b/>
                <w:color w:val="0D0D0D"/>
                <w:sz w:val="18"/>
              </w:rPr>
              <w:t>9.96</w:t>
            </w:r>
          </w:p>
        </w:tc>
        <w:tc>
          <w:tcPr>
            <w:tcW w:w="2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8"/>
              </w:rPr>
            </w:pPr>
            <w:r>
              <w:rPr>
                <w:rFonts w:ascii="Times New Roman" w:hAnsi="Times New Roman"/>
                <w:b/>
                <w:color w:val="0D0D0D"/>
                <w:sz w:val="18"/>
              </w:rPr>
              <w:t>2,500,000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8"/>
              </w:rPr>
            </w:pPr>
            <w:r>
              <w:rPr>
                <w:rFonts w:ascii="Times New Roman" w:hAnsi="Times New Roman"/>
                <w:b/>
                <w:color w:val="0D0D0D"/>
                <w:sz w:val="18"/>
              </w:rPr>
              <w:t>$</w:t>
            </w:r>
          </w:p>
        </w:tc>
        <w:tc>
          <w:tcPr>
            <w:tcW w:w="2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8"/>
              </w:rPr>
            </w:pPr>
            <w:r>
              <w:rPr>
                <w:rFonts w:ascii="Times New Roman" w:hAnsi="Times New Roman"/>
                <w:b/>
                <w:color w:val="0D0D0D"/>
                <w:sz w:val="18"/>
              </w:rPr>
              <w:t>25,110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On September 5, 2023, the Company announced that its Board of Directors authorized the repurchase of up to 5%, or 10,486,951, of its Subordinate Voting Shares, over a 12-month period at a cost of up to $50,000 thousand. During the month of September 2023, the Company repurchased 2,500,000 Subordinate Voting Shares at an average price of $9.96 per share.</w:t>
      </w:r>
    </w:p>
    <w:p>
      <w:pPr>
        <w:pStyle w:val="TextBody"/>
        <w:bidi w:val="0"/>
        <w:spacing w:before="360" w:after="283"/>
        <w:jc w:val="left"/>
        <w:rPr>
          <w:rFonts w:ascii="Times New Roman" w:hAnsi="Times New Roman"/>
          <w:sz w:val="20"/>
        </w:rPr>
      </w:pPr>
      <w:bookmarkStart w:id="15" w:name="partii_item3_defaults_upon_senior_securi"/>
      <w:bookmarkEnd w:id="15"/>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6" w:name="partii_item4_mine_safety_disclosure"/>
      <w:bookmarkEnd w:id="16"/>
      <w:r>
        <w:rPr>
          <w:rFonts w:ascii="Times New Roman" w:hAnsi="Times New Roman"/>
          <w:b/>
          <w:color w:val="000000"/>
          <w:sz w:val="20"/>
        </w:rPr>
        <w:t>ITEM 4. MINE SAFETY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7" w:name="partii_item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partii_item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exhibits are filed with this report: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9415"/>
      </w:tblGrid>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31.1</w:t>
            </w:r>
          </w:p>
        </w:tc>
        <w:tc>
          <w:tcPr>
            <w:tcW w:w="9415" w:type="dxa"/>
            <w:tcBorders/>
            <w:vAlign w:val="center"/>
          </w:tcPr>
          <w:p>
            <w:pPr>
              <w:pStyle w:val="TableContents"/>
              <w:bidi w:val="0"/>
              <w:spacing w:before="0" w:after="283"/>
              <w:jc w:val="left"/>
              <w:rPr/>
            </w:pPr>
            <w:hyperlink w:anchor="gtbif-ex31_1.htm">
              <w:r>
                <w:rPr>
                  <w:rStyle w:val="InternetLink"/>
                  <w:rFonts w:ascii="Times New Roman" w:hAnsi="Times New Roman"/>
                  <w:b w:val="false"/>
                  <w:color w:val="0000FF"/>
                  <w:sz w:val="20"/>
                  <w:u w:val="single"/>
                </w:rPr>
                <w:t>CERTIFICATE OF CHIEF EXECUTIVE OFFICER</w:t>
              </w:r>
            </w:hyperlink>
            <w:hyperlink w:anchor="gtbif-ex31_1.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31.2</w:t>
            </w:r>
          </w:p>
        </w:tc>
        <w:tc>
          <w:tcPr>
            <w:tcW w:w="9415" w:type="dxa"/>
            <w:tcBorders/>
            <w:vAlign w:val="center"/>
          </w:tcPr>
          <w:p>
            <w:pPr>
              <w:pStyle w:val="TableContents"/>
              <w:bidi w:val="0"/>
              <w:spacing w:before="0" w:after="283"/>
              <w:jc w:val="left"/>
              <w:rPr/>
            </w:pPr>
            <w:hyperlink w:anchor="gtbif-ex31_2.htm">
              <w:r>
                <w:rPr>
                  <w:rStyle w:val="InternetLink"/>
                  <w:rFonts w:ascii="Times New Roman" w:hAnsi="Times New Roman"/>
                  <w:b w:val="false"/>
                  <w:color w:val="0000FF"/>
                  <w:sz w:val="20"/>
                  <w:u w:val="single"/>
                </w:rPr>
                <w:t>CERTIFICATE OF CHIEF FINANCIAL OFFICER</w:t>
              </w:r>
            </w:hyperlink>
            <w:hyperlink w:anchor="gtbif-ex31_2.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32.1</w:t>
            </w:r>
          </w:p>
        </w:tc>
        <w:tc>
          <w:tcPr>
            <w:tcW w:w="9415" w:type="dxa"/>
            <w:tcBorders/>
            <w:vAlign w:val="center"/>
          </w:tcPr>
          <w:p>
            <w:pPr>
              <w:pStyle w:val="TableContents"/>
              <w:bidi w:val="0"/>
              <w:spacing w:before="0" w:after="283"/>
              <w:jc w:val="left"/>
              <w:rPr/>
            </w:pPr>
            <w:hyperlink w:anchor="gtbif-ex32_1.htm">
              <w:r>
                <w:rPr>
                  <w:rStyle w:val="InternetLink"/>
                  <w:rFonts w:ascii="Times New Roman" w:hAnsi="Times New Roman"/>
                  <w:b w:val="false"/>
                  <w:color w:val="0000FF"/>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32.2</w:t>
            </w:r>
          </w:p>
        </w:tc>
        <w:tc>
          <w:tcPr>
            <w:tcW w:w="9415" w:type="dxa"/>
            <w:tcBorders/>
            <w:vAlign w:val="center"/>
          </w:tcPr>
          <w:p>
            <w:pPr>
              <w:pStyle w:val="TableContents"/>
              <w:bidi w:val="0"/>
              <w:spacing w:before="0" w:after="283"/>
              <w:jc w:val="left"/>
              <w:rPr/>
            </w:pPr>
            <w:hyperlink w:anchor="gtbif-ex32_2.htm">
              <w:r>
                <w:rPr>
                  <w:rStyle w:val="InternetLink"/>
                  <w:rFonts w:ascii="Times New Roman" w:hAnsi="Times New Roman"/>
                  <w:b w:val="false"/>
                  <w:color w:val="0000FF"/>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color w:val="0000FF"/>
                  <w:sz w:val="20"/>
                </w:rPr>
                <w:t xml:space="preserve"> </w:t>
              </w:r>
            </w:hyperlink>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941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941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941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941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941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90" w:type="dxa"/>
            <w:tcBorders/>
            <w:vAlign w:val="center"/>
          </w:tcPr>
          <w:p>
            <w:pPr>
              <w:pStyle w:val="TableContents"/>
              <w:bidi w:val="0"/>
              <w:spacing w:before="0" w:after="283"/>
              <w:jc w:val="left"/>
              <w:rPr>
                <w:sz w:val="4"/>
                <w:szCs w:val="4"/>
              </w:rPr>
            </w:pPr>
            <w:r>
              <w:rPr>
                <w:sz w:val="4"/>
                <w:szCs w:val="4"/>
              </w:rPr>
            </w:r>
          </w:p>
        </w:tc>
        <w:tc>
          <w:tcPr>
            <w:tcW w:w="9415"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941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90" w:type="dxa"/>
            <w:tcBorders/>
            <w:vAlign w:val="center"/>
          </w:tcPr>
          <w:p>
            <w:pPr>
              <w:pStyle w:val="TableContents"/>
              <w:bidi w:val="0"/>
              <w:spacing w:before="0" w:after="283"/>
              <w:jc w:val="left"/>
              <w:rPr/>
            </w:pPr>
            <w:r>
              <w:rPr/>
              <w:t> </w:t>
            </w:r>
          </w:p>
        </w:tc>
        <w:tc>
          <w:tcPr>
            <w:tcW w:w="9415"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9415"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Cover Page Interactive Data File (embedded with Inline XBRL File)</w:t>
            </w:r>
            <w:r>
              <w:rPr>
                <w:rFonts w:ascii="Times New Roman" w:hAnsi="Times New Roman"/>
                <w:color w:val="000000"/>
                <w:sz w:val="20"/>
              </w:rPr>
              <w:t xml:space="preserve"> </w:t>
            </w:r>
          </w:p>
        </w:tc>
      </w:tr>
    </w:tbl>
    <w:p>
      <w:pPr>
        <w:pStyle w:val="TextBody"/>
        <w:bidi w:val="0"/>
        <w:spacing w:before="12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requirements of the Securities Exchange Act of 1934, the Company has duly caused this report to be signed on its behalf by the undersigned thereunto duly authorized.</w:t>
      </w:r>
      <w:r>
        <w:rPr>
          <w:rFonts w:ascii="Times New Roman" w:hAnsi="Times New Roman"/>
          <w:color w:val="000000"/>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/s/Benjamin Kovler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 Benjamin Kovler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Executive Officer</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9, 2023</w:t>
      </w:r>
      <w:r>
        <w:rPr>
          <w:rFonts w:ascii="Times New Roman" w:hAnsi="Times New Roman"/>
          <w:color w:val="000000"/>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/s/Mathew Faulkner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 Mathew Faulkner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Financial Officer</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9, 2023</w:t>
      </w:r>
      <w:r>
        <w:rPr>
          <w:rFonts w:ascii="Times New Roman" w:hAnsi="Times New Roman"/>
          <w:color w:val="000000"/>
          <w:sz w:val="20"/>
        </w:rPr>
        <w:t xml:space="preserve"> </w:t>
      </w:r>
    </w:p>
    <w:p>
      <w:pPr>
        <w:pStyle w:val="TextBody"/>
        <w:bidi w:val="0"/>
        <w:spacing w:before="18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0" w:name="gtbif-ex31_1.htm"/>
      <w:bookmarkStart w:id="21" w:name="ksgtbifex31_1"/>
      <w:bookmarkEnd w:id="20"/>
      <w:bookmarkEnd w:id="2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Benjamin Kovler,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/s/Benjamin Kovler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 Benjamin Kovler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Executive Officer</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9, 2023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gtbif-ex31_2.htm"/>
      <w:bookmarkStart w:id="23" w:name="ksgtbifex31_2"/>
      <w:bookmarkEnd w:id="22"/>
      <w:bookmarkEnd w:id="2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Mathew Faulkner,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/s/Mathew Faulkner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 Mathew Faulkner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Financial Officer</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9, 2023</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4" w:name="gtbif-ex32_1.htm"/>
      <w:bookmarkStart w:id="25" w:name="ksgtbifex32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of Green Thumb Industries Inc. (the “Company”) on Form 10-Q for the three and nine months ended September 30, 2023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color w:val="000000"/>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/s/Benjamin Kovler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 Benjamin Kovler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Executive Officer</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9, 2023</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6" w:name="gtbif-ex32_2.htm"/>
      <w:bookmarkStart w:id="27" w:name="ksgtbifex32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of Green Thumb Industries Inc. (the “Company”) on Form 10-Q for the three and nine months ended September 30, 2023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color w:val="000000"/>
          <w:sz w:val="20"/>
        </w:rPr>
        <w:t xml:space="preserve">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pPr>
            <w:r>
              <w:rPr/>
              <w:t> </w:t>
            </w:r>
          </w:p>
        </w:tc>
      </w:tr>
      <w:tr>
        <w:trPr/>
        <w:tc>
          <w:tcPr>
            <w:tcW w:w="32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/s/Mathew Faulkner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 Mathew Faulkner</w:t>
            </w:r>
          </w:p>
        </w:tc>
      </w:tr>
      <w:tr>
        <w:trPr/>
        <w:tc>
          <w:tcPr>
            <w:tcW w:w="32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Financial Officer</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9, 2023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17404</Words>
  <Characters>98785</Characters>
  <CharactersWithSpaces>116577</CharactersWithSpaces>
  <Paragraphs>5258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