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84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846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Knudson Julie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Green Thumb Industries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GTII/GTBIF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325 WEST HURON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412</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CHICAGO</w:t>
            </w:r>
          </w:p>
        </w:tc>
        <w:tc>
          <w:tcPr>
            <w:tcW w:w="1200" w:type="dxa"/>
            <w:vAlign w:val="bottom"/>
          </w:tcPr>
          <w:p>
            <w:pPr>
              <w:ind w:left="140"/>
              <w:spacing w:after="0"/>
              <w:rPr>
                <w:sz w:val="20"/>
                <w:szCs w:val="20"/>
                <w:color w:val="auto"/>
              </w:rPr>
            </w:pPr>
            <w:r>
              <w:rPr>
                <w:rFonts w:ascii="Arial" w:cs="Arial" w:eastAsia="Arial" w:hAnsi="Arial"/>
                <w:sz w:val="18"/>
                <w:szCs w:val="18"/>
                <w:color w:val="0000FF"/>
              </w:rPr>
              <w:t>IL</w:t>
            </w:r>
          </w:p>
        </w:tc>
        <w:tc>
          <w:tcPr>
            <w:tcW w:w="1060" w:type="dxa"/>
            <w:vAlign w:val="bottom"/>
          </w:tcPr>
          <w:p>
            <w:pPr>
              <w:ind w:left="20"/>
              <w:spacing w:after="0"/>
              <w:rPr>
                <w:sz w:val="20"/>
                <w:szCs w:val="20"/>
                <w:color w:val="auto"/>
              </w:rPr>
            </w:pPr>
            <w:r>
              <w:rPr>
                <w:rFonts w:ascii="Arial" w:cs="Arial" w:eastAsia="Arial" w:hAnsi="Arial"/>
                <w:sz w:val="18"/>
                <w:szCs w:val="18"/>
                <w:color w:val="0000FF"/>
              </w:rPr>
              <w:t>60654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6"/>
        <w:spacing w:after="0"/>
        <w:rPr>
          <w:sz w:val="20"/>
          <w:szCs w:val="20"/>
          <w:color w:val="auto"/>
        </w:rPr>
      </w:pPr>
      <w:r>
        <w:rPr>
          <w:rFonts w:ascii="Arial" w:cs="Arial" w:eastAsia="Arial" w:hAnsi="Arial"/>
          <w:sz w:val="18"/>
          <w:szCs w:val="18"/>
          <w:color w:val="0000FF"/>
        </w:rPr>
        <w:t>Chief People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824"/>
              <w:spacing w:after="0"/>
              <w:rPr>
                <w:sz w:val="20"/>
                <w:szCs w:val="20"/>
                <w:color w:val="auto"/>
              </w:rPr>
            </w:pPr>
            <w:r>
              <w:rPr>
                <w:rFonts w:ascii="Arial" w:cs="Arial" w:eastAsia="Arial" w:hAnsi="Arial"/>
                <w:sz w:val="18"/>
                <w:szCs w:val="18"/>
                <w:color w:val="0000FF"/>
              </w:rPr>
              <w:t>50,000</w:t>
            </w:r>
          </w:p>
        </w:tc>
        <w:tc>
          <w:tcPr>
            <w:tcW w:w="780" w:type="dxa"/>
            <w:vAlign w:val="bottom"/>
          </w:tcPr>
          <w:p>
            <w:pPr>
              <w:ind w:left="50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5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540" w:type="dxa"/>
            <w:vAlign w:val="bottom"/>
            <w:tcBorders>
              <w:top w:val="single" w:sz="8" w:color="2C2C2C"/>
            </w:tcBorders>
            <w:gridSpan w:val="4"/>
          </w:tcPr>
          <w:p>
            <w:pPr>
              <w:ind w:left="1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8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7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Options</w:t>
            </w:r>
          </w:p>
        </w:tc>
        <w:tc>
          <w:tcPr>
            <w:tcW w:w="1500" w:type="dxa"/>
            <w:vAlign w:val="bottom"/>
            <w:tcBorders>
              <w:bottom w:val="single" w:sz="8" w:color="2C2C2C"/>
            </w:tcBorders>
            <w:gridSpan w:val="2"/>
          </w:tcPr>
          <w:p>
            <w:pPr>
              <w:ind w:left="680"/>
              <w:spacing w:after="0"/>
              <w:rPr>
                <w:sz w:val="20"/>
                <w:szCs w:val="20"/>
                <w:color w:val="auto"/>
              </w:rPr>
            </w:pPr>
            <w:r>
              <w:rPr>
                <w:rFonts w:ascii="Arial" w:cs="Arial" w:eastAsia="Arial" w:hAnsi="Arial"/>
                <w:sz w:val="14"/>
                <w:szCs w:val="14"/>
                <w:color w:val="0000FF"/>
                <w:w w:val="90"/>
              </w:rPr>
              <w:t>08/30/2020</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right"/>
              <w:ind w:right="32"/>
              <w:spacing w:after="0"/>
              <w:rPr>
                <w:sz w:val="20"/>
                <w:szCs w:val="20"/>
                <w:color w:val="auto"/>
              </w:rPr>
            </w:pPr>
            <w:r>
              <w:rPr>
                <w:rFonts w:ascii="Arial" w:cs="Arial" w:eastAsia="Arial" w:hAnsi="Arial"/>
                <w:sz w:val="14"/>
                <w:szCs w:val="14"/>
                <w:color w:val="0000FF"/>
                <w:w w:val="96"/>
              </w:rPr>
              <w:t>08/30/2024</w:t>
            </w:r>
          </w:p>
        </w:tc>
        <w:tc>
          <w:tcPr>
            <w:tcW w:w="20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Subordinate Voting Shares</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3"/>
              </w:rPr>
              <w:t>50,000</w:t>
            </w:r>
            <w:r>
              <w:rPr>
                <w:rFonts w:ascii="Arial" w:cs="Arial" w:eastAsia="Arial" w:hAnsi="Arial"/>
                <w:sz w:val="22"/>
                <w:szCs w:val="22"/>
                <w:color w:val="008000"/>
                <w:w w:val="93"/>
                <w:vertAlign w:val="superscript"/>
              </w:rPr>
              <w:t>(1)</w:t>
            </w: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11.55</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was granted on 8/30/2019 and vests in one third increments annually over a three-year period beginning on the first anniversary of the grant date.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Denominated in and reported in Canadian Dollars.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/s/ Kathryn A. Lloyd,</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02/18/2020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40"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The undersigned hereby constitutes and appoints each of Beth E. Burk, Bret Kravitz and Kathryn A. Lloyd, signing singly, the undersigned’s true and lawful attorney-in-fact to:</w:t>
      </w:r>
    </w:p>
    <w:p>
      <w:pPr>
        <w:spacing w:after="0" w:line="52" w:lineRule="exact"/>
        <w:rPr>
          <w:sz w:val="20"/>
          <w:szCs w:val="20"/>
          <w:color w:val="auto"/>
        </w:rPr>
      </w:pPr>
    </w:p>
    <w:p>
      <w:pPr>
        <w:ind w:left="660" w:right="80" w:hanging="328"/>
        <w:spacing w:after="0" w:line="236" w:lineRule="auto"/>
        <w:tabs>
          <w:tab w:leader="none" w:pos="687" w:val="left"/>
        </w:tabs>
        <w:numPr>
          <w:ilvl w:val="0"/>
          <w:numId w:val="6"/>
        </w:numPr>
        <w:rPr>
          <w:rFonts w:ascii="Arial" w:cs="Arial" w:eastAsia="Arial" w:hAnsi="Arial"/>
          <w:sz w:val="22"/>
          <w:szCs w:val="22"/>
          <w:color w:val="auto"/>
        </w:rPr>
      </w:pPr>
      <w:r>
        <w:rPr>
          <w:rFonts w:ascii="Arial" w:cs="Arial" w:eastAsia="Arial" w:hAnsi="Arial"/>
          <w:sz w:val="22"/>
          <w:szCs w:val="22"/>
          <w:color w:val="auto"/>
        </w:rPr>
        <w:t>prepare, execute, deliver and file for and on behalf of the undersigned, the Uniform Application for Access codes to file on EDGAR (“Form ID”) with the Securities and Exchange Commission (“SEC”) and receive for and on behalf of the undersigned any notice given to the undersigned in connection with the Form ID;</w:t>
      </w:r>
    </w:p>
    <w:p>
      <w:pPr>
        <w:spacing w:after="0" w:line="1" w:lineRule="exact"/>
        <w:rPr>
          <w:rFonts w:ascii="Arial" w:cs="Arial" w:eastAsia="Arial" w:hAnsi="Arial"/>
          <w:sz w:val="22"/>
          <w:szCs w:val="22"/>
          <w:color w:val="auto"/>
        </w:rPr>
      </w:pPr>
    </w:p>
    <w:p>
      <w:pPr>
        <w:ind w:left="660" w:right="80" w:hanging="328"/>
        <w:spacing w:after="0" w:line="267" w:lineRule="auto"/>
        <w:tabs>
          <w:tab w:leader="none" w:pos="633" w:val="left"/>
        </w:tabs>
        <w:numPr>
          <w:ilvl w:val="0"/>
          <w:numId w:val="6"/>
        </w:numPr>
        <w:rPr>
          <w:rFonts w:ascii="Arial" w:cs="Arial" w:eastAsia="Arial" w:hAnsi="Arial"/>
          <w:sz w:val="19"/>
          <w:szCs w:val="19"/>
          <w:color w:val="auto"/>
        </w:rPr>
      </w:pPr>
      <w:r>
        <w:rPr>
          <w:rFonts w:ascii="Arial" w:cs="Arial" w:eastAsia="Arial" w:hAnsi="Arial"/>
          <w:sz w:val="19"/>
          <w:szCs w:val="19"/>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Green Thumb Industries, Inc., including but not limited to Forms 3, 4 and 5; and</w:t>
      </w:r>
    </w:p>
    <w:p>
      <w:pPr>
        <w:ind w:left="660" w:hanging="328"/>
        <w:spacing w:after="0" w:line="280" w:lineRule="auto"/>
        <w:tabs>
          <w:tab w:leader="none" w:pos="633"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6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This Power of Attorney shall be effective on the date set forth below and shall continue in full force and effect until the date on which the undersigned shall cease to be subject to Section 16 of the Exchanged act and the rules and regulations thereunder or until such earlier date on which written notification executed by the undersigned is filed with the SEC expressly revoking this Power of Attorney.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3rd day of February,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Julie Knudson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Julie Knudson</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63539" TargetMode="External"/><Relationship Id="rId12"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2020-02-18T14:31:13Z</dcterms:created>
  <dcterms:modified xsi:type="dcterms:W3CDTF">2020-02-18T14:31:13Z</dcterms:modified>
</cp:coreProperties>
</file>