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right="40" w:hanging="424"/>
        <w:spacing w:after="0" w:line="25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2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137795</wp:posOffset>
            </wp:positionV>
            <wp:extent cx="4029075"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000-56132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774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3"/>
              </w:rPr>
              <w:t>British Columbia</w:t>
            </w:r>
          </w:p>
        </w:tc>
        <w:tc>
          <w:tcPr>
            <w:tcW w:w="1420" w:type="dxa"/>
            <w:vAlign w:val="bottom"/>
          </w:tcPr>
          <w:p>
            <w:pPr>
              <w:jc w:val="right"/>
              <w:ind w:right="301"/>
              <w:spacing w:after="0"/>
              <w:rPr>
                <w:sz w:val="20"/>
                <w:szCs w:val="20"/>
                <w:color w:val="auto"/>
              </w:rPr>
            </w:pPr>
            <w:r>
              <w:rPr>
                <w:rFonts w:ascii="Arial" w:cs="Arial" w:eastAsia="Arial" w:hAnsi="Arial"/>
                <w:sz w:val="18"/>
                <w:szCs w:val="18"/>
                <w:b w:val="1"/>
                <w:bCs w:val="1"/>
                <w:color w:val="auto"/>
              </w:rPr>
              <w:t>98-1437430</w:t>
            </w:r>
          </w:p>
        </w:tc>
        <w:tc>
          <w:tcPr>
            <w:tcW w:w="640" w:type="dxa"/>
            <w:vAlign w:val="bottom"/>
          </w:tcPr>
          <w:p>
            <w:pPr>
              <w:spacing w:after="0"/>
              <w:rPr>
                <w:sz w:val="18"/>
                <w:szCs w:val="18"/>
                <w:color w:val="auto"/>
              </w:rPr>
            </w:pPr>
          </w:p>
        </w:tc>
      </w:tr>
      <w:tr>
        <w:trPr>
          <w:trHeight w:val="149"/>
        </w:trPr>
        <w:tc>
          <w:tcPr>
            <w:tcW w:w="7740" w:type="dxa"/>
            <w:vAlign w:val="bottom"/>
            <w:gridSpan w:val="3"/>
          </w:tcPr>
          <w:p>
            <w:pPr>
              <w:jc w:val="center"/>
              <w:ind w:right="2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2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640" w:type="dxa"/>
            <w:vAlign w:val="bottom"/>
          </w:tcPr>
          <w:p>
            <w:pPr>
              <w:spacing w:after="0"/>
              <w:rPr>
                <w:sz w:val="12"/>
                <w:szCs w:val="12"/>
                <w:color w:val="auto"/>
              </w:rPr>
            </w:pPr>
          </w:p>
        </w:tc>
      </w:tr>
      <w:tr>
        <w:trPr>
          <w:trHeight w:val="186"/>
        </w:trPr>
        <w:tc>
          <w:tcPr>
            <w:tcW w:w="774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4"/>
              </w:rPr>
              <w:t>incorporation or organization)</w:t>
            </w:r>
          </w:p>
        </w:tc>
        <w:tc>
          <w:tcPr>
            <w:tcW w:w="1420" w:type="dxa"/>
            <w:vAlign w:val="bottom"/>
          </w:tcPr>
          <w:p>
            <w:pPr>
              <w:jc w:val="center"/>
              <w:ind w:right="141"/>
              <w:spacing w:after="0"/>
              <w:rPr>
                <w:sz w:val="20"/>
                <w:szCs w:val="20"/>
                <w:color w:val="auto"/>
              </w:rPr>
            </w:pPr>
            <w:r>
              <w:rPr>
                <w:rFonts w:ascii="Arial" w:cs="Arial" w:eastAsia="Arial" w:hAnsi="Arial"/>
                <w:sz w:val="14"/>
                <w:szCs w:val="14"/>
                <w:b w:val="1"/>
                <w:bCs w:val="1"/>
                <w:color w:val="auto"/>
                <w:w w:val="92"/>
              </w:rPr>
              <w:t>identification no.)</w:t>
            </w:r>
          </w:p>
        </w:tc>
        <w:tc>
          <w:tcPr>
            <w:tcW w:w="640" w:type="dxa"/>
            <w:vAlign w:val="bottom"/>
          </w:tcPr>
          <w:p>
            <w:pPr>
              <w:spacing w:after="0"/>
              <w:rPr>
                <w:sz w:val="16"/>
                <w:szCs w:val="16"/>
                <w:color w:val="auto"/>
              </w:rPr>
            </w:pPr>
          </w:p>
        </w:tc>
      </w:tr>
      <w:tr>
        <w:trPr>
          <w:trHeight w:val="412"/>
        </w:trPr>
        <w:tc>
          <w:tcPr>
            <w:tcW w:w="7740" w:type="dxa"/>
            <w:vAlign w:val="bottom"/>
            <w:gridSpan w:val="3"/>
          </w:tcPr>
          <w:p>
            <w:pPr>
              <w:jc w:val="center"/>
              <w:ind w:right="2180"/>
              <w:spacing w:after="0"/>
              <w:rPr>
                <w:sz w:val="20"/>
                <w:szCs w:val="20"/>
                <w:color w:val="auto"/>
              </w:rPr>
            </w:pPr>
            <w:r>
              <w:rPr>
                <w:rFonts w:ascii="Arial" w:cs="Arial" w:eastAsia="Arial" w:hAnsi="Arial"/>
                <w:sz w:val="18"/>
                <w:szCs w:val="18"/>
                <w:b w:val="1"/>
                <w:bCs w:val="1"/>
                <w:color w:val="auto"/>
                <w:w w:val="91"/>
              </w:rPr>
              <w:t>325 West Huron Street,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5"/>
        </w:trPr>
        <w:tc>
          <w:tcPr>
            <w:tcW w:w="7740" w:type="dxa"/>
            <w:vAlign w:val="bottom"/>
            <w:gridSpan w:val="3"/>
          </w:tcPr>
          <w:p>
            <w:pPr>
              <w:jc w:val="center"/>
              <w:ind w:right="2180"/>
              <w:spacing w:after="0"/>
              <w:rPr>
                <w:sz w:val="20"/>
                <w:szCs w:val="20"/>
                <w:color w:val="auto"/>
              </w:rPr>
            </w:pPr>
            <w:r>
              <w:rPr>
                <w:rFonts w:ascii="Arial" w:cs="Arial" w:eastAsia="Arial" w:hAnsi="Arial"/>
                <w:sz w:val="18"/>
                <w:szCs w:val="18"/>
                <w:b w:val="1"/>
                <w:bCs w:val="1"/>
                <w:color w:val="auto"/>
                <w:w w:val="90"/>
              </w:rPr>
              <w:t>Suite 700 Chicago, Illinois</w:t>
            </w:r>
          </w:p>
        </w:tc>
        <w:tc>
          <w:tcPr>
            <w:tcW w:w="1420" w:type="dxa"/>
            <w:vAlign w:val="bottom"/>
          </w:tcPr>
          <w:p>
            <w:pPr>
              <w:jc w:val="right"/>
              <w:ind w:right="521"/>
              <w:spacing w:after="0"/>
              <w:rPr>
                <w:sz w:val="20"/>
                <w:szCs w:val="20"/>
                <w:color w:val="auto"/>
              </w:rPr>
            </w:pPr>
            <w:r>
              <w:rPr>
                <w:rFonts w:ascii="Arial" w:cs="Arial" w:eastAsia="Arial" w:hAnsi="Arial"/>
                <w:sz w:val="18"/>
                <w:szCs w:val="18"/>
                <w:b w:val="1"/>
                <w:bCs w:val="1"/>
                <w:color w:val="auto"/>
              </w:rPr>
              <w:t>60654</w:t>
            </w:r>
          </w:p>
        </w:tc>
        <w:tc>
          <w:tcPr>
            <w:tcW w:w="640" w:type="dxa"/>
            <w:vAlign w:val="bottom"/>
          </w:tcPr>
          <w:p>
            <w:pPr>
              <w:spacing w:after="0"/>
              <w:rPr>
                <w:sz w:val="19"/>
                <w:szCs w:val="19"/>
                <w:color w:val="auto"/>
              </w:rPr>
            </w:pPr>
          </w:p>
        </w:tc>
      </w:tr>
      <w:tr>
        <w:trPr>
          <w:trHeight w:val="186"/>
        </w:trPr>
        <w:tc>
          <w:tcPr>
            <w:tcW w:w="774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20" w:type="dxa"/>
            <w:vAlign w:val="bottom"/>
          </w:tcPr>
          <w:p>
            <w:pPr>
              <w:jc w:val="center"/>
              <w:ind w:right="141"/>
              <w:spacing w:after="0"/>
              <w:rPr>
                <w:sz w:val="20"/>
                <w:szCs w:val="20"/>
                <w:color w:val="auto"/>
              </w:rPr>
            </w:pPr>
            <w:r>
              <w:rPr>
                <w:rFonts w:ascii="Arial" w:cs="Arial" w:eastAsia="Arial" w:hAnsi="Arial"/>
                <w:sz w:val="14"/>
                <w:szCs w:val="14"/>
                <w:b w:val="1"/>
                <w:bCs w:val="1"/>
                <w:color w:val="auto"/>
                <w:w w:val="91"/>
              </w:rPr>
              <w:t>(zip code)</w:t>
            </w:r>
          </w:p>
        </w:tc>
        <w:tc>
          <w:tcPr>
            <w:tcW w:w="640" w:type="dxa"/>
            <w:vAlign w:val="bottom"/>
          </w:tcPr>
          <w:p>
            <w:pPr>
              <w:spacing w:after="0"/>
              <w:rPr>
                <w:sz w:val="16"/>
                <w:szCs w:val="16"/>
                <w:color w:val="auto"/>
              </w:rPr>
            </w:pPr>
          </w:p>
        </w:tc>
      </w:tr>
      <w:tr>
        <w:trPr>
          <w:trHeight w:val="417"/>
        </w:trPr>
        <w:tc>
          <w:tcPr>
            <w:tcW w:w="9160" w:type="dxa"/>
            <w:vAlign w:val="bottom"/>
            <w:gridSpan w:val="4"/>
          </w:tcPr>
          <w:p>
            <w:pPr>
              <w:jc w:val="center"/>
              <w:ind w:left="1775"/>
              <w:spacing w:after="0"/>
              <w:rPr>
                <w:sz w:val="20"/>
                <w:szCs w:val="20"/>
                <w:color w:val="auto"/>
              </w:rPr>
            </w:pPr>
            <w:r>
              <w:rPr>
                <w:rFonts w:ascii="Arial" w:cs="Arial" w:eastAsia="Arial" w:hAnsi="Arial"/>
                <w:sz w:val="18"/>
                <w:szCs w:val="18"/>
                <w:b w:val="1"/>
                <w:bCs w:val="1"/>
                <w:color w:val="auto"/>
                <w:w w:val="89"/>
              </w:rPr>
              <w:t>Registrant’s telephone number, including area code - (312) 471-6720</w:t>
            </w:r>
          </w:p>
        </w:tc>
        <w:tc>
          <w:tcPr>
            <w:tcW w:w="640" w:type="dxa"/>
            <w:vAlign w:val="bottom"/>
          </w:tcPr>
          <w:p>
            <w:pPr>
              <w:spacing w:after="0"/>
              <w:rPr>
                <w:sz w:val="24"/>
                <w:szCs w:val="24"/>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7"/>
        </w:trPr>
        <w:tc>
          <w:tcPr>
            <w:tcW w:w="7740" w:type="dxa"/>
            <w:vAlign w:val="bottom"/>
            <w:gridSpan w:val="3"/>
          </w:tcPr>
          <w:p>
            <w:pPr>
              <w:jc w:val="center"/>
              <w:ind w:left="3175"/>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4340" w:type="dxa"/>
            <w:vAlign w:val="bottom"/>
          </w:tcPr>
          <w:p>
            <w:pPr>
              <w:spacing w:after="0"/>
              <w:rPr>
                <w:sz w:val="18"/>
                <w:szCs w:val="18"/>
                <w:color w:val="auto"/>
              </w:rPr>
            </w:pPr>
          </w:p>
        </w:tc>
        <w:tc>
          <w:tcPr>
            <w:tcW w:w="340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9"/>
              </w:rPr>
              <w:t>Subordinate Voting Shares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0"/>
              </w:rPr>
              <w:t>Multiple Voting Shares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3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Super Voting Shares</w:t>
            </w:r>
          </w:p>
        </w:tc>
        <w:tc>
          <w:tcPr>
            <w:tcW w:w="14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6"/>
        </w:trPr>
        <w:tc>
          <w:tcPr>
            <w:tcW w:w="4340" w:type="dxa"/>
            <w:vAlign w:val="bottom"/>
          </w:tcPr>
          <w:p>
            <w:pPr>
              <w:spacing w:after="0"/>
              <w:rPr>
                <w:sz w:val="16"/>
                <w:szCs w:val="16"/>
                <w:color w:val="auto"/>
              </w:rPr>
            </w:pPr>
          </w:p>
        </w:tc>
        <w:tc>
          <w:tcPr>
            <w:tcW w:w="34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(Title of each Class)</w:t>
            </w:r>
          </w:p>
        </w:tc>
        <w:tc>
          <w:tcPr>
            <w:tcW w:w="14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437"/>
        </w:trPr>
        <w:tc>
          <w:tcPr>
            <w:tcW w:w="916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6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60" w:type="dxa"/>
            <w:vAlign w:val="bottom"/>
            <w:gridSpan w:val="4"/>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640" w:type="dxa"/>
            <w:vAlign w:val="bottom"/>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182" w:lineRule="exact"/>
        <w:rPr>
          <w:sz w:val="24"/>
          <w:szCs w:val="24"/>
          <w:color w:val="auto"/>
        </w:rPr>
      </w:pPr>
    </w:p>
    <w:p>
      <w:pPr>
        <w:ind w:left="1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p>
      <w:pPr>
        <w:ind w:left="120"/>
        <w:spacing w:after="0" w:line="207" w:lineRule="exact"/>
        <w:tabs>
          <w:tab w:leader="none" w:pos="2440" w:val="left"/>
          <w:tab w:leader="none" w:pos="858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080"/>
          </w:cols>
          <w:pgMar w:left="320" w:top="230" w:right="499" w:bottom="0" w:gutter="0" w:footer="0" w:header="0"/>
        </w:sectPr>
      </w:pPr>
    </w:p>
    <w:bookmarkStart w:id="1" w:name="page2"/>
    <w:bookmarkEnd w:id="1"/>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720"/>
            <w:col w:w="5420" w:space="720"/>
            <w:col w:w="1980" w:space="340"/>
            <w:col w:w="160"/>
          </w:cols>
          <w:pgMar w:left="440" w:top="91" w:right="49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960" w:space="380"/>
            <w:col w:w="8620"/>
          </w:cols>
          <w:pgMar w:left="440" w:top="91" w:right="499" w:bottom="1440" w:gutter="0" w:footer="0" w:header="0"/>
          <w:type w:val="continuous"/>
        </w:sectPr>
      </w:pPr>
    </w:p>
    <w:p>
      <w:pPr>
        <w:spacing w:after="0" w:line="4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1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As of May 1, 2021, there were 185,434,044 shares of the registrant’s Subordinate Voting Shares, 3,965,400 shares of the registrant’s Multiple Voting Shares (on an as converted basis) and 30,103,100 shares of the registrant’s Super Voting Shares (on an as 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91"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FINANCIAL</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INFORMATION</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40" w:type="dxa"/>
            <w:vAlign w:val="bottom"/>
            <w:gridSpan w:val="8"/>
            <w:vMerge w:val="restart"/>
          </w:tcPr>
          <w:p>
            <w:pPr>
              <w:jc w:val="center"/>
              <w:ind w:right="2380"/>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gridSpan w:val="8"/>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20" w:type="dxa"/>
            <w:vAlign w:val="bottom"/>
            <w:gridSpan w:val="2"/>
            <w:vMerge w:val="continue"/>
          </w:tcPr>
          <w:p>
            <w:pPr>
              <w:spacing w:after="0"/>
              <w:rPr>
                <w:sz w:val="16"/>
                <w:szCs w:val="16"/>
                <w:color w:val="auto"/>
              </w:rPr>
            </w:pPr>
          </w:p>
        </w:tc>
        <w:tc>
          <w:tcPr>
            <w:tcW w:w="766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Interim Condensed Consolidated Balance Sheets as of March 31, 2021 and December 31, 2020</w:t>
              </w:r>
            </w:hyperlink>
          </w:p>
        </w:tc>
        <w:tc>
          <w:tcPr>
            <w:tcW w:w="1320" w:type="dxa"/>
            <w:vAlign w:val="bottom"/>
            <w:gridSpan w:val="4"/>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80" w:type="dxa"/>
            <w:vAlign w:val="bottom"/>
            <w:gridSpan w:val="1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Interim Condensed Consolidated Statements of Operations for the three months ended March 31, 2021 and 2020</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00" w:type="dxa"/>
            <w:vAlign w:val="bottom"/>
            <w:tcBorders>
              <w:top w:val="single" w:sz="8" w:color="0000EE"/>
            </w:tcBorders>
            <w:gridSpan w:val="17"/>
          </w:tcPr>
          <w:p>
            <w:pPr>
              <w:spacing w:after="0" w:line="196"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Unaudited Interim Condensed Consolidated Statements of Shareholders’ Equity for the three months ended March 31,</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2021 and 2020</w:t>
              </w:r>
            </w:hyperlink>
          </w:p>
        </w:tc>
        <w:tc>
          <w:tcPr>
            <w:tcW w:w="7440" w:type="dxa"/>
            <w:vAlign w:val="bottom"/>
            <w:tcBorders>
              <w:top w:val="single" w:sz="8" w:color="0000EE"/>
            </w:tcBorders>
            <w:gridSpan w:val="11"/>
          </w:tcPr>
          <w:p>
            <w:pPr>
              <w:spacing w:after="0"/>
              <w:rPr>
                <w:sz w:val="17"/>
                <w:szCs w:val="17"/>
                <w:color w:val="auto"/>
              </w:rPr>
            </w:pPr>
          </w:p>
        </w:tc>
        <w:tc>
          <w:tcPr>
            <w:tcW w:w="46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80" w:type="dxa"/>
            <w:vAlign w:val="bottom"/>
            <w:gridSpan w:val="18"/>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Unaudited Interim Condensed Consolidated Statements of Cash Flows for the three months ended March 31, 2021 and</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2020</w:t>
              </w:r>
            </w:hyperlink>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2:</w:t>
            </w:r>
          </w:p>
        </w:tc>
        <w:tc>
          <w:tcPr>
            <w:tcW w:w="53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Unaudited Interim Condensed Consolidated Financial Statements</w:t>
              </w:r>
            </w:hyperlink>
          </w:p>
        </w:tc>
        <w:tc>
          <w:tcPr>
            <w:tcW w:w="360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620" w:type="dxa"/>
            <w:vAlign w:val="bottom"/>
            <w:gridSpan w:val="2"/>
            <w:vMerge w:val="continue"/>
          </w:tcPr>
          <w:p>
            <w:pPr>
              <w:spacing w:after="0"/>
              <w:rPr>
                <w:sz w:val="17"/>
                <w:szCs w:val="17"/>
                <w:color w:val="auto"/>
              </w:rPr>
            </w:pPr>
          </w:p>
        </w:tc>
        <w:tc>
          <w:tcPr>
            <w:tcW w:w="8980" w:type="dxa"/>
            <w:vAlign w:val="bottom"/>
            <w:gridSpan w:val="1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252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8980" w:type="dxa"/>
            <w:vAlign w:val="bottom"/>
            <w:gridSpan w:val="1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1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w:t>
            </w:r>
          </w:p>
        </w:tc>
        <w:tc>
          <w:tcPr>
            <w:tcW w:w="3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4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INFORMATION</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6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ITEM 1:</w:t>
            </w:r>
          </w:p>
        </w:tc>
        <w:tc>
          <w:tcPr>
            <w:tcW w:w="8980" w:type="dxa"/>
            <w:vAlign w:val="bottom"/>
            <w:gridSpan w:val="18"/>
          </w:tcPr>
          <w:p>
            <w:pPr>
              <w:spacing w:after="0" w:line="194"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360" w:type="dxa"/>
            <w:vAlign w:val="bottom"/>
          </w:tcPr>
          <w:p>
            <w:pPr>
              <w:jc w:val="right"/>
              <w:spacing w:after="0" w:line="194"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7640" w:type="dxa"/>
            <w:vAlign w:val="bottom"/>
            <w:gridSpan w:val="1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898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Sale of Unregistered Securities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3:</w:t>
            </w: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20" w:type="dxa"/>
            <w:vAlign w:val="bottom"/>
            <w:gridSpan w:val="2"/>
            <w:vMerge w:val="continue"/>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664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898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1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28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13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660" w:type="dxa"/>
            <w:vAlign w:val="bottom"/>
            <w:gridSpan w:val="1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820" w:type="dxa"/>
            <w:vAlign w:val="bottom"/>
            <w:tcBorders>
              <w:bottom w:val="single" w:sz="8" w:color="0000EE"/>
            </w:tcBorders>
          </w:tcPr>
          <w:p>
            <w:pPr>
              <w:spacing w:after="0" w:line="196" w:lineRule="exact"/>
              <w:rPr>
                <w:rFonts w:ascii="Arial" w:cs="Arial" w:eastAsia="Arial" w:hAnsi="Arial"/>
                <w:sz w:val="18"/>
                <w:szCs w:val="18"/>
                <w:b w:val="1"/>
                <w:bCs w:val="1"/>
                <w:color w:val="0000EE"/>
                <w:w w:val="85"/>
              </w:rPr>
            </w:pPr>
            <w:hyperlink w:anchor="page42">
              <w:r>
                <w:rPr>
                  <w:rFonts w:ascii="Arial" w:cs="Arial" w:eastAsia="Arial" w:hAnsi="Arial"/>
                  <w:sz w:val="18"/>
                  <w:szCs w:val="18"/>
                  <w:b w:val="1"/>
                  <w:bCs w:val="1"/>
                  <w:color w:val="0000EE"/>
                  <w:w w:val="85"/>
                </w:rPr>
                <w:t>Signatures</w:t>
              </w:r>
            </w:hyperlink>
          </w:p>
        </w:tc>
        <w:tc>
          <w:tcPr>
            <w:tcW w:w="80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Names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we carry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consumer acceptance of the Company’s brand portfolio; the Company’s business is subject to the risks inherent in agricultural operations; the Company may be adversely impacted by rising or volatile energy costs; the Company faces an inherent risk of product liability or similar claims; the Company’s products may be subject to product recalls; the Company may face unfavorable publicity or consumer perception;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2020, and elsewhere in the Company’s filings with the SEC, which are available on the SEC’s website or at </w:t>
      </w:r>
      <w:r>
        <w:rPr>
          <w:rFonts w:ascii="Arial" w:cs="Arial" w:eastAsia="Arial" w:hAnsi="Arial"/>
          <w:sz w:val="16"/>
          <w:szCs w:val="16"/>
          <w:i w:val="1"/>
          <w:iCs w:val="1"/>
          <w:u w:val="single" w:color="auto"/>
          <w:color w:val="auto"/>
        </w:rPr>
        <w:t>https://investors.gtigrows.com</w:t>
      </w:r>
      <w:r>
        <w:rPr>
          <w:rFonts w:ascii="Arial" w:cs="Arial" w:eastAsia="Arial" w:hAnsi="Arial"/>
          <w:sz w:val="16"/>
          <w:szCs w:val="16"/>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March 31, 2021 and December 31,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142"/>
        </w:trPr>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
              <w:spacing w:after="0" w:line="142" w:lineRule="exact"/>
              <w:rPr>
                <w:sz w:val="20"/>
                <w:szCs w:val="20"/>
                <w:color w:val="auto"/>
              </w:rPr>
            </w:pPr>
            <w:r>
              <w:rPr>
                <w:rFonts w:ascii="Arial" w:cs="Arial" w:eastAsia="Arial" w:hAnsi="Arial"/>
                <w:sz w:val="14"/>
                <w:szCs w:val="14"/>
                <w:i w:val="1"/>
                <w:iCs w:val="1"/>
                <w:color w:val="auto"/>
                <w:w w:val="94"/>
              </w:rPr>
              <w:t>(Audited)</w:t>
            </w:r>
          </w:p>
        </w:tc>
        <w:tc>
          <w:tcPr>
            <w:tcW w:w="120" w:type="dxa"/>
            <w:vAlign w:val="bottom"/>
          </w:tcPr>
          <w:p>
            <w:pPr>
              <w:spacing w:after="0"/>
              <w:rPr>
                <w:sz w:val="12"/>
                <w:szCs w:val="12"/>
                <w:color w:val="auto"/>
              </w:rPr>
            </w:pPr>
          </w:p>
        </w:tc>
      </w:tr>
      <w:tr>
        <w:trPr>
          <w:trHeight w:val="216"/>
        </w:trPr>
        <w:tc>
          <w:tcPr>
            <w:tcW w:w="8420" w:type="dxa"/>
            <w:vAlign w:val="bottom"/>
            <w:shd w:val="clear" w:color="auto" w:fill="CCEEFF"/>
          </w:tcPr>
          <w:p>
            <w:pPr>
              <w:ind w:left="38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275,898,839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83,757,785</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18,232,710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21,414,987</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72,280,372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69,542,953</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7,681,878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6,445,393</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6,864,840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2,782,887</w:t>
            </w:r>
          </w:p>
        </w:tc>
      </w:tr>
      <w:tr>
        <w:trPr>
          <w:trHeight w:val="223"/>
        </w:trPr>
        <w:tc>
          <w:tcPr>
            <w:tcW w:w="842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380,958,639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183,944,005</w:t>
            </w: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201,069,010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189,925,877</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144,119,418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140,382,781</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29,066,003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40,794,806</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12,943,056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12,669,963</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396,014,963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406,242,034</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382,697,467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382,697,467</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2,255,466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1,892,229</w:t>
            </w: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1,549,124,022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1,358,549,162</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ind w:left="22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9,313,021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20,503,572</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53,638,305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56,288,729</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Current Portion of Notes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344,380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341,983</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Lease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5,087,512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3,862,110</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9,900,000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22,150,000</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30,161,086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16,142,041</w:t>
            </w:r>
          </w:p>
        </w:tc>
      </w:tr>
      <w:tr>
        <w:trPr>
          <w:trHeight w:val="223"/>
        </w:trPr>
        <w:tc>
          <w:tcPr>
            <w:tcW w:w="84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108,444,304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119,288,435</w:t>
            </w: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 Liabilities, Net of Current Portion</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150,679,584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146,426,760</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Current Portion and Debt Discount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99,727,557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98,712,996</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Contingent Consideration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4,950,000</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45,304,671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39,454,000</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37,248,013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35,557,630</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446,354,129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444,389,821</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SHARE 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rPr>
              <w:t>Subordinate Voting Shares (Shares Authorized, Issued and Outstanding at March 31, 2021: Unlimited,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420" w:type="dxa"/>
            <w:vAlign w:val="bottom"/>
          </w:tcPr>
          <w:p>
            <w:pPr>
              <w:ind w:left="180"/>
              <w:spacing w:after="0"/>
              <w:rPr>
                <w:sz w:val="20"/>
                <w:szCs w:val="20"/>
                <w:color w:val="auto"/>
              </w:rPr>
            </w:pPr>
            <w:r>
              <w:rPr>
                <w:rFonts w:ascii="Arial" w:cs="Arial" w:eastAsia="Arial" w:hAnsi="Arial"/>
                <w:sz w:val="18"/>
                <w:szCs w:val="18"/>
                <w:color w:val="auto"/>
                <w:w w:val="93"/>
              </w:rPr>
              <w:t>185,044,227, and 185,044,227, respectively, at December 31, 2020: Unlimited, 178,113,221, and 178,113,221,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Multiple Voting Shares (Shares Authorized, Issued and Outstanding at March 31 2021: Unlimited, 40,259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40,259, respectively, at December 31, 2020: Unlimited, 40,289 and 40,289, respectively)</w:t>
            </w: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420" w:type="dxa"/>
            <w:vAlign w:val="bottom"/>
          </w:tcPr>
          <w:p>
            <w:pPr>
              <w:spacing w:after="0" w:line="201" w:lineRule="exact"/>
              <w:rPr>
                <w:sz w:val="20"/>
                <w:szCs w:val="20"/>
                <w:color w:val="auto"/>
              </w:rPr>
            </w:pPr>
            <w:r>
              <w:rPr>
                <w:rFonts w:ascii="Arial" w:cs="Arial" w:eastAsia="Arial" w:hAnsi="Arial"/>
                <w:sz w:val="18"/>
                <w:szCs w:val="18"/>
                <w:color w:val="auto"/>
                <w:w w:val="96"/>
              </w:rPr>
              <w:t>Super Voting Shares (Shares Authorized, Issued and Outstanding at March 31, 2021: Unlimited, 301,031 and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301,031, respectively, at December 31, 2020: Unlimited, 312,031 and 312,031, respectively)</w:t>
            </w:r>
          </w:p>
        </w:tc>
        <w:tc>
          <w:tcPr>
            <w:tcW w:w="100" w:type="dxa"/>
            <w:vAlign w:val="bottom"/>
          </w:tcPr>
          <w:p>
            <w:pPr>
              <w:spacing w:after="0"/>
              <w:rPr>
                <w:sz w:val="20"/>
                <w:szCs w:val="20"/>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1,236,987,614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1,048,640,398</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Contributed (Deficit) Surplus</w:t>
            </w: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(2,788,150)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4,893,153</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Share Issuances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2,587,317</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(135,129,957)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(145,498,623)</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 of Green Thumb Industries Inc.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1,099,821,495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910,622,245</w:t>
            </w:r>
          </w:p>
        </w:tc>
      </w:tr>
      <w:tr>
        <w:trPr>
          <w:trHeight w:val="216"/>
        </w:trPr>
        <w:tc>
          <w:tcPr>
            <w:tcW w:w="842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2,948,398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3,537,096</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1,102,769,893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914,159,341</w:t>
            </w: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1,549,124,022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1,358,549,162</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5520" w:right="2660" w:hanging="5402"/>
        <w:spacing w:after="0" w:line="449"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-4-</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194,430,584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102,602,602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(83,565,084)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(49,615,188)</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110,865,500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52,987,414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59,331,251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45,434,757</w:t>
            </w:r>
          </w:p>
        </w:tc>
        <w:tc>
          <w:tcPr>
            <w:tcW w:w="0" w:type="dxa"/>
            <w:vAlign w:val="bottom"/>
          </w:tcPr>
          <w:p>
            <w:pPr>
              <w:spacing w:after="0"/>
              <w:rPr>
                <w:sz w:val="1"/>
                <w:szCs w:val="1"/>
                <w:color w:val="auto"/>
              </w:rPr>
            </w:pPr>
          </w:p>
        </w:tc>
      </w:tr>
      <w:tr>
        <w:trPr>
          <w:trHeight w:val="230"/>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59,331,251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45,434,757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51,534,249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7,552,657</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(5,149,817)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6,786,110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49,890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88,115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(4,123,176)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(5,041,442)</w:t>
            </w:r>
          </w:p>
        </w:tc>
        <w:tc>
          <w:tcPr>
            <w:tcW w:w="0" w:type="dxa"/>
            <w:vAlign w:val="bottom"/>
          </w:tcPr>
          <w:p>
            <w:pPr>
              <w:spacing w:after="0"/>
              <w:rPr>
                <w:sz w:val="1"/>
                <w:szCs w:val="1"/>
                <w:color w:val="auto"/>
              </w:rPr>
            </w:pPr>
          </w:p>
        </w:tc>
      </w:tr>
      <w:tr>
        <w:trPr>
          <w:trHeight w:val="230"/>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(9,223,103)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1,832,783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42,311,146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9,385,440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30,856,178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13,149,000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11,454,968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(3,763,560)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1,086,302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442,704</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10,368,666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(4,206,264)</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per share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216,210,429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208,468,356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221,616,157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208,468,356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5520" w:right="2660" w:hanging="5402"/>
        <w:spacing w:after="0" w:line="449"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-5-</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Share</w:t>
            </w:r>
          </w:p>
        </w:tc>
        <w:tc>
          <w:tcPr>
            <w:tcW w:w="120" w:type="dxa"/>
            <w:vAlign w:val="bottom"/>
          </w:tcPr>
          <w:p>
            <w:pPr>
              <w:spacing w:after="0"/>
              <w:rPr>
                <w:sz w:val="14"/>
                <w:szCs w:val="14"/>
                <w:color w:val="auto"/>
              </w:rPr>
            </w:pPr>
          </w:p>
        </w:tc>
        <w:tc>
          <w:tcPr>
            <w:tcW w:w="1420" w:type="dxa"/>
            <w:vAlign w:val="bottom"/>
            <w:gridSpan w:val="2"/>
            <w:vMerge w:val="restart"/>
          </w:tcPr>
          <w:p>
            <w:pPr>
              <w:jc w:val="right"/>
              <w:ind w:right="381"/>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Surplus (Deficit)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Issuance</w:t>
            </w:r>
          </w:p>
        </w:tc>
        <w:tc>
          <w:tcPr>
            <w:tcW w:w="120" w:type="dxa"/>
            <w:vAlign w:val="bottom"/>
          </w:tcPr>
          <w:p>
            <w:pPr>
              <w:spacing w:after="0"/>
              <w:rPr>
                <w:sz w:val="14"/>
                <w:szCs w:val="14"/>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3"/>
              </w:rPr>
              <w:t>Earnings (Deficit)</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980,638,701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3,960,854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16,587,798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(160,491,590)</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$ 2,512,913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843,208,676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Contributions from limited liability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company unit holders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shares under business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combinations and investments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684,551</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(678,489)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Contingent consideration, and other</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adjustments to purchase accounting</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8,967,257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8,967,257</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5,073,742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5,073,742</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Distributions to third party and limited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liability company unit holders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(53,377)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(683,283)</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(736,660)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(4,206,264)</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442,704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(3,763,560)</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March 21,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990,290,509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8,302,730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16,587,798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(164,697,854</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$ 2,322,334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852,805,517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1,048,640,398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4,893,153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2,587,317</w:t>
            </w:r>
          </w:p>
        </w:tc>
        <w:tc>
          <w:tcPr>
            <w:tcW w:w="1540" w:type="dxa"/>
            <w:vAlign w:val="bottom"/>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 (145,498,623)</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$ 3,537,096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914,159,341</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Issuance of shares under business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combinations and investments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1,038,307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(38,307)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issued as contingent consideration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12,672,681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12,672,681</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1,825,597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(1,835,329)</w:t>
            </w:r>
          </w:p>
        </w:tc>
        <w:tc>
          <w:tcPr>
            <w:tcW w:w="120" w:type="dxa"/>
            <w:vAlign w:val="bottom"/>
          </w:tcPr>
          <w:p>
            <w:pPr>
              <w:spacing w:after="0"/>
              <w:rPr>
                <w:sz w:val="18"/>
                <w:szCs w:val="18"/>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registered shares pursuant to</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S-1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155,803,084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(304,944)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155,498,140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9"/>
              </w:rPr>
              <w:t>Exercise of options, RSUs and warrants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17,007,547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2"/>
              </w:rPr>
              <w:t>(11,368,707)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5,638,840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4,030,655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4,030,655</w:t>
            </w:r>
          </w:p>
        </w:tc>
        <w:tc>
          <w:tcPr>
            <w:tcW w:w="0" w:type="dxa"/>
            <w:vAlign w:val="bottom"/>
          </w:tcPr>
          <w:p>
            <w:pPr>
              <w:spacing w:after="0"/>
              <w:rPr>
                <w:sz w:val="1"/>
                <w:szCs w:val="1"/>
                <w:color w:val="auto"/>
              </w:rPr>
            </w:pP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Distributions to limited liability company</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unit holders</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(1,675,000)</w:t>
            </w:r>
          </w:p>
        </w:tc>
        <w:tc>
          <w:tcPr>
            <w:tcW w:w="10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(1,675,000)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10,368,666</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1,086,302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11,454,968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b w:val="1"/>
                <w:bCs w:val="1"/>
                <w:color w:val="auto"/>
              </w:rPr>
              <w:t>Balance,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1,236,987,614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(2,788,150</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751,988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(135,129,957</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$ 2,948,398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1,102,769,893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520" w:right="2660" w:hanging="5402"/>
        <w:spacing w:after="0" w:line="449"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-6-</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Net income (loss) attributable to Green Thumb Industries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10,368,666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(4,206,264)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1,086,302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442,704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14,993,421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12,705,172</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Amortization of operating lease assets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7,751,299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4,257,515</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(gain) on disposal of property and equipment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45,946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(239,096)</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Bad debt expense</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(74,092)</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315,261</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1,690,383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(424,000)</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4,030,655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5,073,742</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fair value of investments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(1,014,652)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274,592</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546,009</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fair value of contingent consideration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412,949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(170,990)</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Increase (decrease) in fair value of warrants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5,850,671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(7,382,843)</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 fair value of note receivable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810,337</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Amortization of debt discount</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1,102,632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1,585,322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3,256,369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489,020</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(2,737,419)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(4,135,787)</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(5,318,438)</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(3,561,809)</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(363,237)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1,963,074</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(11,190,551)</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7,955,363</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1,755,514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264,226</w:t>
            </w: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(6,009,710)</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(3,086,451)</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14,019,045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13,573,000</w:t>
            </w:r>
          </w:p>
        </w:tc>
      </w:tr>
      <w:tr>
        <w:trPr>
          <w:trHeight w:val="230"/>
        </w:trPr>
        <w:tc>
          <w:tcPr>
            <w:tcW w:w="8720" w:type="dxa"/>
            <w:vAlign w:val="bottom"/>
          </w:tcPr>
          <w:p>
            <w:pPr>
              <w:ind w:left="108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39,655,753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27,048,097</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(19,421,367)</w:t>
            </w: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(13,246,608)</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11,799,025</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Investments in securities</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(6,002,302)</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18,122,664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(7,241,005)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(1,447,583)</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Contributions from limited liability company unit holders</w:t>
            </w:r>
          </w:p>
        </w:tc>
        <w:tc>
          <w:tcPr>
            <w:tcW w:w="10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third parties and limited liability company unit holders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(1,675,000)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(736,660)</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Distributions from unconsolidated subsidairies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proceeds from issuance of registered shares pursuant to Form S-1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155,498,140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Proceeds from exercise of options and warrants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5,638,840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repayment of notes payable</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(85,674)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(59,234)</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159,726,306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(745,894)</w:t>
            </w:r>
          </w:p>
        </w:tc>
        <w:tc>
          <w:tcPr>
            <w:tcW w:w="120" w:type="dxa"/>
            <w:vAlign w:val="bottom"/>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20" w:type="dxa"/>
            <w:vAlign w:val="bottom"/>
          </w:tcPr>
          <w:p>
            <w:pPr>
              <w:ind w:left="7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192,141,054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24,854,620</w:t>
            </w: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83,757,785</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46,667,334</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275,898,839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71,521,954</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5520" w:right="2660" w:hanging="5402"/>
        <w:spacing w:after="0" w:line="449"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-7-</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Interim Condensed Consolidated Statement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8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3,183,099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2,910,111</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(3,405,937)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6,966,907</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Noncash increase in right of use asset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(5,769,937)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(33,742,287)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Noncash increase in lease liability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5,769,937</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33,742,287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acquisition agreement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13,672,681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8,967,257</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Deferred share issuances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1,835,329</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400,143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color w:val="auto"/>
              </w:rPr>
              <w:t>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(2,865,992)</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1,015,020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 assumed</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(302,604)</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Equity interests issued</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503,389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liability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(228,813)</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1,879,000</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275,898,839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64,613,618</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6,908,336</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CASH EQUIVALENTS AND RESTRICTED 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275,898,839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71,521,954</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0"/>
          <w:szCs w:val="20"/>
          <w:color w:val="auto"/>
        </w:rPr>
      </w:pPr>
    </w:p>
    <w:p>
      <w:pPr>
        <w:ind w:left="5520" w:right="2660" w:hanging="5402"/>
        <w:spacing w:after="0" w:line="449" w:lineRule="auto"/>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 -8-</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Green Thumb Industries Inc. (“</w:t>
      </w:r>
      <w:r>
        <w:rPr>
          <w:rFonts w:ascii="Arial" w:cs="Arial" w:eastAsia="Arial" w:hAnsi="Arial"/>
          <w:sz w:val="16"/>
          <w:szCs w:val="16"/>
          <w:b w:val="1"/>
          <w:bCs w:val="1"/>
          <w:color w:val="auto"/>
        </w:rPr>
        <w:t>Green Thumb</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is promoting well-being through the power of cannabis through branded consumer packaged goods and people-first retail experiences, while being committed to community and sustainable profitable growth. Green Thumb owns, manufactures, and distributes a portfolio of cannabis consumer packaged goods brands including Beboe, Dogwalkers, Dr. Solomon’s, incredibles, Rythm and The Feel Collection, to third-party retail stores across the United States as well as to Green Thumb owned retail stores. The Company also owns and operates retail cannabis stores that include a rapidly growing national chain of retail cannabis stores named Rise™ and in the Las Vegas, Nevada and Pasadena, California areas, a chain of retail cannabis stores named Essence as well as retail stores operating under other names, all of which sell our products and third-party products. As of March 31, 2021, Green Thumb has revenue in twelve markets (California, Colorado, Connecticut, Florida, Illinois, Maryland, Massachusetts, Nevada, New Jersey, New York, Ohio, and Pennsylvania).</w:t>
      </w:r>
    </w:p>
    <w:p>
      <w:pPr>
        <w:spacing w:after="0" w:line="163"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registered office is located at 250 Howe Street, 20</w:t>
      </w:r>
      <w:r>
        <w:rPr>
          <w:rFonts w:ascii="Arial" w:cs="Arial" w:eastAsia="Arial" w:hAnsi="Arial"/>
          <w:sz w:val="14"/>
          <w:szCs w:val="14"/>
          <w:color w:val="auto"/>
        </w:rPr>
        <w:t>th</w:t>
      </w:r>
      <w:r>
        <w:rPr>
          <w:rFonts w:ascii="Arial" w:cs="Arial" w:eastAsia="Arial" w:hAnsi="Arial"/>
          <w:sz w:val="17"/>
          <w:szCs w:val="17"/>
          <w:color w:val="auto"/>
        </w:rPr>
        <w:t xml:space="preserve"> Floor, Vancouver, British Columbia, V6C 3R8. The Company’s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headquarters are at 325 W. Huron St., Suite 700, Chicago, IL 60654.</w:t>
      </w:r>
    </w:p>
    <w:p>
      <w:pPr>
        <w:spacing w:after="0" w:line="11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accompanying unaudited interim condensed consolidated financial statements include the accounts of Green Thumb Industries Inc. and have been prepared in accordance with accounting principles generally accepted in the United States (“</w:t>
      </w:r>
      <w:r>
        <w:rPr>
          <w:rFonts w:ascii="Arial" w:cs="Arial" w:eastAsia="Arial" w:hAnsi="Arial"/>
          <w:sz w:val="16"/>
          <w:szCs w:val="16"/>
          <w:b w:val="1"/>
          <w:bCs w:val="1"/>
          <w:color w:val="auto"/>
        </w:rPr>
        <w:t>GAAP</w:t>
      </w:r>
      <w:r>
        <w:rPr>
          <w:rFonts w:ascii="Arial" w:cs="Arial" w:eastAsia="Arial" w:hAnsi="Arial"/>
          <w:sz w:val="16"/>
          <w:szCs w:val="16"/>
          <w:color w:val="auto"/>
        </w:rPr>
        <w:t>”) for interim financial information and in accordance with the rules and regulations of the SEC.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2020 Form 10-K.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6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the results to be expected for the entire year ending December 31, 2021.</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There have been no changes to the Company’s significant accounting policies as described in Note 2 of the Company’s 2020 annual report on Form 10-K.</w:t>
      </w:r>
    </w:p>
    <w:p>
      <w:pPr>
        <w:spacing w:after="0" w:line="76"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Basic earnings (loss) per share is calculated using the treasury stock method, by dividing the net earnings (loss) attributable to shareholders by the weighted average number of common shares outstanding during each of the periods presented. Contingently issuable shares (including shares held in escrow) are not considered outstanding common shares and consequently are not included in the loss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March 31, 2021, the Company had 5,299,440 options, 592,535 restricted stock units and 2,294,523 warrants outstanding. As of March 31, 2020, the Company had 5,974,938 options, 1,477,898 restricted stock units and 2,387,470 warrants outstanding.</w:t>
      </w:r>
    </w:p>
    <w:p>
      <w:pPr>
        <w:spacing w:after="0" w:line="16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order to determine diluted earnings per share, it is assumed that any proceeds from the exercise of dilutive unvested restricted stock units,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March 31, 2021, the computation of diluted earnings per share included 3,702,372 options, 431,220 restricted stock units and 1,272,136 warrants. No potentially dilutive common share equivalents were included in the computation of diluted loss per share for the three months ended March 31, 2020 because their impact was anti-dilutive.</w:t>
      </w:r>
    </w:p>
    <w:p>
      <w:pPr>
        <w:spacing w:after="0" w:line="83"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30" w:lineRule="exact"/>
        <w:rPr>
          <w:rFonts w:ascii="Arial" w:cs="Arial" w:eastAsia="Arial" w:hAnsi="Arial"/>
          <w:sz w:val="18"/>
          <w:szCs w:val="18"/>
          <w:i w:val="1"/>
          <w:iCs w:val="1"/>
          <w:color w:val="auto"/>
        </w:rPr>
      </w:pPr>
    </w:p>
    <w:p>
      <w:pPr>
        <w:ind w:left="1540" w:right="180" w:hanging="439"/>
        <w:spacing w:after="0" w:line="275" w:lineRule="auto"/>
        <w:tabs>
          <w:tab w:leader="none" w:pos="154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December 2019, the FASB issued ASU 2019-12, Income Taxes (Topic 740) - Simplifying the Accounting for Income Taxes, which is intended to simplify various aspects related to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ASU 2019-12 removes certain exceptions to the general principles in Topic 740 and also clarifies and amends existing guidance to improve consistent application. The Company adopted ASU 2019-12 on January 1, 2021. The adoption of the standard did not have a material impact on the Company’s unaudited interim condensed consolidated financial statements.</w:t>
      </w:r>
    </w:p>
    <w:p>
      <w:pPr>
        <w:spacing w:after="0" w:line="81" w:lineRule="exact"/>
        <w:rPr>
          <w:rFonts w:ascii="Arial" w:cs="Arial" w:eastAsia="Arial" w:hAnsi="Arial"/>
          <w:sz w:val="17"/>
          <w:szCs w:val="17"/>
          <w:color w:val="auto"/>
        </w:rPr>
      </w:pPr>
    </w:p>
    <w:p>
      <w:pPr>
        <w:ind w:left="1540" w:right="40" w:hanging="439"/>
        <w:spacing w:after="0" w:line="255"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w:t>
      </w:r>
      <w:r>
        <w:rPr>
          <w:rFonts w:ascii="Arial" w:cs="Arial" w:eastAsia="Arial" w:hAnsi="Arial"/>
          <w:sz w:val="18"/>
          <w:szCs w:val="18"/>
          <w:b w:val="1"/>
          <w:bCs w:val="1"/>
          <w:color w:val="auto"/>
        </w:rPr>
        <w:t>ASU 2020-01</w:t>
      </w:r>
      <w:r>
        <w:rPr>
          <w:rFonts w:ascii="Arial" w:cs="Arial" w:eastAsia="Arial" w:hAnsi="Arial"/>
          <w:sz w:val="18"/>
          <w:szCs w:val="18"/>
          <w:color w:val="auto"/>
        </w:rPr>
        <w:t>”),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The Company adopted ASU 2020-01 on January 1, 2021. The adoption of the standard did not have a material impact on the Company’s unaudited interim condensed consolidated financial statements.</w:t>
      </w:r>
    </w:p>
    <w:p>
      <w:pPr>
        <w:spacing w:after="0" w:line="124" w:lineRule="exact"/>
        <w:rPr>
          <w:rFonts w:ascii="Arial" w:cs="Arial" w:eastAsia="Arial" w:hAnsi="Arial"/>
          <w:sz w:val="18"/>
          <w:szCs w:val="18"/>
          <w:color w:val="auto"/>
        </w:rPr>
      </w:pPr>
    </w:p>
    <w:p>
      <w:pPr>
        <w:ind w:left="5540" w:hanging="111"/>
        <w:spacing w:after="0"/>
        <w:tabs>
          <w:tab w:leader="none" w:pos="5540" w:val="left"/>
        </w:tabs>
        <w:numPr>
          <w:ilvl w:val="2"/>
          <w:numId w:val="9"/>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4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 (Continued)</w:t>
      </w:r>
    </w:p>
    <w:p>
      <w:pPr>
        <w:spacing w:after="0" w:line="310" w:lineRule="exact"/>
        <w:rPr>
          <w:rFonts w:ascii="Arial" w:cs="Arial" w:eastAsia="Arial" w:hAnsi="Arial"/>
          <w:sz w:val="18"/>
          <w:szCs w:val="18"/>
          <w:b w:val="1"/>
          <w:bCs w:val="1"/>
          <w:color w:val="auto"/>
        </w:rPr>
      </w:pPr>
    </w:p>
    <w:p>
      <w:pPr>
        <w:ind w:left="1080" w:hanging="532"/>
        <w:spacing w:after="0"/>
        <w:tabs>
          <w:tab w:leader="none" w:pos="1080"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540" w:right="120" w:hanging="439"/>
        <w:spacing w:after="0" w:line="293" w:lineRule="auto"/>
        <w:tabs>
          <w:tab w:leader="none" w:pos="15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On August 5, 2020, the FASB issued ASU No.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We do not expect the adoption of this guidance will have a material impact on the Company’s unaudited interim condensed consolidated financial statements.</w:t>
      </w:r>
    </w:p>
    <w:p>
      <w:pPr>
        <w:spacing w:after="0" w:line="69" w:lineRule="exact"/>
        <w:rPr>
          <w:rFonts w:ascii="Arial" w:cs="Arial" w:eastAsia="Arial" w:hAnsi="Arial"/>
          <w:sz w:val="16"/>
          <w:szCs w:val="16"/>
          <w:color w:val="auto"/>
        </w:rPr>
      </w:pPr>
    </w:p>
    <w:p>
      <w:pPr>
        <w:ind w:left="1080" w:hanging="532"/>
        <w:spacing w:after="0"/>
        <w:tabs>
          <w:tab w:leader="none" w:pos="1080" w:val="left"/>
        </w:tabs>
        <w:numPr>
          <w:ilvl w:val="1"/>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-1364615</wp:posOffset>
            </wp:positionV>
            <wp:extent cx="699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3"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In March 2020, the World Health Organization categorized coronavirus disease 2019 (“</w:t>
      </w:r>
      <w:r>
        <w:rPr>
          <w:rFonts w:ascii="Arial" w:cs="Arial" w:eastAsia="Arial" w:hAnsi="Arial"/>
          <w:sz w:val="18"/>
          <w:szCs w:val="18"/>
          <w:b w:val="1"/>
          <w:bCs w:val="1"/>
          <w:color w:val="auto"/>
        </w:rPr>
        <w:t>COVID-19</w:t>
      </w:r>
      <w:r>
        <w:rPr>
          <w:rFonts w:ascii="Arial" w:cs="Arial" w:eastAsia="Arial" w:hAnsi="Arial"/>
          <w:sz w:val="18"/>
          <w:szCs w:val="18"/>
          <w:color w:val="auto"/>
        </w:rPr>
        <w:t>” together with its variants) as a pandemic. COVID-19 continues to spread throughout the U.S. and other countries across the world, and the duration and severity of its effects are currently unknown. The Company continues to implement and evaluate actions to strengthen its financial position and support the continuity of its business and operations.</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assessment of the annual effective tax rate;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three months of 2021, the uncertain nature of the spread of COVID-19 and the uncertainty of the impact of nationwide vaccine programs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w:t>
      </w:r>
    </w:p>
    <w:p>
      <w:pPr>
        <w:spacing w:after="0" w:line="1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inventories include the following at March 31, 2021 and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$ 6,867,319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$ 6,372,659</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Packaging and Miscellaneous</w:t>
            </w:r>
          </w:p>
        </w:tc>
        <w:tc>
          <w:tcPr>
            <w:tcW w:w="1340" w:type="dxa"/>
            <w:vAlign w:val="bottom"/>
            <w:gridSpan w:val="5"/>
          </w:tcPr>
          <w:p>
            <w:pPr>
              <w:jc w:val="right"/>
              <w:ind w:right="260"/>
              <w:spacing w:after="0"/>
              <w:rPr>
                <w:sz w:val="20"/>
                <w:szCs w:val="20"/>
                <w:color w:val="auto"/>
              </w:rPr>
            </w:pPr>
            <w:r>
              <w:rPr>
                <w:rFonts w:ascii="Arial" w:cs="Arial" w:eastAsia="Arial" w:hAnsi="Arial"/>
                <w:sz w:val="18"/>
                <w:szCs w:val="18"/>
                <w:color w:val="auto"/>
              </w:rPr>
              <w:t>6,916,026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8,592,153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3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28,887,069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25,488,806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Finished Goods</w:t>
            </w:r>
          </w:p>
        </w:tc>
        <w:tc>
          <w:tcPr>
            <w:tcW w:w="1340" w:type="dxa"/>
            <w:vAlign w:val="bottom"/>
            <w:gridSpan w:val="5"/>
          </w:tcPr>
          <w:p>
            <w:pPr>
              <w:jc w:val="right"/>
              <w:ind w:right="260"/>
              <w:spacing w:after="0"/>
              <w:rPr>
                <w:sz w:val="20"/>
                <w:szCs w:val="20"/>
                <w:color w:val="auto"/>
              </w:rPr>
            </w:pPr>
            <w:r>
              <w:rPr>
                <w:rFonts w:ascii="Arial" w:cs="Arial" w:eastAsia="Arial" w:hAnsi="Arial"/>
                <w:sz w:val="18"/>
                <w:szCs w:val="18"/>
                <w:color w:val="auto"/>
              </w:rPr>
              <w:t>31,367,676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30,821,392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13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(1,757,718)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(1,732,057)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72,280,372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69,542,953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3.</w:t>
            </w:r>
          </w:p>
        </w:tc>
        <w:tc>
          <w:tcPr>
            <w:tcW w:w="696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9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724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7240" w:type="dxa"/>
            <w:vAlign w:val="bottom"/>
            <w:gridSpan w:val="3"/>
          </w:tcPr>
          <w:p>
            <w:pPr>
              <w:spacing w:after="0"/>
              <w:rPr>
                <w:sz w:val="20"/>
                <w:szCs w:val="20"/>
                <w:color w:val="auto"/>
              </w:rPr>
            </w:pPr>
            <w:r>
              <w:rPr>
                <w:rFonts w:ascii="Arial" w:cs="Arial" w:eastAsia="Arial" w:hAnsi="Arial"/>
                <w:sz w:val="18"/>
                <w:szCs w:val="18"/>
                <w:color w:val="auto"/>
                <w:w w:val="95"/>
              </w:rPr>
              <w:t>At March 31, 2021 and December 31, 2020, property and equipment consisted of the following:</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9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$ 51,351,319</w:t>
            </w:r>
          </w:p>
        </w:tc>
        <w:tc>
          <w:tcPr>
            <w:tcW w:w="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$ 51,557,405</w:t>
            </w: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Equipment, Computers and Furniture</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52,368,921</w:t>
            </w:r>
          </w:p>
        </w:tc>
        <w:tc>
          <w:tcPr>
            <w:tcW w:w="2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49,097,109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94,713,052</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88,607,252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Capitalized Interest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3,151,236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2,988,681</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Property and Equipment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201,584,528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192,250,447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(28,075,122)</w:t>
            </w:r>
          </w:p>
        </w:tc>
        <w:tc>
          <w:tcPr>
            <w:tcW w:w="26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(24,192,900)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173,509,406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168,057,547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Land</w:t>
            </w: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3,389,376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2,879,376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24,170,228</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18,988,954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201,069,010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189,925,877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Depreciation expense for the three months ended March 31, 2021 and 2020 totaled $4,766,350 and $3,787,005, respectively of which $2,869,229 and $2,677,727, respectively, is included in cost of goods sold.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and December 31, 2020, intangible assets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March 31, 2021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30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7"/>
              </w:rPr>
              <w:t>Gross Carrying</w:t>
            </w:r>
          </w:p>
        </w:tc>
        <w:tc>
          <w:tcPr>
            <w:tcW w:w="140" w:type="dxa"/>
            <w:vAlign w:val="bottom"/>
          </w:tcPr>
          <w:p>
            <w:pPr>
              <w:spacing w:after="0"/>
              <w:rPr>
                <w:sz w:val="10"/>
                <w:szCs w:val="10"/>
                <w:color w:val="auto"/>
              </w:rPr>
            </w:pPr>
          </w:p>
        </w:tc>
        <w:tc>
          <w:tcPr>
            <w:tcW w:w="116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Accumulated</w:t>
            </w: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7"/>
              </w:rPr>
              <w:t>Net Book</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60"/>
              <w:spacing w:after="0" w:line="123" w:lineRule="exact"/>
              <w:rPr>
                <w:sz w:val="20"/>
                <w:szCs w:val="20"/>
                <w:color w:val="auto"/>
              </w:rPr>
            </w:pPr>
            <w:r>
              <w:rPr>
                <w:rFonts w:ascii="Arial" w:cs="Arial" w:eastAsia="Arial" w:hAnsi="Arial"/>
                <w:sz w:val="14"/>
                <w:szCs w:val="14"/>
                <w:color w:val="auto"/>
                <w:w w:val="93"/>
              </w:rPr>
              <w:t>Gross Carrying</w:t>
            </w:r>
          </w:p>
        </w:tc>
        <w:tc>
          <w:tcPr>
            <w:tcW w:w="200" w:type="dxa"/>
            <w:vAlign w:val="bottom"/>
          </w:tcPr>
          <w:p>
            <w:pPr>
              <w:spacing w:after="0"/>
              <w:rPr>
                <w:sz w:val="10"/>
                <w:szCs w:val="10"/>
                <w:color w:val="auto"/>
              </w:rPr>
            </w:pPr>
          </w:p>
        </w:tc>
        <w:tc>
          <w:tcPr>
            <w:tcW w:w="118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3"/>
              </w:rPr>
              <w:t>Accumulated</w:t>
            </w:r>
          </w:p>
        </w:tc>
        <w:tc>
          <w:tcPr>
            <w:tcW w:w="1000" w:type="dxa"/>
            <w:vAlign w:val="bottom"/>
          </w:tcPr>
          <w:p>
            <w:pPr>
              <w:jc w:val="center"/>
              <w:spacing w:after="0" w:line="123" w:lineRule="exact"/>
              <w:rPr>
                <w:sz w:val="20"/>
                <w:szCs w:val="20"/>
                <w:color w:val="auto"/>
              </w:rPr>
            </w:pPr>
            <w:r>
              <w:rPr>
                <w:rFonts w:ascii="Arial" w:cs="Arial" w:eastAsia="Arial" w:hAnsi="Arial"/>
                <w:sz w:val="14"/>
                <w:szCs w:val="14"/>
                <w:color w:val="auto"/>
                <w:w w:val="97"/>
              </w:rPr>
              <w:t>Net Book</w:t>
            </w:r>
          </w:p>
        </w:tc>
        <w:tc>
          <w:tcPr>
            <w:tcW w:w="60" w:type="dxa"/>
            <w:vAlign w:val="bottom"/>
          </w:tcPr>
          <w:p>
            <w:pPr>
              <w:spacing w:after="0"/>
              <w:rPr>
                <w:sz w:val="10"/>
                <w:szCs w:val="10"/>
                <w:color w:val="auto"/>
              </w:rPr>
            </w:pPr>
          </w:p>
        </w:tc>
      </w:tr>
      <w:tr>
        <w:trPr>
          <w:trHeight w:val="167"/>
        </w:trPr>
        <w:tc>
          <w:tcPr>
            <w:tcW w:w="3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Amortization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Amount</w:t>
            </w:r>
          </w:p>
        </w:tc>
        <w:tc>
          <w:tcPr>
            <w:tcW w:w="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Amortization</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$343,135,736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$48,295,200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$294,840,536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$343,135,736</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$41,993,595</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$301,142,141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Tradenames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99,295,599</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16,376,274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82,919,325</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99,295,599</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13,455,178</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85,840,421</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25,258,000</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8,455,792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16,802,208</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25,258,000</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7,583,005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17,674,995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8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2,585,480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1,132,586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1,452,894</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2,585,480</w:t>
            </w: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1,001,003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1,584,477</w:t>
            </w:r>
          </w:p>
        </w:tc>
      </w:tr>
      <w:tr>
        <w:trPr>
          <w:trHeight w:val="27"/>
        </w:trPr>
        <w:tc>
          <w:tcPr>
            <w:tcW w:w="3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w:t>
            </w:r>
          </w:p>
        </w:tc>
        <w:tc>
          <w:tcPr>
            <w:tcW w:w="8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470,274,815</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74,259,852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396,014,963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470,274,815</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64,032,781</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406,242,034</w:t>
            </w:r>
          </w:p>
        </w:tc>
      </w:tr>
      <w:tr>
        <w:trPr>
          <w:trHeight w:val="20"/>
        </w:trPr>
        <w:tc>
          <w:tcPr>
            <w:tcW w:w="3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recorded amortization expense for the three months ended March 31, 2021 and 2020 of $10,227,071 and $8,918,167, respectively.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March 31, 2021:</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56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(Prior to Change in</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7"/>
              </w:rPr>
              <w:t>Useful Life)</w:t>
            </w: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Remainder of 2021</w:t>
            </w:r>
          </w:p>
        </w:tc>
        <w:tc>
          <w:tcPr>
            <w:tcW w:w="4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29,035,583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38,683,555</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38,680,777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38,099,444</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38,001,777</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Thereafter</w:t>
            </w:r>
          </w:p>
        </w:tc>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213,513,827</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396,014,963</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March 31, 2021 and December 31, 2020 the balances of goodwill, by segment, consisted of the following: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408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30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$130,680,935</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$130,680,935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Consumer Package Goods</w:t>
            </w:r>
          </w:p>
        </w:tc>
        <w:tc>
          <w:tcPr>
            <w:tcW w:w="30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252,016,532</w:t>
            </w:r>
          </w:p>
        </w:tc>
        <w:tc>
          <w:tcPr>
            <w:tcW w:w="3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252,016,532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Goodwill</w:t>
            </w:r>
          </w:p>
        </w:tc>
        <w:tc>
          <w:tcPr>
            <w:tcW w:w="4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382,697,467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382,697,467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080" w:type="dxa"/>
            <w:vAlign w:val="bottom"/>
            <w:vMerge w:val="restart"/>
          </w:tcPr>
          <w:p>
            <w:pPr>
              <w:jc w:val="right"/>
              <w:ind w:right="1556"/>
              <w:spacing w:after="0"/>
              <w:rPr>
                <w:sz w:val="20"/>
                <w:szCs w:val="20"/>
                <w:color w:val="auto"/>
              </w:rPr>
            </w:pPr>
            <w:r>
              <w:rPr>
                <w:rFonts w:ascii="Arial" w:cs="Arial" w:eastAsia="Arial" w:hAnsi="Arial"/>
                <w:sz w:val="18"/>
                <w:szCs w:val="18"/>
                <w:color w:val="auto"/>
              </w:rPr>
              <w:t>- 13 -</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9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As of March 31, 2021 and December 31, 2020, the Company held various equity interests in privately held cannabis companies as well as investments in convertible notes which had a combined fair value of $29,066,003 and $40,794,806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change in the Company’s investments during the three months ending March 31, 2021 and year ending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3840" w:type="dxa"/>
            <w:vAlign w:val="bottom"/>
          </w:tcPr>
          <w:p>
            <w:pPr>
              <w:spacing w:after="0"/>
              <w:rPr>
                <w:sz w:val="14"/>
                <w:szCs w:val="14"/>
                <w:color w:val="auto"/>
              </w:rPr>
            </w:pPr>
          </w:p>
        </w:tc>
        <w:tc>
          <w:tcPr>
            <w:tcW w:w="31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4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$ 40,794,806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$14,068,821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Additions</w:t>
            </w:r>
          </w:p>
        </w:tc>
        <w:tc>
          <w:tcPr>
            <w:tcW w:w="3380" w:type="dxa"/>
            <w:vAlign w:val="bottom"/>
            <w:gridSpan w:val="3"/>
          </w:tcPr>
          <w:p>
            <w:pPr>
              <w:jc w:val="right"/>
              <w:ind w:right="220"/>
              <w:spacing w:after="0"/>
              <w:rPr>
                <w:sz w:val="20"/>
                <w:szCs w:val="20"/>
                <w:color w:val="auto"/>
              </w:rPr>
            </w:pPr>
            <w:r>
              <w:rPr>
                <w:rFonts w:ascii="Arial" w:cs="Arial" w:eastAsia="Arial" w:hAnsi="Arial"/>
                <w:sz w:val="18"/>
                <w:szCs w:val="18"/>
                <w:color w:val="auto"/>
              </w:rPr>
              <w:t>6,002,302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(18,122,664)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(169,818)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Fair value adjustments</w:t>
            </w:r>
          </w:p>
        </w:tc>
        <w:tc>
          <w:tcPr>
            <w:tcW w:w="2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391,559</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26,370,803</w:t>
            </w:r>
          </w:p>
        </w:tc>
      </w:tr>
      <w:tr>
        <w:trPr>
          <w:trHeight w:val="27"/>
        </w:trPr>
        <w:tc>
          <w:tcPr>
            <w:tcW w:w="38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$ 29,066,003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40,794,806</w:t>
            </w:r>
          </w:p>
        </w:tc>
      </w:tr>
      <w:tr>
        <w:trPr>
          <w:trHeight w:val="20"/>
        </w:trPr>
        <w:tc>
          <w:tcPr>
            <w:tcW w:w="3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January 15, 2021, the Company sold approximately half of its equity interest in a privately held entity for $18,112,500 in cash. As of March 31, 2021 and December 31, 2020, the fair value of this equity interest was $19,136,689 and $37,249,189, respectively.</w:t>
      </w:r>
    </w:p>
    <w:p>
      <w:pPr>
        <w:spacing w:after="0" w:line="31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Leases</w:t>
      </w:r>
    </w:p>
    <w:p>
      <w:pPr>
        <w:spacing w:after="0" w:line="22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has operating leases for certain Rise, Essence and other retail dispensaries as well as many of the Company’s processing and cultivation facilities located throughout the US. Additionally, the Company has an operating lease for corporate office space in Illinois. Operating lease right-of-use assets and operating lease liabilities are recognized based on the present value of future minimum lease payments over the lease term at commencement date.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months ended March 31, 2021 and 2020 the Company recorded operating lease expense of $7,751,299 and $4,257,515,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8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Operating Leases</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Other information related to operating leases as of and for the three months ending March 31, 2021 and year ending December 31, 2020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1"/>
              </w:rPr>
              <w:t>As of</w:t>
            </w: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March 31,</w:t>
            </w:r>
          </w:p>
        </w:tc>
        <w:tc>
          <w:tcPr>
            <w:tcW w:w="13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6360" w:type="dxa"/>
            <w:vAlign w:val="bottom"/>
            <w:gridSpan w:val="7"/>
          </w:tcPr>
          <w:p>
            <w:pPr>
              <w:jc w:val="right"/>
              <w:ind w:right="9"/>
              <w:spacing w:after="0"/>
              <w:rPr>
                <w:sz w:val="20"/>
                <w:szCs w:val="20"/>
                <w:color w:val="auto"/>
              </w:rPr>
            </w:pPr>
            <w:r>
              <w:rPr>
                <w:rFonts w:ascii="Arial" w:cs="Arial" w:eastAsia="Arial" w:hAnsi="Arial"/>
                <w:sz w:val="18"/>
                <w:szCs w:val="18"/>
                <w:color w:val="auto"/>
                <w:w w:val="91"/>
              </w:rPr>
              <w:t>Maturities of lease liabilities for operating leases as of March 31, 2021 were as follows: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Maturities of Lease Liability</w:t>
            </w: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Third Party</w:t>
            </w:r>
          </w:p>
        </w:tc>
        <w:tc>
          <w:tcPr>
            <w:tcW w:w="60" w:type="dxa"/>
            <w:vAlign w:val="bottom"/>
          </w:tcPr>
          <w:p>
            <w:pPr>
              <w:spacing w:after="0"/>
              <w:rPr>
                <w:sz w:val="12"/>
                <w:szCs w:val="12"/>
                <w:color w:val="auto"/>
              </w:rPr>
            </w:pPr>
          </w:p>
        </w:tc>
        <w:tc>
          <w:tcPr>
            <w:tcW w:w="110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Related Party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76"/>
        </w:trPr>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Year Ending December 31,</w:t>
            </w:r>
          </w:p>
        </w:tc>
        <w:tc>
          <w:tcPr>
            <w:tcW w:w="33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Remainder of 2021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19,315,251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984,896</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20,300,147</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2022</w:t>
            </w:r>
          </w:p>
        </w:tc>
        <w:tc>
          <w:tcPr>
            <w:tcW w:w="16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26,749,723</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1,337,130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28,086,853</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2023</w:t>
            </w:r>
          </w:p>
        </w:tc>
        <w:tc>
          <w:tcPr>
            <w:tcW w:w="1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26,615,165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1,367,771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27,982,936</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2024</w:t>
            </w:r>
          </w:p>
        </w:tc>
        <w:tc>
          <w:tcPr>
            <w:tcW w:w="16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26,122,891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1,255,714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27,378,605</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99"/>
              </w:rPr>
              <w:t>2025</w:t>
            </w:r>
          </w:p>
        </w:tc>
        <w:tc>
          <w:tcPr>
            <w:tcW w:w="16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24,099,497</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1,182,489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25,281,986</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248,109,371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9,162,841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257,272,212</w:t>
            </w:r>
          </w:p>
        </w:tc>
        <w:tc>
          <w:tcPr>
            <w:tcW w:w="12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3"/>
          </w:tcPr>
          <w:p>
            <w:pPr>
              <w:ind w:left="34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371,011,898</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15,290,841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386,302,739</w:t>
            </w:r>
          </w:p>
        </w:tc>
        <w:tc>
          <w:tcPr>
            <w:tcW w:w="12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(223,197,788)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1"/>
              </w:rPr>
              <w:t>(7,337,855)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(230,535,643)</w:t>
            </w:r>
          </w:p>
        </w:tc>
      </w:tr>
      <w:tr>
        <w:trPr>
          <w:trHeight w:val="223"/>
        </w:trPr>
        <w:tc>
          <w:tcPr>
            <w:tcW w:w="6260" w:type="dxa"/>
            <w:vAlign w:val="bottom"/>
            <w:gridSpan w:val="5"/>
          </w:tcPr>
          <w:p>
            <w:pPr>
              <w:ind w:left="880"/>
              <w:spacing w:after="0"/>
              <w:rPr>
                <w:sz w:val="20"/>
                <w:szCs w:val="20"/>
                <w:color w:val="auto"/>
              </w:rPr>
            </w:pPr>
            <w:r>
              <w:rPr>
                <w:rFonts w:ascii="Arial" w:cs="Arial" w:eastAsia="Arial" w:hAnsi="Arial"/>
                <w:sz w:val="18"/>
                <w:szCs w:val="18"/>
                <w:b w:val="1"/>
                <w:bCs w:val="1"/>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147,814,110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7,952,986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155,767,096</w:t>
            </w:r>
          </w:p>
        </w:tc>
        <w:tc>
          <w:tcPr>
            <w:tcW w:w="12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Company entered into related party transactions with respect to its leasing arrangements for certain facilities in Florida, Maryland, Massachusetts and Nevada. Wendy Berger, a director of the Company, is a principal of WBS Equities, LLC, which is the Manager of Mosaic Real Estate, LLC, and owns certain facilities leased by the Company. Additionally, Mosaic Real Estate, LLC is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 to 15 years. For the three months ended March 31, 2021 and 2020, the Company recorded lease expense of $295,203 and $222,339, respectively, associated with these leasing arrangements.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040" w:type="dxa"/>
            <w:vAlign w:val="bottom"/>
            <w:gridSpan w:val="2"/>
          </w:tcPr>
          <w:p>
            <w:pPr>
              <w:ind w:left="140"/>
              <w:spacing w:after="0"/>
              <w:rPr>
                <w:sz w:val="20"/>
                <w:szCs w:val="20"/>
                <w:color w:val="auto"/>
              </w:rPr>
            </w:pPr>
            <w:r>
              <w:rPr>
                <w:rFonts w:ascii="Arial" w:cs="Arial" w:eastAsia="Arial" w:hAnsi="Arial"/>
                <w:sz w:val="18"/>
                <w:szCs w:val="18"/>
                <w:b w:val="1"/>
                <w:bCs w:val="1"/>
                <w:color w:val="auto"/>
              </w:rPr>
              <w:t>NOTES PAYABLE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94"/>
        </w:trPr>
        <w:tc>
          <w:tcPr>
            <w:tcW w:w="1320" w:type="dxa"/>
            <w:vAlign w:val="bottom"/>
            <w:tcBorders>
              <w:bottom w:val="single" w:sz="8" w:color="auto"/>
            </w:tcBorders>
            <w:gridSpan w:val="2"/>
          </w:tcPr>
          <w:p>
            <w:pPr>
              <w:spacing w:after="0"/>
              <w:rPr>
                <w:sz w:val="8"/>
                <w:szCs w:val="8"/>
                <w:color w:val="auto"/>
              </w:rPr>
            </w:pPr>
          </w:p>
        </w:tc>
        <w:tc>
          <w:tcPr>
            <w:tcW w:w="6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318"/>
        </w:trPr>
        <w:tc>
          <w:tcPr>
            <w:tcW w:w="7320" w:type="dxa"/>
            <w:vAlign w:val="bottom"/>
            <w:gridSpan w:val="3"/>
          </w:tcPr>
          <w:p>
            <w:pPr>
              <w:spacing w:after="0"/>
              <w:rPr>
                <w:sz w:val="20"/>
                <w:szCs w:val="20"/>
                <w:color w:val="auto"/>
              </w:rPr>
            </w:pPr>
            <w:r>
              <w:rPr>
                <w:rFonts w:ascii="Arial" w:cs="Arial" w:eastAsia="Arial" w:hAnsi="Arial"/>
                <w:sz w:val="18"/>
                <w:szCs w:val="18"/>
                <w:color w:val="auto"/>
              </w:rPr>
              <w:t>At March 31, 2021 and December 31, 2020, notes payable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23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340" w:type="dxa"/>
            <w:vAlign w:val="bottom"/>
          </w:tcPr>
          <w:p>
            <w:pPr>
              <w:spacing w:after="0"/>
              <w:rPr>
                <w:sz w:val="14"/>
                <w:szCs w:val="14"/>
                <w:color w:val="auto"/>
              </w:rPr>
            </w:pPr>
          </w:p>
        </w:tc>
      </w:tr>
      <w:tr>
        <w:trPr>
          <w:trHeight w:val="182"/>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In connection with an acquisition completed in 2017, the Company is required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make quarterly charitable contributions of $50,000 through October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2024. The net present value of these required payments has been recorded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liability with an interest rate of 2.17%.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671,328</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717,430</w:t>
            </w:r>
          </w:p>
        </w:tc>
        <w:tc>
          <w:tcPr>
            <w:tcW w:w="134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rPr>
              <w:t>Private placement debt dated May 22, 2019, in the original amount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$105,466,429 with an interest rate of 12.00%, matures on May 22,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w w:val="95"/>
              </w:rPr>
              <w:t>The debt was issued at a discount, the carrying value of which is $9,411,725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and $10,511,335 as of March 31, 2021 and December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96,054,704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94,955,094</w:t>
            </w:r>
          </w:p>
        </w:tc>
        <w:tc>
          <w:tcPr>
            <w:tcW w:w="134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Rise Joliet mortgage dated June 5, 2020, in the original amount of $1,814,000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 interest rate of 5.00%, matures on June 5, 2035. The debt was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issued at a discount, the carrying value of which is $171,201 and $174,222,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is presented net of principal payments of $61,964 and $40,806 as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1,580,835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1,598,972</w:t>
            </w:r>
          </w:p>
        </w:tc>
        <w:tc>
          <w:tcPr>
            <w:tcW w:w="134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rPr>
              <w:t>Rise Lakewood mortgage dated August 20, 2020, in the original amount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w w:val="95"/>
              </w:rPr>
              <w:t>$833,000 with an interest rate of 7.25%, matures on August 20, 2025, and is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w w:val="96"/>
              </w:rPr>
              <w:t>presented net of principal payments of $17,682 and $9,524 as of 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tcPr>
          <w:p>
            <w:pPr>
              <w:ind w:left="180"/>
              <w:spacing w:after="0"/>
              <w:rPr>
                <w:sz w:val="20"/>
                <w:szCs w:val="20"/>
                <w:color w:val="auto"/>
              </w:rPr>
            </w:pPr>
            <w:r>
              <w:rPr>
                <w:rFonts w:ascii="Arial" w:cs="Arial" w:eastAsia="Arial" w:hAnsi="Arial"/>
                <w:sz w:val="18"/>
                <w:szCs w:val="18"/>
                <w:color w:val="auto"/>
              </w:rPr>
              <w:t>2021 and December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815,318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823,483</w:t>
            </w:r>
          </w:p>
        </w:tc>
        <w:tc>
          <w:tcPr>
            <w:tcW w:w="1340" w:type="dxa"/>
            <w:vAlign w:val="bottom"/>
          </w:tcPr>
          <w:p>
            <w:pPr>
              <w:spacing w:after="0"/>
              <w:rPr>
                <w:sz w:val="20"/>
                <w:szCs w:val="20"/>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Rise Mundelein mortgage dated December 6, 2020, in the original amount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$960,000 with an interest rate of 6.95%, matures on December 06,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is presented net of principal payments of $10,248 and $0 as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949,752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960,000</w:t>
            </w:r>
          </w:p>
        </w:tc>
        <w:tc>
          <w:tcPr>
            <w:tcW w:w="1340" w:type="dxa"/>
            <w:vAlign w:val="bottom"/>
          </w:tcPr>
          <w:p>
            <w:pPr>
              <w:spacing w:after="0"/>
              <w:rPr>
                <w:sz w:val="20"/>
                <w:szCs w:val="20"/>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Total notes payable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100,071,937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99,054,979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(344,380)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(341,983)</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99,727,557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98,712,996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ind w:left="1100" w:right="2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private placement debt is held by related parties as well as unrelated third-party lenders at a percentage of approximately 1% and 99%, respectively. The related parties consist of Benjamin Kovler, the Chief Executive Officer and a director of the Company (through KP Capital, LLC); Andrew Grossman, the Executive Vice President of Capital Markets of the Company (through AG Funding Group, LLC); Anthony Georgiadis, the Chief Financial Officer and a director of the Corporation (through Three One Four Holdings, LLC); and Anthony Georgiadis and William Gruver, a director of the Corporation (through ABG, LLC).</w:t>
      </w:r>
    </w:p>
    <w:p>
      <w:pPr>
        <w:spacing w:after="0" w:line="108" w:lineRule="exact"/>
        <w:rPr>
          <w:rFonts w:ascii="Arial" w:cs="Arial" w:eastAsia="Arial" w:hAnsi="Arial"/>
          <w:sz w:val="18"/>
          <w:szCs w:val="18"/>
          <w:b w:val="1"/>
          <w:bCs w:val="1"/>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As part of the Company’s private placement financing and Mortgage on the Joliet, Illinois dispensary, the Company issued warrants to related parties, as well as un-related third parties, which allow the holders to purchase Subordinate Voting Shares at an exercise price determined at the time of issuance.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number warrants outstanding as of March 31, 2021 and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Weighted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Weighted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Weighted</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Average</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8"/>
              </w:rPr>
              <w:t>Average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Weighted</w:t>
            </w:r>
          </w:p>
        </w:tc>
      </w:tr>
      <w:tr>
        <w:trPr>
          <w:trHeight w:val="148"/>
        </w:trPr>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Average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Remaining</w:t>
            </w: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Average</w:t>
            </w:r>
          </w:p>
        </w:tc>
      </w:tr>
      <w:tr>
        <w:trPr>
          <w:trHeight w:val="148"/>
        </w:trPr>
        <w:tc>
          <w:tcPr>
            <w:tcW w:w="5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Exercise</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Contractual</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Price</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Contractual</w:t>
            </w:r>
          </w:p>
        </w:tc>
      </w:tr>
      <w:tr>
        <w:trPr>
          <w:trHeight w:val="167"/>
        </w:trPr>
        <w:tc>
          <w:tcPr>
            <w:tcW w:w="55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Number of Shares</w:t>
            </w: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Price (C$)</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rPr>
              <w:t>Life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color w:val="auto"/>
                <w:w w:val="97"/>
              </w:rPr>
              <w:t>(USD)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r>
      <w:tr>
        <w:trPr>
          <w:trHeight w:val="142"/>
        </w:trPr>
        <w:tc>
          <w:tcPr>
            <w:tcW w:w="5500" w:type="dxa"/>
            <w:vAlign w:val="bottom"/>
            <w:tcBorders>
              <w:bottom w:val="single" w:sz="8" w:color="CCEEFF"/>
            </w:tcBorders>
          </w:tcPr>
          <w:p>
            <w:pPr>
              <w:spacing w:after="0"/>
              <w:rPr>
                <w:sz w:val="12"/>
                <w:szCs w:val="12"/>
                <w:color w:val="auto"/>
              </w:rPr>
            </w:pPr>
          </w:p>
        </w:tc>
        <w:tc>
          <w:tcPr>
            <w:tcW w:w="2240" w:type="dxa"/>
            <w:vAlign w:val="bottom"/>
            <w:tcBorders>
              <w:top w:val="single" w:sz="8" w:color="auto"/>
              <w:bottom w:val="single" w:sz="8" w:color="auto"/>
            </w:tcBorders>
            <w:gridSpan w:val="5"/>
          </w:tcPr>
          <w:p>
            <w:pPr>
              <w:ind w:left="860"/>
              <w:spacing w:after="0" w:line="142" w:lineRule="exact"/>
              <w:rPr>
                <w:sz w:val="20"/>
                <w:szCs w:val="20"/>
                <w:color w:val="auto"/>
              </w:rPr>
            </w:pPr>
            <w:r>
              <w:rPr>
                <w:rFonts w:ascii="Arial" w:cs="Arial" w:eastAsia="Arial" w:hAnsi="Arial"/>
                <w:sz w:val="14"/>
                <w:szCs w:val="14"/>
                <w:b w:val="1"/>
                <w:bCs w:val="1"/>
                <w:color w:val="auto"/>
              </w:rPr>
              <w:t>Liability Classified</w:t>
            </w:r>
          </w:p>
        </w:tc>
        <w:tc>
          <w:tcPr>
            <w:tcW w:w="660" w:type="dxa"/>
            <w:vAlign w:val="bottom"/>
            <w:tcBorders>
              <w:top w:val="single" w:sz="8" w:color="auto"/>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Equity Classified</w:t>
            </w:r>
          </w:p>
        </w:tc>
        <w:tc>
          <w:tcPr>
            <w:tcW w:w="60" w:type="dxa"/>
            <w:vAlign w:val="bottom"/>
            <w:tcBorders>
              <w:bottom w:val="single" w:sz="8" w:color="CCEEFF"/>
            </w:tcBorders>
          </w:tcPr>
          <w:p>
            <w:pPr>
              <w:spacing w:after="0"/>
              <w:rPr>
                <w:sz w:val="12"/>
                <w:szCs w:val="12"/>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2,485,794</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C$ 18.45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35,000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Warrants Exercised</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(226,271)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18.01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2,259,523</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b w:val="1"/>
                <w:bCs w:val="1"/>
                <w:u w:val="single" w:color="auto"/>
                <w:color w:val="auto"/>
                <w:w w:val="93"/>
              </w:rPr>
              <w:t>C$</w:t>
            </w:r>
            <w:r>
              <w:rPr>
                <w:rFonts w:ascii="Arial" w:cs="Arial" w:eastAsia="Arial" w:hAnsi="Arial"/>
                <w:sz w:val="18"/>
                <w:szCs w:val="18"/>
                <w:b w:val="1"/>
                <w:bCs w:val="1"/>
                <w:color w:val="auto"/>
                <w:w w:val="93"/>
              </w:rPr>
              <w:t>18.</w:t>
            </w:r>
            <w:r>
              <w:rPr>
                <w:rFonts w:ascii="Arial" w:cs="Arial" w:eastAsia="Arial" w:hAnsi="Arial"/>
                <w:sz w:val="18"/>
                <w:szCs w:val="18"/>
                <w:b w:val="1"/>
                <w:bCs w:val="1"/>
                <w:u w:val="single" w:color="auto"/>
                <w:color w:val="auto"/>
                <w:w w:val="93"/>
              </w:rPr>
              <w:t>18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3.14</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4"/>
              </w:rPr>
              <w:t>35,000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4.18</w:t>
            </w:r>
          </w:p>
        </w:tc>
      </w:tr>
      <w:tr>
        <w:trPr>
          <w:trHeight w:val="20"/>
        </w:trPr>
        <w:tc>
          <w:tcPr>
            <w:tcW w:w="5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fair value of the liability classified warrants at March 31, 2021 and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Strike</w:t>
            </w:r>
          </w:p>
        </w:tc>
        <w:tc>
          <w:tcPr>
            <w:tcW w:w="19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Warrant Liability</w:t>
            </w:r>
          </w:p>
        </w:tc>
        <w:tc>
          <w:tcPr>
            <w:tcW w:w="15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Warrants</w:t>
            </w:r>
          </w:p>
        </w:tc>
        <w:tc>
          <w:tcPr>
            <w:tcW w:w="10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6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Warrants</w:t>
            </w:r>
          </w:p>
        </w:tc>
        <w:tc>
          <w:tcPr>
            <w:tcW w:w="8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432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0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Bridge Financing Warrants</w:t>
            </w:r>
          </w:p>
        </w:tc>
        <w:tc>
          <w:tcPr>
            <w:tcW w:w="1580" w:type="dxa"/>
            <w:vAlign w:val="bottom"/>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C$22.90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3,385,500</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218,964</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2,544,500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Private Placement Financing Warrants</w:t>
            </w:r>
          </w:p>
        </w:tc>
        <w:tc>
          <w:tcPr>
            <w:tcW w:w="2460" w:type="dxa"/>
            <w:vAlign w:val="bottom"/>
            <w:gridSpan w:val="3"/>
          </w:tcPr>
          <w:p>
            <w:pPr>
              <w:jc w:val="center"/>
              <w:ind w:left="1230"/>
              <w:spacing w:after="0"/>
              <w:rPr>
                <w:sz w:val="20"/>
                <w:szCs w:val="20"/>
                <w:color w:val="auto"/>
              </w:rPr>
            </w:pPr>
            <w:r>
              <w:rPr>
                <w:rFonts w:ascii="Arial" w:cs="Arial" w:eastAsia="Arial" w:hAnsi="Arial"/>
                <w:sz w:val="18"/>
                <w:szCs w:val="18"/>
                <w:color w:val="auto"/>
                <w:w w:val="91"/>
              </w:rPr>
              <w:t>C$19.39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1,641,301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32,858,000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1,822,771</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28,756,500</w:t>
            </w:r>
          </w:p>
        </w:tc>
        <w:tc>
          <w:tcPr>
            <w:tcW w:w="0" w:type="dxa"/>
            <w:vAlign w:val="bottom"/>
          </w:tcPr>
          <w:p>
            <w:pPr>
              <w:spacing w:after="0"/>
              <w:rPr>
                <w:sz w:val="1"/>
                <w:szCs w:val="1"/>
                <w:color w:val="auto"/>
              </w:rPr>
            </w:pPr>
          </w:p>
        </w:tc>
      </w:tr>
      <w:tr>
        <w:trPr>
          <w:trHeight w:val="202"/>
        </w:trPr>
        <w:tc>
          <w:tcPr>
            <w:tcW w:w="4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Modification Warrants</w:t>
            </w:r>
          </w:p>
        </w:tc>
        <w:tc>
          <w:tcPr>
            <w:tcW w:w="2460" w:type="dxa"/>
            <w:vAlign w:val="bottom"/>
            <w:gridSpan w:val="3"/>
            <w:shd w:val="clear" w:color="auto" w:fill="CCEEFF"/>
          </w:tcPr>
          <w:p>
            <w:pPr>
              <w:jc w:val="center"/>
              <w:ind w:left="1230"/>
              <w:spacing w:after="0" w:line="201" w:lineRule="exact"/>
              <w:rPr>
                <w:sz w:val="20"/>
                <w:szCs w:val="20"/>
                <w:color w:val="auto"/>
              </w:rPr>
            </w:pPr>
            <w:r>
              <w:rPr>
                <w:rFonts w:ascii="Arial" w:cs="Arial" w:eastAsia="Arial" w:hAnsi="Arial"/>
                <w:sz w:val="18"/>
                <w:szCs w:val="18"/>
                <w:color w:val="auto"/>
                <w:w w:val="91"/>
              </w:rPr>
              <w:t>C$12.04</w:t>
            </w:r>
          </w:p>
        </w:tc>
        <w:tc>
          <w:tcPr>
            <w:tcW w:w="80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323,910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9"/>
              </w:rPr>
              <w:t>7,389,782</w:t>
            </w:r>
          </w:p>
        </w:tc>
        <w:tc>
          <w:tcPr>
            <w:tcW w:w="10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360,256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9"/>
              </w:rPr>
              <w:t>6,630,000</w:t>
            </w:r>
          </w:p>
        </w:tc>
        <w:tc>
          <w:tcPr>
            <w:tcW w:w="0" w:type="dxa"/>
            <w:vAlign w:val="bottom"/>
          </w:tcPr>
          <w:p>
            <w:pPr>
              <w:spacing w:after="0"/>
              <w:rPr>
                <w:sz w:val="1"/>
                <w:szCs w:val="1"/>
                <w:color w:val="auto"/>
              </w:rPr>
            </w:pPr>
          </w:p>
        </w:tc>
      </w:tr>
      <w:tr>
        <w:trPr>
          <w:trHeight w:val="244"/>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Modification Warrants</w:t>
            </w:r>
          </w:p>
        </w:tc>
        <w:tc>
          <w:tcPr>
            <w:tcW w:w="2460" w:type="dxa"/>
            <w:vAlign w:val="bottom"/>
            <w:gridSpan w:val="3"/>
            <w:shd w:val="clear" w:color="auto" w:fill="CCEEFF"/>
          </w:tcPr>
          <w:p>
            <w:pPr>
              <w:jc w:val="center"/>
              <w:ind w:left="1230"/>
              <w:spacing w:after="0"/>
              <w:rPr>
                <w:sz w:val="20"/>
                <w:szCs w:val="20"/>
                <w:color w:val="auto"/>
              </w:rPr>
            </w:pPr>
            <w:r>
              <w:rPr>
                <w:rFonts w:ascii="Arial" w:cs="Arial" w:eastAsia="Arial" w:hAnsi="Arial"/>
                <w:sz w:val="18"/>
                <w:szCs w:val="18"/>
                <w:color w:val="auto"/>
                <w:w w:val="91"/>
              </w:rPr>
              <w:t>C$14.03</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75,348</w:t>
            </w:r>
          </w:p>
        </w:tc>
        <w:tc>
          <w:tcPr>
            <w:tcW w:w="1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1,671,389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83,803</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1,523,000</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2,259,523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45,304,671</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2,485,794</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39,454,000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60" w:right="160"/>
        <w:spacing w:after="0" w:line="263" w:lineRule="auto"/>
        <w:rPr>
          <w:sz w:val="20"/>
          <w:szCs w:val="20"/>
          <w:color w:val="auto"/>
        </w:rPr>
      </w:pPr>
      <w:r>
        <w:rPr>
          <w:rFonts w:ascii="Arial" w:cs="Arial" w:eastAsia="Arial" w:hAnsi="Arial"/>
          <w:sz w:val="18"/>
          <w:szCs w:val="18"/>
          <w:color w:val="auto"/>
        </w:rPr>
        <w:t>During the three months ended March 31, 2021 and 2020, the Company recorded a loss of $5,850,671 and a gain of $7,382,843, respectively, on the change in the fair value of the warrant liability within other income (expense) on the unaudited interim condensed consolidated statements of operations.</w:t>
      </w:r>
    </w:p>
    <w:p>
      <w:pPr>
        <w:spacing w:after="0" w:line="184"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The following table summarizes the significant assumptions used in determining the fair value of the warrant liability as of each reporting date (see Note 13 - Fair Value Measurements for additional details):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7"/>
              </w:rPr>
              <w:t>Significant Assumptions</w:t>
            </w:r>
          </w:p>
        </w:tc>
        <w:tc>
          <w:tcPr>
            <w:tcW w:w="3960" w:type="dxa"/>
            <w:vAlign w:val="bottom"/>
          </w:tcPr>
          <w:p>
            <w:pPr>
              <w:spacing w:after="0"/>
              <w:rPr>
                <w:sz w:val="14"/>
                <w:szCs w:val="14"/>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w:t>
            </w: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5320" w:type="dxa"/>
            <w:vAlign w:val="bottom"/>
            <w:gridSpan w:val="2"/>
          </w:tcPr>
          <w:p>
            <w:pPr>
              <w:jc w:val="right"/>
              <w:ind w:right="456"/>
              <w:spacing w:after="0" w:line="158"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300" w:type="dxa"/>
            <w:vAlign w:val="bottom"/>
          </w:tcPr>
          <w:p>
            <w:pPr>
              <w:jc w:val="right"/>
              <w:ind w:right="417"/>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Volatility</w:t>
            </w:r>
          </w:p>
        </w:tc>
        <w:tc>
          <w:tcPr>
            <w:tcW w:w="39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73.80% - 79.62%</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72.19% - 79.1%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Remaining Term</w:t>
            </w:r>
          </w:p>
        </w:tc>
        <w:tc>
          <w:tcPr>
            <w:tcW w:w="39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1.53 - 4.14 years</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1.78 - 4.39 years</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5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0.22% - 0.78%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 - 0.28%</w:t>
            </w:r>
          </w:p>
        </w:tc>
        <w:tc>
          <w:tcPr>
            <w:tcW w:w="0" w:type="dxa"/>
            <w:vAlign w:val="bottom"/>
          </w:tcPr>
          <w:p>
            <w:pPr>
              <w:spacing w:after="0"/>
              <w:rPr>
                <w:sz w:val="1"/>
                <w:szCs w:val="1"/>
                <w:color w:val="auto"/>
              </w:rPr>
            </w:pPr>
          </w:p>
        </w:tc>
      </w:tr>
      <w:tr>
        <w:trPr>
          <w:trHeight w:val="365"/>
        </w:trPr>
        <w:tc>
          <w:tcPr>
            <w:tcW w:w="1460" w:type="dxa"/>
            <w:vAlign w:val="bottom"/>
          </w:tcPr>
          <w:p>
            <w:pPr>
              <w:spacing w:after="0"/>
              <w:rPr>
                <w:sz w:val="24"/>
                <w:szCs w:val="24"/>
                <w:color w:val="auto"/>
              </w:rPr>
            </w:pPr>
          </w:p>
        </w:tc>
        <w:tc>
          <w:tcPr>
            <w:tcW w:w="3960" w:type="dxa"/>
            <w:vAlign w:val="bottom"/>
          </w:tcPr>
          <w:p>
            <w:pPr>
              <w:jc w:val="right"/>
              <w:ind w:right="956"/>
              <w:spacing w:after="0"/>
              <w:rPr>
                <w:sz w:val="20"/>
                <w:szCs w:val="20"/>
                <w:color w:val="auto"/>
              </w:rPr>
            </w:pPr>
            <w:r>
              <w:rPr>
                <w:rFonts w:ascii="Arial" w:cs="Arial" w:eastAsia="Arial" w:hAnsi="Arial"/>
                <w:sz w:val="18"/>
                <w:szCs w:val="18"/>
                <w:color w:val="auto"/>
              </w:rPr>
              <w:t>- 17 -</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summarizes the fair value of the equity classified warrants at March 31, 2021 and December 31,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Pr>
          <w:p>
            <w:pPr>
              <w:spacing w:after="0"/>
              <w:rPr>
                <w:sz w:val="15"/>
                <w:szCs w:val="15"/>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0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0"/>
              </w:rPr>
              <w:t>Warrants Included in Contributed Surplus (Deficit)</w:t>
            </w:r>
          </w:p>
        </w:tc>
        <w:tc>
          <w:tcPr>
            <w:tcW w:w="3560" w:type="dxa"/>
            <w:vAlign w:val="bottom"/>
          </w:tcPr>
          <w:p>
            <w:pPr>
              <w:spacing w:after="0"/>
              <w:rPr>
                <w:sz w:val="9"/>
                <w:szCs w:val="9"/>
                <w:color w:val="auto"/>
              </w:rPr>
            </w:pPr>
          </w:p>
        </w:tc>
        <w:tc>
          <w:tcPr>
            <w:tcW w:w="4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Strike</w:t>
            </w:r>
          </w:p>
        </w:tc>
        <w:tc>
          <w:tcPr>
            <w:tcW w:w="260" w:type="dxa"/>
            <w:vAlign w:val="bottom"/>
          </w:tcPr>
          <w:p>
            <w:pPr>
              <w:spacing w:after="0"/>
              <w:rPr>
                <w:sz w:val="9"/>
                <w:szCs w:val="9"/>
                <w:color w:val="auto"/>
              </w:rPr>
            </w:pPr>
          </w:p>
        </w:tc>
        <w:tc>
          <w:tcPr>
            <w:tcW w:w="1020" w:type="dxa"/>
            <w:vAlign w:val="bottom"/>
            <w:gridSpan w:val="2"/>
          </w:tcPr>
          <w:p>
            <w:pPr>
              <w:jc w:val="right"/>
              <w:ind w:right="340"/>
              <w:spacing w:after="0" w:line="113" w:lineRule="exact"/>
              <w:rPr>
                <w:sz w:val="20"/>
                <w:szCs w:val="20"/>
                <w:color w:val="auto"/>
              </w:rPr>
            </w:pPr>
            <w:r>
              <w:rPr>
                <w:rFonts w:ascii="Arial" w:cs="Arial" w:eastAsia="Arial" w:hAnsi="Arial"/>
                <w:sz w:val="13"/>
                <w:szCs w:val="13"/>
                <w:b w:val="1"/>
                <w:bCs w:val="1"/>
                <w:color w:val="auto"/>
              </w:rPr>
              <w:t>Warrants</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2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Warrants</w:t>
            </w: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78"/>
        </w:trPr>
        <w:tc>
          <w:tcPr>
            <w:tcW w:w="3040" w:type="dxa"/>
            <w:vAlign w:val="bottom"/>
            <w:tcBorders>
              <w:bottom w:val="single" w:sz="8" w:color="auto"/>
            </w:tcBorders>
            <w:vMerge w:val="continue"/>
          </w:tcPr>
          <w:p>
            <w:pPr>
              <w:spacing w:after="0"/>
              <w:rPr>
                <w:sz w:val="15"/>
                <w:szCs w:val="15"/>
                <w:color w:val="auto"/>
              </w:rPr>
            </w:pPr>
          </w:p>
        </w:tc>
        <w:tc>
          <w:tcPr>
            <w:tcW w:w="3560" w:type="dxa"/>
            <w:vAlign w:val="bottom"/>
          </w:tcPr>
          <w:p>
            <w:pPr>
              <w:spacing w:after="0"/>
              <w:rPr>
                <w:sz w:val="15"/>
                <w:szCs w:val="15"/>
                <w:color w:val="auto"/>
              </w:rPr>
            </w:pPr>
          </w:p>
        </w:tc>
        <w:tc>
          <w:tcPr>
            <w:tcW w:w="6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89"/>
              </w:rPr>
              <w:t>Outstanding</w:t>
            </w:r>
          </w:p>
        </w:tc>
        <w:tc>
          <w:tcPr>
            <w:tcW w:w="940" w:type="dxa"/>
            <w:vAlign w:val="bottom"/>
            <w:gridSpan w:val="2"/>
            <w:vMerge w:val="continue"/>
          </w:tcPr>
          <w:p>
            <w:pPr>
              <w:spacing w:after="0"/>
              <w:rPr>
                <w:sz w:val="15"/>
                <w:szCs w:val="15"/>
                <w:color w:val="auto"/>
              </w:rPr>
            </w:pPr>
          </w:p>
        </w:tc>
        <w:tc>
          <w:tcPr>
            <w:tcW w:w="10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Dispensary Mortgage Warrants</w:t>
            </w:r>
          </w:p>
        </w:tc>
        <w:tc>
          <w:tcPr>
            <w:tcW w:w="3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$9.10</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$181,272</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$181,272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equity warrants were valued at the date of issuance using a volatility rate of 80%, a term of 5 years and a risk free rate of 0.37%.</w:t>
      </w:r>
    </w:p>
    <w:p>
      <w:pPr>
        <w:spacing w:after="0" w:line="370"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Common shares, which include the Company’s Subordinate Voting Shares, Multiple Voting Shares and Super Voting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w:t>
      </w:r>
      <w:r>
        <w:rPr>
          <w:rFonts w:ascii="Arial" w:cs="Arial" w:eastAsia="Arial" w:hAnsi="Arial"/>
          <w:sz w:val="16"/>
          <w:szCs w:val="16"/>
          <w:b w:val="1"/>
          <w:bCs w:val="1"/>
          <w:color w:val="auto"/>
        </w:rPr>
        <w:t>ASC</w:t>
      </w:r>
      <w:r>
        <w:rPr>
          <w:rFonts w:ascii="Arial" w:cs="Arial" w:eastAsia="Arial" w:hAnsi="Arial"/>
          <w:sz w:val="16"/>
          <w:szCs w:val="16"/>
          <w:color w:val="auto"/>
        </w:rPr>
        <w:t xml:space="preserve">”) 740, </w:t>
      </w:r>
      <w:r>
        <w:rPr>
          <w:rFonts w:ascii="Arial" w:cs="Arial" w:eastAsia="Arial" w:hAnsi="Arial"/>
          <w:sz w:val="16"/>
          <w:szCs w:val="16"/>
          <w:i w:val="1"/>
          <w:iCs w:val="1"/>
          <w:color w:val="auto"/>
        </w:rPr>
        <w:t>Income Taxes</w:t>
      </w:r>
      <w:r>
        <w:rPr>
          <w:rFonts w:ascii="Arial" w:cs="Arial" w:eastAsia="Arial" w:hAnsi="Arial"/>
          <w:sz w:val="16"/>
          <w:szCs w:val="16"/>
          <w:color w:val="auto"/>
        </w:rPr>
        <w:t>.</w:t>
      </w:r>
    </w:p>
    <w:p>
      <w:pPr>
        <w:spacing w:after="0" w:line="5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860" w:hanging="543"/>
        <w:spacing w:after="0"/>
        <w:tabs>
          <w:tab w:leader="none" w:pos="18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w:t>
      </w:r>
      <w:r>
        <w:rPr>
          <w:rFonts w:ascii="Arial" w:cs="Arial" w:eastAsia="Arial" w:hAnsi="Arial"/>
          <w:sz w:val="18"/>
          <w:szCs w:val="18"/>
          <w:b w:val="1"/>
          <w:bCs w:val="1"/>
          <w:color w:val="auto"/>
        </w:rPr>
        <w:t>ubordinate Voting Shares</w:t>
      </w:r>
    </w:p>
    <w:p>
      <w:pPr>
        <w:spacing w:after="0" w:line="121" w:lineRule="exact"/>
        <w:rPr>
          <w:sz w:val="20"/>
          <w:szCs w:val="20"/>
          <w:color w:val="auto"/>
        </w:rPr>
      </w:pPr>
    </w:p>
    <w:p>
      <w:pPr>
        <w:ind w:left="1100" w:right="60"/>
        <w:spacing w:after="0" w:line="275"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three months ending March 31, 2021, the shareholders of the Company converted 30 Multiple Voting Shares into 3,000 Subordinate Voting Shares and 11,000 Super Voting Shares into 1,100,000 Subordinate Voting Shares.</w:t>
      </w:r>
    </w:p>
    <w:p>
      <w:pPr>
        <w:spacing w:after="0" w:line="78" w:lineRule="exact"/>
        <w:rPr>
          <w:sz w:val="20"/>
          <w:szCs w:val="20"/>
          <w:color w:val="auto"/>
        </w:rPr>
      </w:pPr>
    </w:p>
    <w:p>
      <w:pPr>
        <w:ind w:left="1860" w:hanging="543"/>
        <w:spacing w:after="0"/>
        <w:tabs>
          <w:tab w:leader="none" w:pos="18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March 31, 2021, the Company had 40,259 issued and outstanding Multiple Voting Shares, which convert into 4,025,900 Subordinate Voting Shares. The Company is authorized to issue an unlimited number of Multiple Voting Shares. During the three months ending March 31, 2021, the shareholders of the Company converted 30 Multiple Voting Shares into 3,000 Subordinate Voting Shares.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4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306" w:lineRule="exact"/>
        <w:rPr>
          <w:rFonts w:ascii="Arial" w:cs="Arial" w:eastAsia="Arial" w:hAnsi="Arial"/>
          <w:sz w:val="18"/>
          <w:szCs w:val="18"/>
          <w:b w:val="1"/>
          <w:bCs w:val="1"/>
          <w:color w:val="auto"/>
        </w:rPr>
      </w:pPr>
    </w:p>
    <w:p>
      <w:pPr>
        <w:ind w:left="1080" w:hanging="532"/>
        <w:spacing w:after="0"/>
        <w:tabs>
          <w:tab w:leader="none" w:pos="108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6995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8" w:lineRule="exact"/>
        <w:rPr>
          <w:sz w:val="20"/>
          <w:szCs w:val="20"/>
          <w:color w:val="auto"/>
        </w:rPr>
      </w:pPr>
    </w:p>
    <w:p>
      <w:pPr>
        <w:ind w:left="1860" w:hanging="543"/>
        <w:spacing w:after="0"/>
        <w:tabs>
          <w:tab w:leader="none" w:pos="18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March 31, 2021, the Company had 301,031 issued and outstanding Super Voting Shares which convert into 30,103,100 Subordinate Voting Shares. The Company is authorized to issue an unlimited number of Super Voting Shares. During the three months ending March 31, 2021, the shareholders of the Company converted 11,000 Super Voting Shares into 1,100,000 Subordinate Voting Shares.</w:t>
      </w:r>
    </w:p>
    <w:p>
      <w:pPr>
        <w:spacing w:after="0" w:line="8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Issued and Outstanding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Subordinate</w:t>
            </w: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240"/>
              <w:spacing w:after="0" w:line="123" w:lineRule="exact"/>
              <w:rPr>
                <w:sz w:val="20"/>
                <w:szCs w:val="20"/>
                <w:color w:val="auto"/>
              </w:rPr>
            </w:pPr>
            <w:r>
              <w:rPr>
                <w:rFonts w:ascii="Arial" w:cs="Arial" w:eastAsia="Arial" w:hAnsi="Arial"/>
                <w:sz w:val="14"/>
                <w:szCs w:val="14"/>
                <w:color w:val="auto"/>
              </w:rPr>
              <w:t>Multiple</w:t>
            </w: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Super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2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Voting</w:t>
            </w: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Shares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178,113,221</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40,289</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312,031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960" w:type="dxa"/>
            <w:vAlign w:val="bottom"/>
          </w:tcPr>
          <w:p>
            <w:pPr>
              <w:jc w:val="right"/>
              <w:spacing w:after="0"/>
              <w:rPr>
                <w:sz w:val="20"/>
                <w:szCs w:val="20"/>
                <w:color w:val="auto"/>
              </w:rPr>
            </w:pPr>
            <w:r>
              <w:rPr>
                <w:rFonts w:ascii="Arial" w:cs="Arial" w:eastAsia="Arial" w:hAnsi="Arial"/>
                <w:sz w:val="18"/>
                <w:szCs w:val="18"/>
                <w:color w:val="auto"/>
              </w:rPr>
              <w:t>30,414</w:t>
            </w:r>
          </w:p>
        </w:tc>
        <w:tc>
          <w:tcPr>
            <w:tcW w:w="2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contingent consideration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412,744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Distribution of deferred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146,315</w:t>
            </w:r>
          </w:p>
        </w:tc>
        <w:tc>
          <w:tcPr>
            <w:tcW w:w="2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Issuance of registered shares pursuant to S-1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4,693,991</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 of shares upon exercise of options and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449,665</w:t>
            </w:r>
          </w:p>
        </w:tc>
        <w:tc>
          <w:tcPr>
            <w:tcW w:w="2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Issuances of shares upon vesting of RSUs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Exchange of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1,103,000</w:t>
            </w:r>
          </w:p>
        </w:tc>
        <w:tc>
          <w:tcPr>
            <w:tcW w:w="2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March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185,044,227</w:t>
            </w:r>
          </w:p>
        </w:tc>
        <w:tc>
          <w:tcPr>
            <w:tcW w:w="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40,259</w:t>
            </w: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301,031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jc w:val="right"/>
              <w:ind w:right="1650"/>
              <w:spacing w:after="0"/>
              <w:rPr>
                <w:sz w:val="20"/>
                <w:szCs w:val="20"/>
                <w:color w:val="auto"/>
              </w:rPr>
            </w:pPr>
            <w:r>
              <w:rPr>
                <w:rFonts w:ascii="Arial" w:cs="Arial" w:eastAsia="Arial" w:hAnsi="Arial"/>
                <w:sz w:val="18"/>
                <w:szCs w:val="18"/>
                <w:color w:val="auto"/>
              </w:rPr>
              <w:t>- 19 -</w:t>
            </w: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310" w:lineRule="exact"/>
        <w:rPr>
          <w:rFonts w:ascii="Arial" w:cs="Arial" w:eastAsia="Arial" w:hAnsi="Arial"/>
          <w:sz w:val="18"/>
          <w:szCs w:val="18"/>
          <w:b w:val="1"/>
          <w:bCs w:val="1"/>
          <w:color w:val="auto"/>
        </w:rPr>
      </w:pPr>
    </w:p>
    <w:p>
      <w:pPr>
        <w:ind w:left="1540" w:right="4640" w:hanging="439"/>
        <w:spacing w:after="0" w:line="375" w:lineRule="auto"/>
        <w:tabs>
          <w:tab w:leader="none" w:pos="1525"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GTI New Jersey, LLC</w:t>
      </w:r>
    </w:p>
    <w:p>
      <w:pPr>
        <w:spacing w:after="0" w:line="1" w:lineRule="exact"/>
        <w:rPr>
          <w:rFonts w:ascii="Arial" w:cs="Arial" w:eastAsia="Arial" w:hAnsi="Arial"/>
          <w:sz w:val="18"/>
          <w:szCs w:val="18"/>
          <w:b w:val="1"/>
          <w:bCs w:val="1"/>
          <w:i w:val="1"/>
          <w:iCs w:val="1"/>
          <w:color w:val="auto"/>
        </w:rPr>
      </w:pPr>
    </w:p>
    <w:p>
      <w:pPr>
        <w:ind w:left="1540" w:right="4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of that date, the Company recorded a current obligation of $2,000,000 representing the maximum value of the shares to be issuable to the former minority shareholders of GTI New Jersey, LLC. On March 15, 2021, one of the retail dispensaries, located in Paramus, New Jersey, was successfully opened. As a result, the Company issued 30,414 Subordinate Voting Shares to the former minority shareholders of GTI New Jersey, LLC. The shares had a fair value of $1,038,307 on the date of issuance. As of March 31, 2021, and December 31, 2020, the Company carried an obligation of $1,000,000 and $2,000,000, respectively, associated with the retail dispensary agreement with the former minority shareholders of GTI New Jersey, LLC.</w:t>
      </w:r>
    </w:p>
    <w:p>
      <w:pPr>
        <w:spacing w:after="0" w:line="71" w:lineRule="exact"/>
        <w:rPr>
          <w:rFonts w:ascii="Arial" w:cs="Arial" w:eastAsia="Arial" w:hAnsi="Arial"/>
          <w:sz w:val="18"/>
          <w:szCs w:val="18"/>
          <w:b w:val="1"/>
          <w:bCs w:val="1"/>
          <w:i w:val="1"/>
          <w:iCs w:val="1"/>
          <w:color w:val="auto"/>
        </w:rPr>
      </w:pPr>
    </w:p>
    <w:p>
      <w:pPr>
        <w:ind w:left="1540" w:right="6540" w:hanging="439"/>
        <w:spacing w:after="0" w:line="397" w:lineRule="auto"/>
        <w:tabs>
          <w:tab w:leader="none" w:pos="1525" w:val="left"/>
        </w:tabs>
        <w:numPr>
          <w:ilvl w:val="1"/>
          <w:numId w:val="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Distribution of Contingent Consideration </w:t>
      </w:r>
      <w:r>
        <w:rPr>
          <w:rFonts w:ascii="Arial" w:cs="Arial" w:eastAsia="Arial" w:hAnsi="Arial"/>
          <w:sz w:val="17"/>
          <w:szCs w:val="17"/>
          <w:i w:val="1"/>
          <w:iCs w:val="1"/>
          <w:color w:val="auto"/>
        </w:rPr>
        <w:t>Integral Associates, LLC</w:t>
      </w:r>
    </w:p>
    <w:p>
      <w:pPr>
        <w:spacing w:after="0" w:line="1" w:lineRule="exact"/>
        <w:rPr>
          <w:rFonts w:ascii="Arial" w:cs="Arial" w:eastAsia="Arial" w:hAnsi="Arial"/>
          <w:sz w:val="17"/>
          <w:szCs w:val="17"/>
          <w:b w:val="1"/>
          <w:bCs w:val="1"/>
          <w:i w:val="1"/>
          <w:iCs w:val="1"/>
          <w:color w:val="auto"/>
        </w:rPr>
      </w:pPr>
    </w:p>
    <w:p>
      <w:pPr>
        <w:ind w:left="1540"/>
        <w:spacing w:after="0" w:line="269" w:lineRule="auto"/>
        <w:rPr>
          <w:rFonts w:ascii="Arial" w:cs="Arial" w:eastAsia="Arial" w:hAnsi="Arial"/>
          <w:sz w:val="17"/>
          <w:szCs w:val="17"/>
          <w:b w:val="1"/>
          <w:bCs w:val="1"/>
          <w:i w:val="1"/>
          <w:iCs w:val="1"/>
          <w:color w:val="auto"/>
        </w:rPr>
      </w:pPr>
      <w:r>
        <w:rPr>
          <w:rFonts w:ascii="Arial" w:cs="Arial" w:eastAsia="Arial" w:hAnsi="Arial"/>
          <w:sz w:val="17"/>
          <w:szCs w:val="17"/>
          <w:color w:val="auto"/>
        </w:rPr>
        <w:t>In connection with the Company’s 2019 acquisition of Integral Associates, LLC, the purchase agreement included contingent consideration which was dependent upon the awarding of conditional and final dispensary operating licenses. On March 22, 2021, the Company issued 412,744 Subordinate Voting Shares to the former owners of Integral Associates, LLC in connection with the awarding of a final retail dispensary license located in Pasadena, California. The shares had a fair value of $12,672,681 at the date of issuance and resulted in a loss of $8,172,681 which was recorded in other income (expense) in the unaudited interim condensed consolidated statement of operations. In addition, the Company determined that there is a remote likelihood that the Company will obtain retail dispensary operating licenses in either West Hollywood or Culver City, California, under commercially reasonable terms. Consequently, the Company remeasured the contingent liability associated with these milestones which resulted in a reduction to the contingent liability of $7,750,000 with a corresponding reduction to other income (expense) in the unaudited interim condensed consolidated statement of operations.</w:t>
      </w:r>
    </w:p>
    <w:p>
      <w:pPr>
        <w:spacing w:after="0" w:line="77" w:lineRule="exact"/>
        <w:rPr>
          <w:rFonts w:ascii="Arial" w:cs="Arial" w:eastAsia="Arial" w:hAnsi="Arial"/>
          <w:sz w:val="17"/>
          <w:szCs w:val="17"/>
          <w:b w:val="1"/>
          <w:bCs w:val="1"/>
          <w:i w:val="1"/>
          <w:iCs w:val="1"/>
          <w:color w:val="auto"/>
        </w:rPr>
      </w:pPr>
    </w:p>
    <w:p>
      <w:pPr>
        <w:ind w:left="1540" w:right="1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color w:val="auto"/>
        </w:rPr>
        <w:t>As of March 31, 2021 and December 31, 2020, the estimated fair value of the contingent consideration associated with the acquisition of Integral Associates, LLC, which was valued using a probability weighting of the potential payouts, was $14,850,000 and $27,100,000, respectively of which $4,950,000, in each period, was recorded as a non-current liability.</w:t>
      </w:r>
    </w:p>
    <w:p>
      <w:pPr>
        <w:spacing w:after="0" w:line="70" w:lineRule="exact"/>
        <w:rPr>
          <w:rFonts w:ascii="Arial" w:cs="Arial" w:eastAsia="Arial" w:hAnsi="Arial"/>
          <w:sz w:val="17"/>
          <w:szCs w:val="17"/>
          <w:b w:val="1"/>
          <w:bCs w:val="1"/>
          <w:i w:val="1"/>
          <w:iCs w:val="1"/>
          <w:color w:val="auto"/>
        </w:rPr>
      </w:pPr>
    </w:p>
    <w:p>
      <w:pPr>
        <w:ind w:left="1540" w:right="7260" w:hanging="439"/>
        <w:spacing w:after="0" w:line="450" w:lineRule="auto"/>
        <w:tabs>
          <w:tab w:leader="none" w:pos="1525" w:val="left"/>
        </w:tabs>
        <w:numPr>
          <w:ilvl w:val="1"/>
          <w:numId w:val="2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Distribution of Deferred Shares </w:t>
      </w:r>
      <w:r>
        <w:rPr>
          <w:rFonts w:ascii="Arial" w:cs="Arial" w:eastAsia="Arial" w:hAnsi="Arial"/>
          <w:sz w:val="15"/>
          <w:szCs w:val="15"/>
          <w:i w:val="1"/>
          <w:iCs w:val="1"/>
          <w:color w:val="auto"/>
        </w:rPr>
        <w:t>For Success Holding Company</w:t>
      </w:r>
    </w:p>
    <w:p>
      <w:pPr>
        <w:spacing w:after="0" w:line="1" w:lineRule="exact"/>
        <w:rPr>
          <w:rFonts w:ascii="Arial" w:cs="Arial" w:eastAsia="Arial" w:hAnsi="Arial"/>
          <w:sz w:val="15"/>
          <w:szCs w:val="15"/>
          <w:b w:val="1"/>
          <w:bCs w:val="1"/>
          <w:i w:val="1"/>
          <w:iCs w:val="1"/>
          <w:color w:val="auto"/>
        </w:rPr>
      </w:pPr>
    </w:p>
    <w:p>
      <w:pPr>
        <w:ind w:left="1540" w:right="20"/>
        <w:spacing w:after="0" w:line="254" w:lineRule="auto"/>
        <w:rPr>
          <w:rFonts w:ascii="Arial" w:cs="Arial" w:eastAsia="Arial" w:hAnsi="Arial"/>
          <w:sz w:val="15"/>
          <w:szCs w:val="15"/>
          <w:b w:val="1"/>
          <w:bCs w:val="1"/>
          <w:i w:val="1"/>
          <w:iCs w:val="1"/>
          <w:color w:val="auto"/>
        </w:rPr>
      </w:pPr>
      <w:r>
        <w:rPr>
          <w:rFonts w:ascii="Arial" w:cs="Arial" w:eastAsia="Arial" w:hAnsi="Arial"/>
          <w:sz w:val="18"/>
          <w:szCs w:val="18"/>
          <w:color w:val="auto"/>
        </w:rPr>
        <w:t>As part of the consideration exchanged in the Company’s 2019 acquisitions, Subordinate Voting Shares are held back or deferred until a specific date post acquisition. The deferred shares are issued to the former owners of the acquired entity upon the passage of twelve to twenty-four months from the close of each transaction as defined within each respective acquisition agreement. On February 22, 2021, the Company issued 146,315 Subordinate Voting Shares with a value of $1,825,597 in connection with the Company’s 2019 acquisition of For Success Holding Company. The issuance represented the final payout to the former owners of For Success Holding Company and resulted in the cancelation of 780 shares valued at $9,732 representing certain reimbursable costs incurred by the Company.</w:t>
      </w:r>
    </w:p>
    <w:p>
      <w:pPr>
        <w:spacing w:after="0" w:line="100" w:lineRule="exact"/>
        <w:rPr>
          <w:rFonts w:ascii="Arial" w:cs="Arial" w:eastAsia="Arial" w:hAnsi="Arial"/>
          <w:sz w:val="15"/>
          <w:szCs w:val="15"/>
          <w:b w:val="1"/>
          <w:bCs w:val="1"/>
          <w:i w:val="1"/>
          <w:iCs w:val="1"/>
          <w:color w:val="auto"/>
        </w:rPr>
      </w:pPr>
    </w:p>
    <w:p>
      <w:pPr>
        <w:ind w:left="1540" w:hanging="439"/>
        <w:spacing w:after="0"/>
        <w:tabs>
          <w:tab w:leader="none" w:pos="1540" w:val="left"/>
        </w:tabs>
        <w:numPr>
          <w:ilvl w:val="1"/>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of Registered Shares Pursuant to S-1</w:t>
      </w:r>
    </w:p>
    <w:p>
      <w:pPr>
        <w:spacing w:after="0" w:line="117" w:lineRule="exact"/>
        <w:rPr>
          <w:rFonts w:ascii="Arial" w:cs="Arial" w:eastAsia="Arial" w:hAnsi="Arial"/>
          <w:sz w:val="18"/>
          <w:szCs w:val="18"/>
          <w:b w:val="1"/>
          <w:bCs w:val="1"/>
          <w:i w:val="1"/>
          <w:iCs w:val="1"/>
          <w:color w:val="auto"/>
        </w:rPr>
      </w:pPr>
    </w:p>
    <w:p>
      <w:pPr>
        <w:ind w:left="1540" w:right="8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color w:val="auto"/>
        </w:rPr>
        <w:t>On February 8, 2021, the SEC declared effective, the Company’s Registration Statement No. 333-248213 on Form S-1 filed on February 2, 2021. Shortly thereafter, the Company received an offer from a single institutional investor to purchase 3,122,073 of the Subordinate Voting Shares registered on the Form S-1 at a price of $32.03 per share for a total of $100,000,030. The transaction closed on February 9, 2021. On February 23, 2021, the Company accepted additional offers to purchase a total of 1,571,917 Subordinate Voting Shares at a price of $35.50 per share, for a total of $55,803,054. The Company intends to use the net proceeds from the sale of securities for general corporate purposes, which may include capital expenditures, working capital and general and administrative expenses. The Company may also use a portion of the net proceeds to acquire or invest in business and products that are complimentary to the Company’s own business and products. Additionally, the Company incurred legal, audit and other professional fees of $304,944 associated the issuance of the registered shares. Such fees have been recorded within contributed surplus (deficit) within the Company’s unaudited interim condensed consolidated statement of shareholders’ equity.</w:t>
      </w:r>
    </w:p>
    <w:p>
      <w:pPr>
        <w:spacing w:after="0" w:line="100" w:lineRule="exact"/>
        <w:rPr>
          <w:rFonts w:ascii="Arial" w:cs="Arial" w:eastAsia="Arial" w:hAnsi="Arial"/>
          <w:sz w:val="18"/>
          <w:szCs w:val="18"/>
          <w:b w:val="1"/>
          <w:bCs w:val="1"/>
          <w:i w:val="1"/>
          <w:iCs w:val="1"/>
          <w:color w:val="auto"/>
        </w:rPr>
      </w:pPr>
    </w:p>
    <w:p>
      <w:pPr>
        <w:ind w:left="5540" w:hanging="111"/>
        <w:spacing w:after="0"/>
        <w:tabs>
          <w:tab w:leader="none" w:pos="55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-7433945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306"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rFonts w:ascii="Arial" w:cs="Arial" w:eastAsia="Arial" w:hAnsi="Arial"/>
          <w:sz w:val="18"/>
          <w:szCs w:val="18"/>
          <w:b w:val="1"/>
          <w:bCs w:val="1"/>
          <w:color w:val="auto"/>
        </w:rPr>
      </w:pPr>
    </w:p>
    <w:p>
      <w:pPr>
        <w:jc w:val="both"/>
        <w:ind w:left="1100" w:right="2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w:t>
      </w:r>
    </w:p>
    <w:p>
      <w:pPr>
        <w:spacing w:after="0" w:line="2" w:lineRule="exact"/>
        <w:rPr>
          <w:rFonts w:ascii="Arial" w:cs="Arial" w:eastAsia="Arial" w:hAnsi="Arial"/>
          <w:sz w:val="18"/>
          <w:szCs w:val="18"/>
          <w:b w:val="1"/>
          <w:bCs w:val="1"/>
          <w:color w:val="auto"/>
        </w:rPr>
      </w:pPr>
    </w:p>
    <w:p>
      <w:pPr>
        <w:ind w:left="1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84" w:lineRule="exact"/>
        <w:rPr>
          <w:rFonts w:ascii="Arial" w:cs="Arial" w:eastAsia="Arial" w:hAnsi="Arial"/>
          <w:sz w:val="18"/>
          <w:szCs w:val="18"/>
          <w:b w:val="1"/>
          <w:bCs w:val="1"/>
          <w:color w:val="auto"/>
        </w:rPr>
      </w:pPr>
    </w:p>
    <w:p>
      <w:pPr>
        <w:ind w:left="1100"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w:t>
      </w:r>
      <w:r>
        <w:rPr>
          <w:rFonts w:ascii="Arial" w:cs="Arial" w:eastAsia="Arial" w:hAnsi="Arial"/>
          <w:sz w:val="18"/>
          <w:szCs w:val="18"/>
          <w:b w:val="1"/>
          <w:bCs w:val="1"/>
          <w:color w:val="auto"/>
        </w:rPr>
        <w:t>Plan</w:t>
      </w:r>
      <w:r>
        <w:rPr>
          <w:rFonts w:ascii="Arial" w:cs="Arial" w:eastAsia="Arial" w:hAnsi="Arial"/>
          <w:sz w:val="18"/>
          <w:szCs w:val="18"/>
          <w:color w:val="auto"/>
        </w:rPr>
        <w:t>”). The maximum number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and options issued under the Plan shall not exceed 10% of the issued and outstanding shares on an as-converted basis.</w:t>
      </w:r>
    </w:p>
    <w:p>
      <w:pPr>
        <w:spacing w:after="0" w:line="75" w:lineRule="exact"/>
        <w:rPr>
          <w:rFonts w:ascii="Arial" w:cs="Arial" w:eastAsia="Arial" w:hAnsi="Arial"/>
          <w:sz w:val="18"/>
          <w:szCs w:val="18"/>
          <w:b w:val="1"/>
          <w:bCs w:val="1"/>
          <w:color w:val="auto"/>
        </w:rPr>
      </w:pPr>
    </w:p>
    <w:p>
      <w:pPr>
        <w:ind w:left="11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9" w:lineRule="exact"/>
        <w:rPr>
          <w:rFonts w:ascii="Arial" w:cs="Arial" w:eastAsia="Arial" w:hAnsi="Arial"/>
          <w:sz w:val="18"/>
          <w:szCs w:val="18"/>
          <w:b w:val="1"/>
          <w:bCs w:val="1"/>
          <w:color w:val="auto"/>
        </w:rPr>
      </w:pPr>
    </w:p>
    <w:p>
      <w:pPr>
        <w:ind w:left="110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75" w:lineRule="exact"/>
        <w:rPr>
          <w:rFonts w:ascii="Arial" w:cs="Arial" w:eastAsia="Arial" w:hAnsi="Arial"/>
          <w:sz w:val="18"/>
          <w:szCs w:val="18"/>
          <w:b w:val="1"/>
          <w:bCs w:val="1"/>
          <w:color w:val="auto"/>
        </w:rPr>
      </w:pPr>
    </w:p>
    <w:p>
      <w:pPr>
        <w:ind w:left="1100"/>
        <w:spacing w:after="0"/>
        <w:rPr>
          <w:rFonts w:ascii="Arial" w:cs="Arial" w:eastAsia="Arial" w:hAnsi="Arial"/>
          <w:sz w:val="18"/>
          <w:szCs w:val="18"/>
          <w:b w:val="1"/>
          <w:bCs w:val="1"/>
          <w:color w:val="auto"/>
        </w:rPr>
      </w:pPr>
      <w:r>
        <w:rPr>
          <w:rFonts w:ascii="Arial" w:cs="Arial" w:eastAsia="Arial" w:hAnsi="Arial"/>
          <w:sz w:val="18"/>
          <w:szCs w:val="18"/>
          <w:color w:val="auto"/>
        </w:rPr>
        <w:t>Stock option activity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-3199130</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Average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Weighted</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Remaining</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14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9"/>
              </w:rPr>
              <w:t>Average Exercise</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1480" w:type="dxa"/>
            <w:vAlign w:val="bottom"/>
            <w:gridSpan w:val="2"/>
          </w:tcPr>
          <w:p>
            <w:pPr>
              <w:jc w:val="right"/>
              <w:ind w:right="680"/>
              <w:spacing w:after="0"/>
              <w:rPr>
                <w:sz w:val="20"/>
                <w:szCs w:val="20"/>
                <w:color w:val="auto"/>
              </w:rPr>
            </w:pPr>
            <w:r>
              <w:rPr>
                <w:rFonts w:ascii="Arial" w:cs="Arial" w:eastAsia="Arial" w:hAnsi="Arial"/>
                <w:sz w:val="14"/>
                <w:szCs w:val="14"/>
                <w:color w:val="auto"/>
              </w:rPr>
              <w:t>Price (C$)</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Life (Years)</w:t>
            </w:r>
          </w:p>
        </w:tc>
        <w:tc>
          <w:tcPr>
            <w:tcW w:w="24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5,664,406</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85,408,034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43,968</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32.74</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(223,394)</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14.04</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(185,540)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10.68</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5,299,440</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106,221,476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1,749,365</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13.37</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2,122,671</w:t>
            </w: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12.15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42,431,312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00" w:right="100"/>
        <w:spacing w:after="0" w:line="25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March 31, 2021 and December 31, 2020, respectively, and the exercise price, multiplied by the number of in-the-money options) that would have been received by the option holders had all option holders exercised their in-the-money options on March 31, 2021 and December 31, 2020. This amount will change in future periods based on the fair market value of the Company’s Subordinate Voting Shares and the number of options outstanding.</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306"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61" w:lineRule="exact"/>
        <w:rPr>
          <w:rFonts w:ascii="Arial" w:cs="Arial" w:eastAsia="Arial" w:hAnsi="Arial"/>
          <w:sz w:val="18"/>
          <w:szCs w:val="18"/>
          <w:b w:val="1"/>
          <w:bCs w:val="1"/>
          <w:color w:val="auto"/>
        </w:rPr>
      </w:pPr>
    </w:p>
    <w:p>
      <w:pPr>
        <w:ind w:left="11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weighted average grant date fair value and intrinsic value of options exercised 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-653415</wp:posOffset>
            </wp:positionV>
            <wp:extent cx="6995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71"/>
        </w:trPr>
        <w:tc>
          <w:tcPr>
            <w:tcW w:w="6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321"/>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82"/>
        </w:trPr>
        <w:tc>
          <w:tcPr>
            <w:tcW w:w="6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Weighted average grant date fair value (per share) of stock option units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 (C$)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13.06</w:t>
            </w: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4.37</w:t>
            </w:r>
          </w:p>
        </w:tc>
      </w:tr>
      <w:tr>
        <w:trPr>
          <w:trHeight w:val="202"/>
        </w:trPr>
        <w:tc>
          <w:tcPr>
            <w:tcW w:w="6100" w:type="dxa"/>
            <w:vAlign w:val="bottom"/>
          </w:tcPr>
          <w:p>
            <w:pPr>
              <w:spacing w:after="0" w:line="201" w:lineRule="exact"/>
              <w:rPr>
                <w:sz w:val="20"/>
                <w:szCs w:val="20"/>
                <w:color w:val="auto"/>
              </w:rPr>
            </w:pPr>
            <w:r>
              <w:rPr>
                <w:rFonts w:ascii="Arial" w:cs="Arial" w:eastAsia="Arial" w:hAnsi="Arial"/>
                <w:sz w:val="18"/>
                <w:szCs w:val="18"/>
                <w:color w:val="auto"/>
                <w:w w:val="99"/>
              </w:rPr>
              <w:t>Intrinsic value of stock option units exercised, using market price at vest date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(USD)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4,573,378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granted during the three months ended</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March 31, 2021 and the year ended December 31, 2020, using the following ranges of assumptions:</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80" w:type="dxa"/>
            <w:vAlign w:val="bottom"/>
            <w:gridSpan w:val="2"/>
          </w:tcPr>
          <w:p>
            <w:pPr>
              <w:jc w:val="center"/>
              <w:ind w:right="720"/>
              <w:spacing w:after="0"/>
              <w:rPr>
                <w:sz w:val="20"/>
                <w:szCs w:val="20"/>
                <w:color w:val="auto"/>
              </w:rPr>
            </w:pPr>
            <w:r>
              <w:rPr>
                <w:rFonts w:ascii="Arial" w:cs="Arial" w:eastAsia="Arial" w:hAnsi="Arial"/>
                <w:sz w:val="14"/>
                <w:szCs w:val="14"/>
                <w:color w:val="auto"/>
                <w:w w:val="93"/>
              </w:rPr>
              <w:t>March 31,</w:t>
            </w: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December 31,</w:t>
            </w:r>
          </w:p>
        </w:tc>
      </w:tr>
      <w:tr>
        <w:trPr>
          <w:trHeight w:val="167"/>
        </w:trPr>
        <w:tc>
          <w:tcPr>
            <w:tcW w:w="55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2021</w:t>
            </w:r>
          </w:p>
        </w:tc>
        <w:tc>
          <w:tcPr>
            <w:tcW w:w="7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0.33% - 0.74%</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 - 1.37%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73%</w:t>
            </w: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Expected option life</w:t>
            </w:r>
          </w:p>
        </w:tc>
        <w:tc>
          <w:tcPr>
            <w:tcW w:w="1780" w:type="dxa"/>
            <w:vAlign w:val="bottom"/>
            <w:gridSpan w:val="2"/>
          </w:tcPr>
          <w:p>
            <w:pPr>
              <w:jc w:val="center"/>
              <w:ind w:right="700"/>
              <w:spacing w:after="0"/>
              <w:rPr>
                <w:sz w:val="20"/>
                <w:szCs w:val="20"/>
                <w:color w:val="auto"/>
              </w:rPr>
            </w:pPr>
            <w:r>
              <w:rPr>
                <w:rFonts w:ascii="Arial" w:cs="Arial" w:eastAsia="Arial" w:hAnsi="Arial"/>
                <w:sz w:val="18"/>
                <w:szCs w:val="18"/>
                <w:color w:val="auto"/>
                <w:w w:val="88"/>
              </w:rPr>
              <w:t>3 – 3.5 years</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3-5 years</w:t>
            </w:r>
          </w:p>
        </w:tc>
      </w:tr>
    </w:tbl>
    <w:p>
      <w:pPr>
        <w:spacing w:after="0" w:line="18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permitted under ASC 718, the Company has made an accounting policy choice to account for forfeitures when they occur.</w:t>
      </w:r>
    </w:p>
    <w:p>
      <w:pPr>
        <w:spacing w:after="0" w:line="117" w:lineRule="exact"/>
        <w:rPr>
          <w:sz w:val="20"/>
          <w:szCs w:val="20"/>
          <w:color w:val="auto"/>
        </w:rPr>
      </w:pPr>
    </w:p>
    <w:p>
      <w:pPr>
        <w:ind w:left="1100" w:right="280"/>
        <w:spacing w:after="0" w:line="277" w:lineRule="auto"/>
        <w:rPr>
          <w:sz w:val="20"/>
          <w:szCs w:val="20"/>
          <w:color w:val="auto"/>
        </w:rPr>
      </w:pPr>
      <w:r>
        <w:rPr>
          <w:rFonts w:ascii="Arial" w:cs="Arial" w:eastAsia="Arial" w:hAnsi="Arial"/>
          <w:sz w:val="18"/>
          <w:szCs w:val="18"/>
          <w:color w:val="auto"/>
        </w:rPr>
        <w:t>The following table summarizes the number of non-vested RSU awards as of March 31, 2021 and December 31, 2020 and the changes during the three months ended March 31, 2021:</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Weighted</w:t>
            </w:r>
          </w:p>
        </w:tc>
      </w:tr>
      <w:tr>
        <w:trPr>
          <w:trHeight w:val="149"/>
        </w:trPr>
        <w:tc>
          <w:tcPr>
            <w:tcW w:w="6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8"/>
              </w:rPr>
              <w:t>Average</w:t>
            </w:r>
          </w:p>
        </w:tc>
      </w:tr>
      <w:tr>
        <w:trPr>
          <w:trHeight w:val="148"/>
        </w:trPr>
        <w:tc>
          <w:tcPr>
            <w:tcW w:w="6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0"/>
              </w:rPr>
              <w:t>Grant Date</w:t>
            </w:r>
          </w:p>
        </w:tc>
      </w:tr>
      <w:tr>
        <w:trPr>
          <w:trHeight w:val="148"/>
        </w:trPr>
        <w:tc>
          <w:tcPr>
            <w:tcW w:w="6600" w:type="dxa"/>
            <w:vAlign w:val="bottom"/>
          </w:tcPr>
          <w:p>
            <w:pPr>
              <w:spacing w:after="0"/>
              <w:rPr>
                <w:sz w:val="12"/>
                <w:szCs w:val="12"/>
                <w:color w:val="auto"/>
              </w:rPr>
            </w:pPr>
          </w:p>
        </w:tc>
        <w:tc>
          <w:tcPr>
            <w:tcW w:w="10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4"/>
              </w:rPr>
              <w:t>Number of</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Fair Value</w:t>
            </w:r>
          </w:p>
        </w:tc>
      </w:tr>
      <w:tr>
        <w:trPr>
          <w:trHeight w:val="167"/>
        </w:trPr>
        <w:tc>
          <w:tcPr>
            <w:tcW w:w="660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color w:val="auto"/>
                <w:w w:val="95"/>
              </w:rPr>
              <w:t>(C$)</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689,340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16,739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39.63</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16.48</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(94,877)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18.35</w:t>
            </w:r>
          </w:p>
        </w:tc>
      </w:tr>
      <w:tr>
        <w:trPr>
          <w:trHeight w:val="27"/>
        </w:trPr>
        <w:tc>
          <w:tcPr>
            <w:tcW w:w="6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March 31, 2021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592,535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w:t>
            </w:r>
          </w:p>
        </w:tc>
      </w:tr>
    </w:tbl>
    <w:p>
      <w:pPr>
        <w:spacing w:after="0" w:line="20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following table summarizes the weighted average grant date fair value and total fair value of RSUs vested for the three months ended</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March 31, 2021 and 2020:</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71"/>
        </w:trPr>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left="521"/>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 of granted (C$)</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72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39.63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10.86</w:t>
            </w:r>
          </w:p>
        </w:tc>
        <w:tc>
          <w:tcPr>
            <w:tcW w:w="40" w:type="dxa"/>
            <w:vAlign w:val="bottom"/>
            <w:shd w:val="clear" w:color="auto" w:fill="CCEEFF"/>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9"/>
              </w:rPr>
              <w:t>Intrinsic value of RSUs vested, using market price at vest date (USD)</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3,105,640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511,150</w:t>
            </w:r>
          </w:p>
        </w:tc>
      </w:tr>
      <w:tr>
        <w:trPr>
          <w:trHeight w:val="350"/>
        </w:trPr>
        <w:tc>
          <w:tcPr>
            <w:tcW w:w="5500" w:type="dxa"/>
            <w:vAlign w:val="bottom"/>
          </w:tcPr>
          <w:p>
            <w:pPr>
              <w:jc w:val="right"/>
              <w:ind w:right="1030"/>
              <w:spacing w:after="0"/>
              <w:rPr>
                <w:sz w:val="20"/>
                <w:szCs w:val="20"/>
                <w:color w:val="auto"/>
              </w:rPr>
            </w:pPr>
            <w:r>
              <w:rPr>
                <w:rFonts w:ascii="Arial" w:cs="Arial" w:eastAsia="Arial" w:hAnsi="Arial"/>
                <w:sz w:val="18"/>
                <w:szCs w:val="18"/>
                <w:color w:val="auto"/>
              </w:rPr>
              <w:t>- 22 -</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0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9. 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86"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stock-based compensation expense for the three months ended March 31, 2021 and 2020 was as followed:</w:t>
      </w:r>
    </w:p>
    <w:p>
      <w:pPr>
        <w:spacing w:after="0" w:line="244"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For the Three Months Ended</w:t>
      </w:r>
    </w:p>
    <w:p>
      <w:pPr>
        <w:jc w:val="center"/>
        <w:ind w:left="62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84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$2,628,858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$2,691,157</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RSUs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1,401,797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2,382,585</w:t>
            </w:r>
          </w:p>
        </w:tc>
        <w:tc>
          <w:tcPr>
            <w:tcW w:w="4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4,030,655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5,073,742</w:t>
            </w:r>
          </w:p>
        </w:tc>
      </w:tr>
      <w:tr>
        <w:trPr>
          <w:trHeight w:val="20"/>
        </w:trPr>
        <w:tc>
          <w:tcPr>
            <w:tcW w:w="6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100" w:right="740"/>
        <w:spacing w:after="0" w:line="277" w:lineRule="auto"/>
        <w:rPr>
          <w:sz w:val="20"/>
          <w:szCs w:val="20"/>
          <w:color w:val="auto"/>
        </w:rPr>
      </w:pPr>
      <w:r>
        <w:rPr>
          <w:rFonts w:ascii="Arial" w:cs="Arial" w:eastAsia="Arial" w:hAnsi="Arial"/>
          <w:sz w:val="18"/>
          <w:szCs w:val="18"/>
          <w:color w:val="auto"/>
        </w:rPr>
        <w:t>As of March 31, 2021, $19,996,039 of total unrecognized expense related to stock-based compensation awards is expected to be recognized over a weighted-average period of 1.59 years.</w:t>
      </w:r>
    </w:p>
    <w:p>
      <w:pPr>
        <w:spacing w:after="0" w:line="31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Company’s income tax expense and effective tax rates for the three months ended March 31, 2021 and 2020:</w:t>
      </w:r>
    </w:p>
    <w:p>
      <w:pPr>
        <w:spacing w:after="0" w:line="25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For the Three Months Ended</w:t>
      </w:r>
    </w:p>
    <w:p>
      <w:pPr>
        <w:jc w:val="center"/>
        <w:ind w:left="6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9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$42,311,146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$ 9,385,440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30,856,178</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13,149,000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140.1%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72"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color w:val="auto"/>
        </w:rPr>
        <w:t>Due to its cannabis operations, the Company is subject to the limitations of Internal Revenue Code (“</w:t>
      </w:r>
      <w:r>
        <w:rPr>
          <w:rFonts w:ascii="Arial" w:cs="Arial" w:eastAsia="Arial" w:hAnsi="Arial"/>
          <w:sz w:val="18"/>
          <w:szCs w:val="18"/>
          <w:b w:val="1"/>
          <w:bCs w:val="1"/>
          <w:color w:val="auto"/>
        </w:rPr>
        <w:t>IRC</w:t>
      </w:r>
      <w:r>
        <w:rPr>
          <w:rFonts w:ascii="Arial" w:cs="Arial" w:eastAsia="Arial" w:hAnsi="Arial"/>
          <w:sz w:val="18"/>
          <w:szCs w:val="18"/>
          <w:color w:val="auto"/>
        </w:rPr>
        <w:t>”)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effective tax rate for the three months ended March 31, 2021 varies widely from the three month ended March 31, 2020, primarily due to the reduction in non deductible expenses as a proportion of total expenses in the current year. This variation also includes a change in methodology from an annualized effective tax rate method for the three months ended March 31, 2020 compared to the discrete method for the period ending March 31, 2021 described above. The Company incurs expenses that are not deductible due to IRC Section 280E limitations which results in significant income tax expense.</w:t>
      </w:r>
    </w:p>
    <w:p>
      <w:pPr>
        <w:spacing w:after="0" w:line="188"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$38.6 million and $4.3 million as of March 31, 2021 and 2020, respectively, recorded within Deferred Income Taxes.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0"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The federal statute of limitation remains open for the 2017 tax year to the present. The state income tax returns generally remain open for the 2016 tax year through the present. Net operating losses arising prior to these years are also open to examination if and when utilized.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paid during the three months ended March 31, 2021 and 2020 were $15,146,750 and $0, respectively.</w:t>
      </w:r>
    </w:p>
    <w:p>
      <w:pPr>
        <w:spacing w:after="0" w:line="370"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three months ended March 31, 2021 and 2020 other income (expense) was comprised of the following:</w:t>
      </w:r>
    </w:p>
    <w:p>
      <w:pPr>
        <w:spacing w:after="0" w:line="24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Three Months Ended</w:t>
      </w:r>
    </w:p>
    <w:p>
      <w:pPr>
        <w:jc w:val="center"/>
        <w:ind w:left="60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(215,607)</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(810,337)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warrants issued</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(5,850,671)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7,382,843</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Fair value adjustments on contingent consideration</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(412,949)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170,990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joint ventures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623,093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8,221</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(5,149,817)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6,786,110</w:t>
            </w: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8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100" w:right="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While management believes that the Company is in compliance with applicable local and state regulations at March 31, 2021 and December 31, 2020, cannabis and other regulations continue to evolve and are subject to differing interpretations. As a result, the Company may be subject to regulatory fines, penalties, or restrictions in the future.</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306"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March 31, 2021 and December 31, 2020,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72" w:lineRule="exact"/>
        <w:rPr>
          <w:rFonts w:ascii="Arial" w:cs="Arial" w:eastAsia="Arial" w:hAnsi="Arial"/>
          <w:sz w:val="18"/>
          <w:szCs w:val="18"/>
          <w:b w:val="1"/>
          <w:bCs w:val="1"/>
          <w:color w:val="auto"/>
        </w:rPr>
      </w:pPr>
    </w:p>
    <w:p>
      <w:pPr>
        <w:ind w:left="1080" w:hanging="532"/>
        <w:spacing w:after="0"/>
        <w:tabs>
          <w:tab w:leader="none" w:pos="1080" w:val="left"/>
        </w:tabs>
        <w:numPr>
          <w:ilvl w:val="1"/>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1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March 31, 2021, the Company held approximately $11,745,258 of open construction commitments to contractors on work 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-1459230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58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2"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that are observable for the asset or liability, either directly or indirectly; and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for the asset or liability that are not based on observable market data.</w:t>
      </w:r>
    </w:p>
    <w:p>
      <w:pPr>
        <w:spacing w:after="0" w:line="3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accounts receivable, notes receivable, due from related parties, investments, accounts payable and accrued liabilities, notes payable, derivative liability, liability for acquisition of noncontrolling interest and contingent consideration payable.</w:t>
      </w:r>
    </w:p>
    <w:p>
      <w:pPr>
        <w:spacing w:after="0" w:line="76" w:lineRule="exact"/>
        <w:rPr>
          <w:sz w:val="20"/>
          <w:szCs w:val="20"/>
          <w:color w:val="auto"/>
        </w:rPr>
      </w:pPr>
    </w:p>
    <w:p>
      <w:pPr>
        <w:ind w:left="560" w:right="440"/>
        <w:spacing w:after="0" w:line="342"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5"/>
              </w:rPr>
              <w:t>As of March 31, 2021</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Level 1</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$275,898,839</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0"/>
              </w:rPr>
              <w:t>$ —</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$275,898,839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Investments</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1,181,146</w:t>
            </w:r>
          </w:p>
        </w:tc>
        <w:tc>
          <w:tcPr>
            <w:tcW w:w="36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27,884,857</w:t>
            </w: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29,066,003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(14,850,000)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(14,850,000)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Warrant Liability</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(45,304,671)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(45,304,671)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277,079,985</w:t>
            </w:r>
          </w:p>
        </w:tc>
        <w:tc>
          <w:tcPr>
            <w:tcW w:w="36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0"/>
              </w:rPr>
              <w:t>$ —</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(32,269,814)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244,810,171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7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9"/>
              </w:rPr>
              <w:t>As of December 31, 2021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Level 1</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2"/>
                <w:szCs w:val="12"/>
                <w:color w:val="auto"/>
              </w:rPr>
            </w:pPr>
          </w:p>
        </w:tc>
        <w:tc>
          <w:tcPr>
            <w:tcW w:w="10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98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$83,757,785</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$ 83,757,785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Investments</w:t>
            </w:r>
          </w:p>
        </w:tc>
        <w:tc>
          <w:tcPr>
            <w:tcW w:w="3280" w:type="dxa"/>
            <w:vAlign w:val="bottom"/>
            <w:gridSpan w:val="4"/>
          </w:tcPr>
          <w:p>
            <w:pPr>
              <w:jc w:val="right"/>
              <w:ind w:right="340"/>
              <w:spacing w:after="0"/>
              <w:rPr>
                <w:sz w:val="20"/>
                <w:szCs w:val="20"/>
                <w:color w:val="auto"/>
              </w:rPr>
            </w:pPr>
            <w:r>
              <w:rPr>
                <w:rFonts w:ascii="Arial" w:cs="Arial" w:eastAsia="Arial" w:hAnsi="Arial"/>
                <w:sz w:val="18"/>
                <w:szCs w:val="18"/>
                <w:color w:val="auto"/>
              </w:rPr>
              <w:t>923,581</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39,871,225</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40,794,806</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Payable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(27,100,000)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(27,100,000)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Warrant Liability</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(39,454,000)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(39,454,000)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3280" w:type="dxa"/>
            <w:vAlign w:val="bottom"/>
            <w:tcBorders>
              <w:right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84,681,366</w:t>
            </w:r>
          </w:p>
        </w:tc>
        <w:tc>
          <w:tcPr>
            <w:tcW w:w="7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(26,682,775)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$ 57,998,591</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6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120" w:right="20"/>
        <w:spacing w:after="0" w:line="261" w:lineRule="auto"/>
        <w:rPr>
          <w:sz w:val="20"/>
          <w:szCs w:val="20"/>
          <w:color w:val="auto"/>
        </w:rPr>
      </w:pPr>
      <w:r>
        <w:rPr>
          <w:rFonts w:ascii="Arial" w:cs="Arial" w:eastAsia="Arial" w:hAnsi="Arial"/>
          <w:sz w:val="18"/>
          <w:szCs w:val="18"/>
          <w:color w:val="auto"/>
        </w:rPr>
        <w:t>The following table presents the summarized financial information about the Company’s consolidated variable interest entities (“</w:t>
      </w:r>
      <w:r>
        <w:rPr>
          <w:rFonts w:ascii="Arial" w:cs="Arial" w:eastAsia="Arial" w:hAnsi="Arial"/>
          <w:sz w:val="18"/>
          <w:szCs w:val="18"/>
          <w:b w:val="1"/>
          <w:bCs w:val="1"/>
          <w:color w:val="auto"/>
        </w:rPr>
        <w:t>VIEs</w:t>
      </w:r>
      <w:r>
        <w:rPr>
          <w:rFonts w:ascii="Arial" w:cs="Arial" w:eastAsia="Arial" w:hAnsi="Arial"/>
          <w:sz w:val="18"/>
          <w:szCs w:val="18"/>
          <w:color w:val="auto"/>
        </w:rPr>
        <w:t>”) which are included in the unaudited interim condensed consolidated balance sheet as of March 31, 2021 and the consolidated balance sheet as of December 31, 2020. All of these entities were determined to be VIEs as the Company possesses the power to direct activities through management services agreements (“</w:t>
      </w:r>
      <w:r>
        <w:rPr>
          <w:rFonts w:ascii="Arial" w:cs="Arial" w:eastAsia="Arial" w:hAnsi="Arial"/>
          <w:sz w:val="18"/>
          <w:szCs w:val="18"/>
          <w:b w:val="1"/>
          <w:bCs w:val="1"/>
          <w:color w:val="auto"/>
        </w:rPr>
        <w:t>MSAs</w:t>
      </w:r>
      <w:r>
        <w:rPr>
          <w:rFonts w:ascii="Arial" w:cs="Arial" w:eastAsia="Arial" w:hAnsi="Arial"/>
          <w:sz w:val="18"/>
          <w:szCs w:val="18"/>
          <w:color w:val="auto"/>
        </w:rPr>
        <w:t>”).:</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60" w:type="dxa"/>
            <w:vAlign w:val="bottom"/>
            <w:gridSpan w:val="4"/>
          </w:tcPr>
          <w:p>
            <w:pPr>
              <w:ind w:left="4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20"/>
              <w:spacing w:after="0" w:line="123" w:lineRule="exact"/>
              <w:rPr>
                <w:sz w:val="20"/>
                <w:szCs w:val="20"/>
                <w:color w:val="auto"/>
              </w:rPr>
            </w:pPr>
            <w:r>
              <w:rPr>
                <w:rFonts w:ascii="Arial" w:cs="Arial" w:eastAsia="Arial" w:hAnsi="Arial"/>
                <w:sz w:val="14"/>
                <w:szCs w:val="14"/>
                <w:color w:val="auto"/>
                <w:w w:val="86"/>
              </w:rPr>
              <w:t>Chesapeake</w:t>
            </w:r>
          </w:p>
        </w:tc>
        <w:tc>
          <w:tcPr>
            <w:tcW w:w="2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4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5"/>
              </w:rPr>
              <w:t>Other Non-</w:t>
            </w:r>
          </w:p>
        </w:tc>
        <w:tc>
          <w:tcPr>
            <w:tcW w:w="120" w:type="dxa"/>
            <w:vAlign w:val="bottom"/>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Alternatives,</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Other Non-</w:t>
            </w:r>
          </w:p>
        </w:tc>
      </w:tr>
      <w:tr>
        <w:trPr>
          <w:trHeight w:val="167"/>
        </w:trPr>
        <w:tc>
          <w:tcPr>
            <w:tcW w:w="4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IL Disp, LLC</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material VIEs</w:t>
            </w:r>
          </w:p>
        </w:tc>
        <w:tc>
          <w:tcPr>
            <w:tcW w:w="12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IL Disp, LLC</w:t>
            </w:r>
          </w:p>
        </w:tc>
        <w:tc>
          <w:tcPr>
            <w:tcW w:w="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material VIEs</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$3,453,766</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$ 2,411,739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$32,307,718</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$3,738,868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$2,362,572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Non-current assets</w:t>
            </w:r>
          </w:p>
        </w:tc>
        <w:tc>
          <w:tcPr>
            <w:tcW w:w="2120" w:type="dxa"/>
            <w:vAlign w:val="bottom"/>
            <w:gridSpan w:val="3"/>
          </w:tcPr>
          <w:p>
            <w:pPr>
              <w:jc w:val="right"/>
              <w:ind w:right="280"/>
              <w:spacing w:after="0"/>
              <w:rPr>
                <w:sz w:val="20"/>
                <w:szCs w:val="20"/>
                <w:color w:val="auto"/>
              </w:rPr>
            </w:pPr>
            <w:r>
              <w:rPr>
                <w:rFonts w:ascii="Arial" w:cs="Arial" w:eastAsia="Arial" w:hAnsi="Arial"/>
                <w:sz w:val="18"/>
                <w:szCs w:val="18"/>
                <w:color w:val="auto"/>
              </w:rPr>
              <w:t>3,566,193</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2,210,239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3,367,360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3,657,392</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2,281,839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1,156,208</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1,142,340</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23,362,255</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336,970</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1,563,224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120" w:type="dxa"/>
            <w:vAlign w:val="bottom"/>
            <w:gridSpan w:val="3"/>
          </w:tcPr>
          <w:p>
            <w:pPr>
              <w:jc w:val="right"/>
              <w:ind w:right="280"/>
              <w:spacing w:after="0"/>
              <w:rPr>
                <w:sz w:val="20"/>
                <w:szCs w:val="20"/>
                <w:color w:val="auto"/>
              </w:rPr>
            </w:pPr>
            <w:r>
              <w:rPr>
                <w:rFonts w:ascii="Arial" w:cs="Arial" w:eastAsia="Arial" w:hAnsi="Arial"/>
                <w:sz w:val="18"/>
                <w:szCs w:val="18"/>
                <w:color w:val="auto"/>
              </w:rPr>
              <w:t>450,291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762,865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768,573</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461,926</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783,356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2,581,731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270,544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3,173,683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267,289</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Equity attributable to Green Thumb Industries Inc.</w:t>
            </w:r>
          </w:p>
        </w:tc>
        <w:tc>
          <w:tcPr>
            <w:tcW w:w="2120" w:type="dxa"/>
            <w:vAlign w:val="bottom"/>
            <w:gridSpan w:val="3"/>
          </w:tcPr>
          <w:p>
            <w:pPr>
              <w:jc w:val="right"/>
              <w:ind w:right="280"/>
              <w:spacing w:after="0"/>
              <w:rPr>
                <w:sz w:val="20"/>
                <w:szCs w:val="20"/>
                <w:color w:val="auto"/>
              </w:rPr>
            </w:pPr>
            <w:r>
              <w:rPr>
                <w:rFonts w:ascii="Arial" w:cs="Arial" w:eastAsia="Arial" w:hAnsi="Arial"/>
                <w:sz w:val="18"/>
                <w:szCs w:val="18"/>
                <w:color w:val="auto"/>
              </w:rPr>
              <w:t>2,581,731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2,446,229</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11,544,250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3,173,683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2,030,542</w:t>
            </w:r>
          </w:p>
        </w:tc>
      </w:tr>
    </w:tbl>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On December 31, 2020, the MSA for Chesapeake Alternatives, LLC was amended and restated to make GTI Maryland, LLC, the sole member of the entity. As a result, the remaining equity associated with the noncontrolling interest was closed to share capital of Green Thumb as of December 31, 2020.</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tables presents the summarized financial information about the Company’s VIEs which are included in the unaudited interim condensed consolidated statements of operations for the three months ended March 31, 2021 and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1180" w:type="dxa"/>
            <w:vAlign w:val="bottom"/>
            <w:tcBorders>
              <w:bottom w:val="single" w:sz="8" w:color="auto"/>
            </w:tcBorders>
            <w:gridSpan w:val="4"/>
          </w:tcPr>
          <w:p>
            <w:pPr>
              <w:jc w:val="right"/>
              <w:ind w:right="19"/>
              <w:spacing w:after="0" w:line="142"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5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86"/>
              </w:rPr>
              <w:t>Chesapeake</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Other Non-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Alternatives,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Other Non-</w:t>
            </w:r>
          </w:p>
        </w:tc>
      </w:tr>
      <w:tr>
        <w:trPr>
          <w:trHeight w:val="167"/>
        </w:trPr>
        <w:tc>
          <w:tcPr>
            <w:tcW w:w="57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color w:val="auto"/>
              </w:rPr>
              <w:t>IL Disp, LLC</w:t>
            </w:r>
          </w:p>
        </w:tc>
        <w:tc>
          <w:tcPr>
            <w:tcW w:w="2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color w:val="auto"/>
              </w:rPr>
              <w:t>material VIEs</w:t>
            </w:r>
          </w:p>
        </w:tc>
        <w:tc>
          <w:tcPr>
            <w:tcW w:w="12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LLC</w:t>
            </w: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IL Disp, LLC</w:t>
            </w:r>
          </w:p>
        </w:tc>
        <w:tc>
          <w:tcPr>
            <w:tcW w:w="880" w:type="dxa"/>
            <w:vAlign w:val="bottom"/>
            <w:gridSpan w:val="3"/>
          </w:tcPr>
          <w:p>
            <w:pPr>
              <w:spacing w:after="0"/>
              <w:rPr>
                <w:sz w:val="20"/>
                <w:szCs w:val="20"/>
                <w:color w:val="auto"/>
              </w:rPr>
            </w:pPr>
            <w:r>
              <w:rPr>
                <w:rFonts w:ascii="Arial" w:cs="Arial" w:eastAsia="Arial" w:hAnsi="Arial"/>
                <w:sz w:val="14"/>
                <w:szCs w:val="14"/>
                <w:color w:val="auto"/>
              </w:rPr>
              <w:t>material VIEs</w:t>
            </w: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$5,727,274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3,311,283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$4,308,630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2,781,616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1,712,651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783,048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303,255</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41,409</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364,116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37,179</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Green Thumb Industries Inc.</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783,047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415,688</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1,139,063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59,373</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1,566,095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718,943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1,180,472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728,233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96,552</w:t>
            </w:r>
          </w:p>
        </w:tc>
        <w:tc>
          <w:tcPr>
            <w:tcW w:w="6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March 31, 2021 and 2020, and December 31, 2020, VIEs included in the Other Non-material VIEs are Bluepoint Wellness of Westport LLC and Meshow, LLC.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120" w:right="60"/>
        <w:spacing w:after="0" w:line="261"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w:t>
      </w:r>
      <w:r>
        <w:rPr>
          <w:rFonts w:ascii="Arial" w:cs="Arial" w:eastAsia="Arial" w:hAnsi="Arial"/>
          <w:sz w:val="18"/>
          <w:szCs w:val="18"/>
          <w:b w:val="1"/>
          <w:bCs w:val="1"/>
          <w:color w:val="auto"/>
        </w:rPr>
        <w:t>Consumer Packaged Goods</w:t>
      </w:r>
      <w:r>
        <w:rPr>
          <w:rFonts w:ascii="Arial" w:cs="Arial" w:eastAsia="Arial" w:hAnsi="Arial"/>
          <w:sz w:val="18"/>
          <w:szCs w:val="18"/>
          <w:color w:val="auto"/>
        </w:rPr>
        <w:t>”) and retailing of cannabis to patients and consumers (“</w:t>
      </w:r>
      <w:r>
        <w:rPr>
          <w:rFonts w:ascii="Arial" w:cs="Arial" w:eastAsia="Arial" w:hAnsi="Arial"/>
          <w:sz w:val="18"/>
          <w:szCs w:val="18"/>
          <w:b w:val="1"/>
          <w:bCs w:val="1"/>
          <w:color w:val="auto"/>
        </w:rPr>
        <w:t>Retail</w:t>
      </w:r>
      <w:r>
        <w:rPr>
          <w:rFonts w:ascii="Arial" w:cs="Arial" w:eastAsia="Arial" w:hAnsi="Arial"/>
          <w:sz w:val="18"/>
          <w:szCs w:val="18"/>
          <w:color w:val="auto"/>
        </w:rPr>
        <w:t>”).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presents revenues by type for the three months ended March 31, 2021 and 2020:</w:t>
      </w:r>
    </w:p>
    <w:p>
      <w:pPr>
        <w:spacing w:after="0" w:line="244"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Three Months Ended</w:t>
      </w:r>
    </w:p>
    <w:p>
      <w:pPr>
        <w:jc w:val="center"/>
        <w:ind w:left="57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9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 Net of Discounts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104,077,438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46,322,028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130,108,718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75,961,450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(39,755,572)</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(19,680,876)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 net of discounts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194,430,584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102,602,602</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8,000,947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7,594,366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Retail</w:t>
            </w:r>
          </w:p>
        </w:tc>
        <w:tc>
          <w:tcPr>
            <w:tcW w:w="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6,992,474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5,110,806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14,993,421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12,705,172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Consumer Packaged Goods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17,287,094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4,227,000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13,569,084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8,922,000</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Intersegment Eliminations and Corporate</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9"/>
              </w:rPr>
              <w:t>30,856,178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13,149,000</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Goodwill assigned to the Consumer Packaged Goods segment as of March 31, 2021 and December 31, 2020 was $252,016,532 at each period end. Intangible assets, net assigned to the Consumer Packaged Goods segment as of March 31, 2021 and December 31, 2020 was $206,620,582 and $211,303,718, respectively.</w:t>
      </w:r>
    </w:p>
    <w:p>
      <w:pPr>
        <w:spacing w:after="0" w:line="184"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Goodwill assigned to the Retail segment as of March 31, 2021 and December 31, 2020 was $130,680,935 at each period end. Intangible assets, net assigned to the Retail segment as of March 31, 2021 and December 31, 2020 was $189,394,381 and $194,938,316, respectively.</w:t>
      </w:r>
    </w:p>
    <w:p>
      <w:pPr>
        <w:spacing w:after="0" w:line="12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22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20" w:hanging="19"/>
        <w:spacing w:after="0" w:line="323"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67"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April 30, 2021, the Company closed on a $216,734,258 Senior Secured non-brokered private placement financing through the issuance of senior secured notes (the “Notes”). The Company used the proceeds to retire the Company’s existing $105,466,429, senior secured note due May 2023 and the remaining proceeds for general working capital purposes as well as various growth initiatives. The Notes have a maturity date of April 30, 2024 and will bear interest from the date of issue at 7% per annum, payable quarterly, with an option, at the discretion of the Company, to extend an additional 12 months. The financing permits the Company to borrow an additional $33,265,741 over the next twelve months. The purchasers of the Notes also received 1,459,044 warrants (the “Warrants”) which allows the holder to purchase one Subordinate Voting Share of Green Thumb at an exercise price of $32.68 per share, for a period of 60 months from the date of issue.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related parties participated in the financing, purchasing an aggregate of approximately US $3 million of notes.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 DISCUSSION AND ANALYSIS OF FINANCIAL CONDITION AND RESULTS OF OPERATION</w:t>
      </w:r>
    </w:p>
    <w:p>
      <w:pPr>
        <w:spacing w:after="0" w:line="225" w:lineRule="exact"/>
        <w:rPr>
          <w:sz w:val="20"/>
          <w:szCs w:val="20"/>
          <w:color w:val="auto"/>
        </w:rPr>
      </w:pPr>
    </w:p>
    <w:p>
      <w:pPr>
        <w:ind w:left="120" w:right="160" w:firstLine="440"/>
        <w:spacing w:after="0" w:line="292" w:lineRule="auto"/>
        <w:rPr>
          <w:sz w:val="20"/>
          <w:szCs w:val="20"/>
          <w:color w:val="auto"/>
        </w:rPr>
      </w:pPr>
      <w:r>
        <w:rPr>
          <w:rFonts w:ascii="Arial" w:cs="Arial" w:eastAsia="Arial" w:hAnsi="Arial"/>
          <w:sz w:val="16"/>
          <w:szCs w:val="16"/>
          <w:color w:val="auto"/>
        </w:rPr>
        <w:t>This management discussion and analysis (“</w:t>
      </w:r>
      <w:r>
        <w:rPr>
          <w:rFonts w:ascii="Arial" w:cs="Arial" w:eastAsia="Arial" w:hAnsi="Arial"/>
          <w:sz w:val="16"/>
          <w:szCs w:val="16"/>
          <w:b w:val="1"/>
          <w:bCs w:val="1"/>
          <w:color w:val="auto"/>
        </w:rPr>
        <w:t>MD&amp;A</w:t>
      </w:r>
      <w:r>
        <w:rPr>
          <w:rFonts w:ascii="Arial" w:cs="Arial" w:eastAsia="Arial" w:hAnsi="Arial"/>
          <w:sz w:val="16"/>
          <w:szCs w:val="16"/>
          <w:color w:val="auto"/>
        </w:rPr>
        <w:t>”) of the financial condition and results of operations of Green Thumb Industries Inc. (the “Company” or “Green Thumb”) is for the three months ended March 31, 2021 and 2020. It is supplemental to, and should be read in conjunction with, the Company’s unaudited interim condensed consolidated financial statements as of March 31, 2021 and the consolidated financial statements for the year ended December 31, 2020 included in the Company’s Annual Report on Form 10-K for the year ended December 31, 2020 filed with the U.S. Securities and Exchange Commission on March 18, 2021 (the “</w:t>
      </w:r>
      <w:r>
        <w:rPr>
          <w:rFonts w:ascii="Arial" w:cs="Arial" w:eastAsia="Arial" w:hAnsi="Arial"/>
          <w:sz w:val="16"/>
          <w:szCs w:val="16"/>
          <w:b w:val="1"/>
          <w:bCs w:val="1"/>
          <w:color w:val="auto"/>
        </w:rPr>
        <w:t>2020 Form 10-K</w:t>
      </w:r>
      <w:r>
        <w:rPr>
          <w:rFonts w:ascii="Arial" w:cs="Arial" w:eastAsia="Arial" w:hAnsi="Arial"/>
          <w:sz w:val="16"/>
          <w:szCs w:val="16"/>
          <w:color w:val="auto"/>
        </w:rPr>
        <w:t>”) and the accompanying notes for each respective periods. The Company’s financial statements are prepared in accordance with accounting principles generally accepted in the United States of America (“</w:t>
      </w:r>
      <w:r>
        <w:rPr>
          <w:rFonts w:ascii="Arial" w:cs="Arial" w:eastAsia="Arial" w:hAnsi="Arial"/>
          <w:sz w:val="16"/>
          <w:szCs w:val="16"/>
          <w:b w:val="1"/>
          <w:bCs w:val="1"/>
          <w:color w:val="auto"/>
        </w:rPr>
        <w:t>GAAP</w:t>
      </w:r>
      <w:r>
        <w:rPr>
          <w:rFonts w:ascii="Arial" w:cs="Arial" w:eastAsia="Arial" w:hAnsi="Arial"/>
          <w:sz w:val="16"/>
          <w:szCs w:val="16"/>
          <w:color w:val="auto"/>
        </w:rPr>
        <w:t>”). Financial information presented in this MD&amp;A is presented in United States dollars (“</w:t>
      </w:r>
      <w:r>
        <w:rPr>
          <w:rFonts w:ascii="Arial" w:cs="Arial" w:eastAsia="Arial" w:hAnsi="Arial"/>
          <w:sz w:val="16"/>
          <w:szCs w:val="16"/>
          <w:b w:val="1"/>
          <w:bCs w:val="1"/>
          <w:color w:val="auto"/>
        </w:rPr>
        <w:t>$</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unless otherwise indicated.</w:t>
      </w:r>
    </w:p>
    <w:p>
      <w:pPr>
        <w:spacing w:after="0" w:line="16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13"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8"/>
          <w:szCs w:val="18"/>
          <w:color w:val="auto"/>
        </w:rPr>
        <w:t>In March 2020, the World Health Organization categorized coronavirus disease 2019 (“</w:t>
      </w:r>
      <w:r>
        <w:rPr>
          <w:rFonts w:ascii="Arial" w:cs="Arial" w:eastAsia="Arial" w:hAnsi="Arial"/>
          <w:sz w:val="18"/>
          <w:szCs w:val="18"/>
          <w:b w:val="1"/>
          <w:bCs w:val="1"/>
          <w:color w:val="auto"/>
        </w:rPr>
        <w:t>COVID-19</w:t>
      </w:r>
      <w:r>
        <w:rPr>
          <w:rFonts w:ascii="Arial" w:cs="Arial" w:eastAsia="Arial" w:hAnsi="Arial"/>
          <w:sz w:val="18"/>
          <w:szCs w:val="18"/>
          <w:color w:val="auto"/>
        </w:rPr>
        <w:t>”)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The Company’s ability to continue to operate without any significant negative operational impact from the COVID-19 pandemic and any of its variants will in part depend on the Company’s ability to protect its employees, customers and supply chain and its continued designation as “essential” in states where it does business that currently or in the future impose restrictions on business operations.</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limiting in-store retail activity have been enacted by governmental authorities, the Company has expanded consumer delivery options and curbside pickup to help further protect the health and safety of Green Thumb employees and customers.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During the first three months of 2021 the Company’s revenue, gross profit and operating income were not negatively impacted by COVID-19 and the Company generally maintained the consistency of its operations. However, the uncertain nature of the spread of COVID-19 and its variants may impact its business operations for reasons including the potential quarantine of Green Thumb employees or those of its supply chain partners and its continued designation as “essential” in states where it does business that currently or in the future impose restrictions on business operations.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Green Thumb’s results, please refer to “Risk Factors” in Part II, Item 1A of this Quarterly Report on Form 10-Q.</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THE COMPANY</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Established in 2014 and headquartered in Chicago, Illinois, Green Thumb is promoting well-being through the power of cannabis, while being committed to community and sustainable profitable growth. As of March 31, 2021, Green Thumb has operations across 12 U.S. markets, employs over 2,200 people and serves millions of patients and customers annually.</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Green Thumb’s core business is manufacturing, distributing and marketing a portfolio of owned cannabis consumer packaged goods brands (which we refer to as our Consumer Packaged Goods business), including Beboe, Dogwalkers, Dr. Solomon’s, incredibles, Rhythm, and The Feel Collection. The Company distributes and markets these products primarily to third-party licensed retail cannabis stores across the United States as well as to Green Thumb-owned retail stores (which we refer to as our Retail business).</w:t>
      </w:r>
    </w:p>
    <w:p>
      <w:pPr>
        <w:spacing w:after="0" w:line="17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Company’s Consumer Packaged Goods portfolio is primarily generated from plant material that Green Thumb grows and processes itself, which we use to produce our consumer packaged goods in 13 manufacturing facilities. This portfolio consists of stock keeping units (“</w:t>
      </w:r>
      <w:r>
        <w:rPr>
          <w:rFonts w:ascii="Arial" w:cs="Arial" w:eastAsia="Arial" w:hAnsi="Arial"/>
          <w:sz w:val="16"/>
          <w:szCs w:val="16"/>
          <w:b w:val="1"/>
          <w:bCs w:val="1"/>
          <w:color w:val="auto"/>
        </w:rPr>
        <w:t>SKUs</w:t>
      </w:r>
      <w:r>
        <w:rPr>
          <w:rFonts w:ascii="Arial" w:cs="Arial" w:eastAsia="Arial" w:hAnsi="Arial"/>
          <w:sz w:val="16"/>
          <w:szCs w:val="16"/>
          <w:color w:val="auto"/>
        </w:rPr>
        <w:t>”)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12 U.S. markets Green Thumb operates including Green Thumb’s own Rise and Essence dispensaries.</w:t>
      </w:r>
    </w:p>
    <w:p>
      <w:pPr>
        <w:spacing w:after="0" w:line="16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Green Thumb owns and operates a national cannabis retail chain called Rise</w:t>
      </w:r>
      <w:r>
        <w:rPr>
          <w:rFonts w:ascii="Arial" w:cs="Arial" w:eastAsia="Arial" w:hAnsi="Arial"/>
          <w:sz w:val="13"/>
          <w:szCs w:val="13"/>
          <w:color w:val="auto"/>
        </w:rPr>
        <w:t>™</w:t>
      </w:r>
      <w:r>
        <w:rPr>
          <w:rFonts w:ascii="Arial" w:cs="Arial" w:eastAsia="Arial" w:hAnsi="Arial"/>
          <w:sz w:val="16"/>
          <w:szCs w:val="16"/>
          <w:color w:val="auto"/>
        </w:rPr>
        <w:t>, and in the Las Vegas, Nevada and Pasadena, California areas,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eight of the states in which we operate (including Nevada). The Essence stores were acquired in connection with the 2019 acquisition of Integral Associates and are located in Nevada and beginning in March 2021, California. The Essence stores differ from the Rise stores mainly in geographic location. As of March 31, 2021, the Company had 56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Company’s selected consolidated financial results for the periods, and as of the dates, indicated. The</w:t>
      </w:r>
    </w:p>
    <w:p>
      <w:pPr>
        <w:spacing w:after="0" w:line="35" w:lineRule="exact"/>
        <w:rPr>
          <w:sz w:val="20"/>
          <w:szCs w:val="20"/>
          <w:color w:val="auto"/>
        </w:rPr>
      </w:pPr>
    </w:p>
    <w:p>
      <w:pPr>
        <w:ind w:left="120" w:right="180" w:hanging="4"/>
        <w:spacing w:after="0" w:line="253"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unaudited condensed consolidated statements of operations for the three months ended March 31, 2021 and 2020 and (ii) unaudited interim condensed consolidated balance sheet as of March 31, 2021 and the consolidated balance sheet as of December 31, 2020 have been derived from, and should be read in conjunction with the unaudited interim condensed consolidated financial statements and accompanying notes presented in Item 1 of this Report.</w:t>
      </w:r>
    </w:p>
    <w:p>
      <w:pPr>
        <w:spacing w:after="0" w:line="125" w:lineRule="exact"/>
        <w:rPr>
          <w:rFonts w:ascii="Arial" w:cs="Arial" w:eastAsia="Arial" w:hAnsi="Arial"/>
          <w:sz w:val="18"/>
          <w:szCs w:val="18"/>
          <w:color w:val="auto"/>
        </w:rPr>
      </w:pPr>
    </w:p>
    <w:p>
      <w:pPr>
        <w:ind w:left="5540" w:hanging="111"/>
        <w:spacing w:after="0"/>
        <w:tabs>
          <w:tab w:leader="none" w:pos="5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4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14"/>
                <w:szCs w:val="14"/>
                <w:color w:val="auto"/>
              </w:rPr>
            </w:pPr>
          </w:p>
        </w:tc>
        <w:tc>
          <w:tcPr>
            <w:tcW w:w="86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rPr>
              <w:t>Change</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194,430,584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102,602,602</w:t>
            </w:r>
          </w:p>
        </w:tc>
        <w:tc>
          <w:tcPr>
            <w:tcW w:w="3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$ 91,827,982</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(83,565,084)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(49,615,188)</w:t>
            </w:r>
          </w:p>
        </w:tc>
        <w:tc>
          <w:tcPr>
            <w:tcW w:w="10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(33,949,896)</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110,865,500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52,987,414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3"/>
              </w:rPr>
              <w:t>57,878,086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59,331,251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45,434,757</w:t>
            </w:r>
          </w:p>
        </w:tc>
        <w:tc>
          <w:tcPr>
            <w:tcW w:w="10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13,896,494</w:t>
            </w:r>
          </w:p>
        </w:tc>
        <w:tc>
          <w:tcPr>
            <w:tcW w:w="60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51,534,249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7,552,657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3"/>
              </w:rPr>
              <w:t>43,981,592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(9,223,103)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1,832,783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(11,055,886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(603%)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Income (Loss) Before Provision for Income Taxes and Non-Controlling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42,311,146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9,385,440</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3"/>
              </w:rPr>
              <w:t>32,925,706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30,856,178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13,149,000</w:t>
            </w:r>
          </w:p>
        </w:tc>
        <w:tc>
          <w:tcPr>
            <w:tcW w:w="10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w w:val="93"/>
              </w:rPr>
              <w:t>17,707,178</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Non-Controlling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11,454,968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(3,763,560)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3"/>
              </w:rPr>
              <w:t>15,218,528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1,086,302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442,704</w:t>
            </w:r>
          </w:p>
        </w:tc>
        <w:tc>
          <w:tcPr>
            <w:tcW w:w="10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643,598</w:t>
            </w:r>
          </w:p>
        </w:tc>
        <w:tc>
          <w:tcPr>
            <w:tcW w:w="600" w:type="dxa"/>
            <w:vAlign w:val="bottom"/>
          </w:tcPr>
          <w:p>
            <w:pPr>
              <w:jc w:val="center"/>
              <w:spacing w:after="0"/>
              <w:rPr>
                <w:sz w:val="20"/>
                <w:szCs w:val="20"/>
                <w:color w:val="auto"/>
              </w:rPr>
            </w:pPr>
            <w:r>
              <w:rPr>
                <w:rFonts w:ascii="Arial" w:cs="Arial" w:eastAsia="Arial" w:hAnsi="Arial"/>
                <w:sz w:val="18"/>
                <w:szCs w:val="18"/>
                <w:color w:val="auto"/>
                <w:w w:val="91"/>
              </w:rPr>
              <w:t>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Green Thumb Industries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10,368,666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(4,206,264)</w:t>
            </w:r>
          </w:p>
        </w:tc>
        <w:tc>
          <w:tcPr>
            <w:tcW w:w="12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w w:val="89"/>
              </w:rPr>
              <w:t>$ 14,574,930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338%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0.07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216,210,429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208,468,356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221,616,157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208,468,356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30,</w:t>
            </w:r>
          </w:p>
        </w:tc>
      </w:tr>
      <w:tr>
        <w:trPr>
          <w:trHeight w:val="142"/>
        </w:trPr>
        <w:tc>
          <w:tcPr>
            <w:tcW w:w="5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1,549,124,022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1,358,549,162</w:t>
            </w:r>
          </w:p>
        </w:tc>
        <w:tc>
          <w:tcPr>
            <w:tcW w:w="40" w:type="dxa"/>
            <w:vAlign w:val="bottom"/>
            <w:shd w:val="clear" w:color="auto" w:fill="CCEEFF"/>
          </w:tcPr>
          <w:p>
            <w:pPr>
              <w:spacing w:after="0"/>
              <w:rPr>
                <w:sz w:val="18"/>
                <w:szCs w:val="18"/>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337,909,825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325,101,386</w:t>
            </w:r>
          </w:p>
        </w:tc>
      </w:tr>
    </w:tbl>
    <w:p>
      <w:pPr>
        <w:spacing w:after="0" w:line="295" w:lineRule="exact"/>
        <w:rPr>
          <w:sz w:val="20"/>
          <w:szCs w:val="20"/>
          <w:color w:val="auto"/>
        </w:rPr>
      </w:pPr>
    </w:p>
    <w:p>
      <w:pPr>
        <w:ind w:left="120" w:right="4040"/>
        <w:spacing w:after="0" w:line="375" w:lineRule="auto"/>
        <w:rPr>
          <w:sz w:val="20"/>
          <w:szCs w:val="20"/>
          <w:color w:val="auto"/>
        </w:rPr>
      </w:pPr>
      <w:r>
        <w:rPr>
          <w:rFonts w:ascii="Arial" w:cs="Arial" w:eastAsia="Arial" w:hAnsi="Arial"/>
          <w:sz w:val="18"/>
          <w:szCs w:val="18"/>
          <w:b w:val="1"/>
          <w:bCs w:val="1"/>
          <w:i w:val="1"/>
          <w:iCs w:val="1"/>
          <w:color w:val="auto"/>
        </w:rPr>
        <w:t xml:space="preserve">Three Months Ended March 31, 2021 Compared to the Three Months Ended March 31, 2020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Revenue for the three months ended March 31, 2021 was $194,430,584, up 89% from $102,602,602 for the three months ended March 31, 2020 driven by contributions from both Retail and Consumer Packaged Goods, largely due to growth in Illinois and Pennsylvania. Key performance drivers are: increased store traffic to Green Thumb’s open and operating retail stores, particularly in Illinois and Pennsylvania and new store openings, particularly in Pennsylvania. The Company generated revenue from 56 Retail locations during the quarter compared to 42 in the same quarter of the prior year. During the three months ended March 31, 2021, the Company opened 5 new stores. Since March 31, 2020, the Company acquired one retail store in Connecticut that contributed to the increase in Retail revenues and opened 13 new Retail locations in Pennsylvania, Illinois, Nevada, California, Florida, New Jersey and Ohio.</w:t>
      </w:r>
    </w:p>
    <w:p>
      <w:pPr>
        <w:spacing w:after="0" w:line="195"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The key driver for the Consumer Packaged Goods revenue increase was the expansion of sales of Green Thumb’s branded product portfolio to third-party retailers through the Company’s existing Consumer Packaged Goods cultivation and processing facilities in Illinois, Pennsylvania, Massachusetts, Maryland, Nevada, New Jersey and Connecticut due to increased scale and efficiency.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Goods Sold,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Cost of goods sold are derived from retail purchases made by the Company from its third-party licensed producers operating within our state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markets and costs related to the internal cultivation and production of cannabis. Cost of goods sold for the three months ended March 31, 2021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$83,565,084, up 68% from $49,615,188 for the three months ended March 31, 2020, driven by increased volume in open and operating retail stores;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retail store openings in Pennsylvania and expansion of the consumer products sales primarily in Illinois, Pennsylvania, Massachusetts, Maryland,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Nevada and Connecticut as described above.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Gross profit for the three months ended March 31, 2021 was $110,865,500, representing a gross margin on the sale of branded cannabis flower and processed and packaged products including concentrates, edibles, topicals and other cannabis products, of 57%. This is compared to gross profit for the three months ended March 31, 2020 of $52,987,414 or a 52% gross margin. The Company’s increase in gross margin percentage was mainly attributed to expanded capacity in the Company’s Consumer Packaged Goods segment. The increase in gross profit (dollars) was directly attributable to the revenue increase as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Total expenses for the three months ended March 31, 2021 were $59,331,251 or 31% of revenues, net of discounts, resulting in an increase of $13,896,494. Total expenses for the three months ended March 31, 2020 were $45,434,757 or 44% of revenues, net of discounts.</w:t>
      </w:r>
    </w:p>
    <w:p>
      <w:pPr>
        <w:spacing w:after="0" w:line="12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The increase in total expenses was attributable to Retail salaries and benefits, depreciation expense and other operational and facility expenses mainly as a result of the Company’s addition of 14 new and acquired retail facilities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Total other income (expense) for three months ended March 31, 2021 was ($9,223,103), a change of ($11,055,886), mainly due to unfavorable fair value adjustments associated with the Company’s warrant liability as of March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(Loss) Before Provision for Income Taxes and Non-Controlling Interest</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Net operating income before provision for income taxes and non-controlling interest for three months ended March 31, 2021 was $42,311,146, an increase of $32,925,706 compared to the three months ended March 31, 2020.</w:t>
      </w:r>
    </w:p>
    <w:p>
      <w:pPr>
        <w:spacing w:after="0" w:line="170"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presented under the heading “Non-GAAP Measures” below, after adjusting for non-cash equity incentive compensation of $4,030,655 and $5,073,742, adjusted operating EBITDA was $71,355,281 and $25,544,924 for the three months ended March 31, 2021 and 2020, respectively.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March 31, 2021, federal and state income tax expense totaled $30,856,178 compared to expense of $13,149,000 for the three months ended March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revenues net of sales discounts by segment for the three months ended March 31,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7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376"/>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5780" w:type="dxa"/>
            <w:vAlign w:val="bottom"/>
          </w:tcPr>
          <w:p>
            <w:pPr>
              <w:spacing w:after="0"/>
              <w:rPr>
                <w:sz w:val="9"/>
                <w:szCs w:val="9"/>
                <w:color w:val="auto"/>
              </w:rPr>
            </w:pPr>
          </w:p>
        </w:tc>
        <w:tc>
          <w:tcPr>
            <w:tcW w:w="100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7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20"/>
                <w:szCs w:val="20"/>
                <w:color w:val="auto"/>
              </w:rPr>
            </w:pPr>
            <w:r>
              <w:rPr>
                <w:rFonts w:ascii="Arial" w:cs="Arial" w:eastAsia="Arial" w:hAnsi="Arial"/>
                <w:sz w:val="14"/>
                <w:szCs w:val="14"/>
                <w:color w:val="auto"/>
                <w:w w:val="85"/>
              </w:rPr>
              <w:t>Change</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Packaged Goods</w:t>
            </w:r>
          </w:p>
        </w:tc>
        <w:tc>
          <w:tcPr>
            <w:tcW w:w="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$104,077,438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46,322,028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$ 57,755,410</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Retail</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130,108,718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75,961,450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54,147,268</w:t>
            </w:r>
          </w:p>
        </w:tc>
        <w:tc>
          <w:tcPr>
            <w:tcW w:w="440" w:type="dxa"/>
            <w:vAlign w:val="bottom"/>
          </w:tcPr>
          <w:p>
            <w:pPr>
              <w:jc w:val="center"/>
              <w:spacing w:after="0"/>
              <w:rPr>
                <w:sz w:val="20"/>
                <w:szCs w:val="20"/>
                <w:color w:val="auto"/>
              </w:rPr>
            </w:pPr>
            <w:r>
              <w:rPr>
                <w:rFonts w:ascii="Arial" w:cs="Arial" w:eastAsia="Arial" w:hAnsi="Arial"/>
                <w:sz w:val="18"/>
                <w:szCs w:val="18"/>
                <w:color w:val="auto"/>
                <w:w w:val="88"/>
              </w:rPr>
              <w:t>71%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13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(39,755,572)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(19,680,876)</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(20,074,696)</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Revenues, Net of Discounts</w:t>
            </w: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194,430,584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102,602,602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$ 91,827,982</w:t>
            </w:r>
          </w:p>
        </w:tc>
        <w:tc>
          <w:tcPr>
            <w:tcW w:w="3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March 31, 2021 Compared with the Three Months Ended March 31, 2020</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Revenues, net of discounts for the Retail segment were $130,108,718, an increase of $54,147,268 or 71%, compared to the three months ended March 31, 2020. The increase in Retail revenues, net of discounts, was primarily driven by increased store traffic to Green Thumb’s open and operating retail stores, particularly in Illinois and Pennsylvania, as well as new store openings particularly in Pennsylvania.</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Revenues, net of discounts for the Consumer Packaged Goods Segment were $104,077,438, an increase of $57,755,410 or 125%, compared to the three months ended March 31, 2020. The increase in Consumer Packaged Goods revenues, net of discounts, was primarily driven by increased sales volume in established markets such as Illinois, Pennsylvania, Massachusetts, Nevada and Maryland.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consumer packaged goods brands including Beboe, Dogwalkers, Dr. Solomon’s, incredibles, Rythm, and The Feel Collection,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88"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For the three months ended March 31, 2021, revenue was contributed from Consumer Packaged Goods and Retail sales across California, Colorado, Connecticut, Florida, Illinois, Maryland, Massachusetts, Nevada, New Jersey, New York, Ohio and Pennsylvania.</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During the three months ended March 31, 2021,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9"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15"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jc w:val="center"/>
        <w:ind w:left="59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10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$11,454,968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(3,763,560)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Income</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(49,890)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(88,115)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4,123,176</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5,041,442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30,856,178</w:t>
            </w: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13,149,000</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5,149,817</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(6,786,110)</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14,993,421</w:t>
            </w: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12,705,172</w:t>
            </w:r>
          </w:p>
        </w:tc>
        <w:tc>
          <w:tcPr>
            <w:tcW w:w="0" w:type="dxa"/>
            <w:vAlign w:val="bottom"/>
          </w:tcPr>
          <w:p>
            <w:pPr>
              <w:spacing w:after="0"/>
              <w:rPr>
                <w:sz w:val="1"/>
                <w:szCs w:val="1"/>
                <w:color w:val="auto"/>
              </w:rPr>
            </w:pPr>
          </w:p>
        </w:tc>
      </w:tr>
      <w:tr>
        <w:trPr>
          <w:trHeight w:val="198"/>
        </w:trPr>
        <w:tc>
          <w:tcPr>
            <w:tcW w:w="6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Earnings before interest, taxes, depreciation and amortization</w:t>
            </w: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 (non-GAAP measure)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66,527,670</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20,257,829</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Stock-based compensation, non-cash</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4,030,655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796,956</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213,353</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71,355,281</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25,544,924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As of March 31, 2021, and December 31, 2020 the Company had total current liabilities of $108,444,304 and $119,288,435, respectively, and cash and cash equivalents of $275,898,839 and $83,757,785, respectively to meet its current obligations. The Company had working capital of $272,514,335 as of March 31, 2021, an increase of $207,858,765 as compared to December 31, 2020. This increase in working capital was primarily driven by the $155,498,140 sale of registered Subordinate Voting Shares pursuant to the Company’s Registration Statement on Form S-1.</w:t>
      </w:r>
    </w:p>
    <w:p>
      <w:pPr>
        <w:spacing w:after="0" w:line="15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 the first three months of 2021, Green Thumb generated revenue from all 12 of its markets: California, Colorado, Connecticut, Florida, Illinois, Maryland, Massachusetts, Nevada, New Jersey, New York, Ohio and Pennsylvania. The Company’s Consumer Packaged Goods revenue grew approximately 8%, net of discounts, during the three months ended March 31, 2021 as compared to the three months ended December 31, 2020, primarily driven by organic growth across the Company’s Consumer Packaged Goods Business. The Company’s Retail revenue, net of discounts, increased 8% during the three months ended March 31, 2021 as compared to the three months ended December 31, 2020, primarily driven by increased transaction activity across the Company’s 56 Retail store footprint.</w:t>
      </w:r>
    </w:p>
    <w:p>
      <w:pPr>
        <w:spacing w:after="0" w:line="192"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The Company is an early-stage growth company, which is generating cash from revenues and is deploying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development and marketing, as well as customer, supplier and investor and industry relations.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While our revenue, gross profit and operating income were not materially impacted by COVID-19 and we maintained the consistency of our operations during the first three months of 2021,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Used in Operating Activities, Investing and Financing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cash provided by (used in) operating, investing and financing activities for the three months ended March 31, 2021 and 2020, were as follows:</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39,655,753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27,048,097</w:t>
            </w: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(7,241,005)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(1,447,583)</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159,726,306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(745,894)</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of March 31, 2021,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There were no material changes to our critical accounting policies and estimates from the information provided in “Management’s Discussion and Analysis of Financial Condition and Results of Operations,” included in our 2020 Form 10-K.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is an “emerging growth company” as defined in the Section 2(a) of the Exchange Act, as modified by the Jumpstart Our Business Start-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ups Act of 2012, or the JOBS Act provides that an emerging growth company can take advantage of the extended transition period provided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13(a) of the Exchange Act for complying with new or revised accounting standards applicable to public companies. The Company has elected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take advantage of this extended transition period and as a result of this election, our financial statements may not be comparable to companies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comply with public company effective dates.</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changes to our market risk disclosures as set forth in Part II Item 7A of our 2020 Form 10-K.</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Company evaluated the effectiveness of our disclosure controls and procedures as of March 31,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March 31, 2021. As an emerging growth company, Green Thumb was not required to include management’s assessment of Internal Controls over Financial Reporting (“ICFR”) or an attestation report of the Company’s registered public accounting firm in our 2020 Form 10-K. However, management has developed and is in the process of enhancing the Company’s ICFR and its disclosure controls and procedures in preparation for the annual audit of the Company for the 2021 fiscal year. Green Thumb expects to be required to include both management’s assessment of ICFR and the attestation of the Company’s independent registered public accounting firm regarding the Company’s ICFR in our 2021 annual report on Form 10-K. Management, including the Chief Executive Officer and Chief Financial Officer, have carefully considered the Company’s progress in the development of the disclosure controls and procedures to date and determined that they were reasonably effective at the assurance level as of March 31, 2021.</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have been no material changes to the risk factors disclosed in the 2020 Form 10-K.</w:t>
      </w:r>
    </w:p>
    <w:p>
      <w:pPr>
        <w:spacing w:after="0" w:line="12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 OF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following information represents securities sold by the Company for the period covered by this Quarterly Report on Form 10-Q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 or, in the case of shares in connection with our 2018 Share and Incentive Plan, in reliance upon Rule 701 promulgated under Section 3(b) of the Securities Act as transactions by an issuer pursuant to benefit plans and contracts related to compensation.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Between February 22, 2021 and March 22, 2021, we issued, 176,729 Subordinate Voting Shares associated with acquisition related commitments to the former owners of privately held companies.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March 22, 2021, the Company issued 412,744 Subordinate Voting Shares as contingent consideration associated with the Company’s 2019 acquisition of Integral Associates, LLC.</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February 1, 2021 and continuing through February 8, 2021, the Company converted 11,030 Multiple Voting Shares into 1,103,000 Subordinate Voting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February 1, 2021 and continuing through February 8, 2021, the Company converted 11,030 Super Voting Shares into 11,030 Multiple Voting Shares.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February 1, 2021 and continuing through February 8, 2021, the Company converted 11,030 Multiple Voting Shares into 1,103,000 Subordinate Voting Shares.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with this report: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ind w:left="80"/>
              <w:spacing w:after="0"/>
              <w:rPr>
                <w:sz w:val="20"/>
                <w:szCs w:val="20"/>
                <w:color w:val="auto"/>
              </w:rPr>
            </w:pPr>
            <w:r>
              <w:rPr>
                <w:rFonts w:ascii="Arial" w:cs="Arial" w:eastAsia="Arial" w:hAnsi="Arial"/>
                <w:sz w:val="18"/>
                <w:szCs w:val="18"/>
                <w:color w:val="auto"/>
              </w:rPr>
              <w:t>10.1*</w:t>
            </w:r>
          </w:p>
        </w:tc>
        <w:tc>
          <w:tcPr>
            <w:tcW w:w="25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2021 Executive Annual Bonus Plan</w:t>
              </w:r>
            </w:hyperlink>
          </w:p>
        </w:tc>
        <w:tc>
          <w:tcPr>
            <w:tcW w:w="7300" w:type="dxa"/>
            <w:vAlign w:val="bottom"/>
            <w:gridSpan w:val="3"/>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31.1</w:t>
            </w:r>
          </w:p>
        </w:tc>
        <w:tc>
          <w:tcPr>
            <w:tcW w:w="9880" w:type="dxa"/>
            <w:vAlign w:val="bottom"/>
            <w:gridSpan w:val="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CERTIFICATE OF CHIEF EXECUTIVE OFFICER</w:t>
              </w:r>
            </w:hyperlink>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31.2</w:t>
            </w:r>
          </w:p>
        </w:tc>
        <w:tc>
          <w:tcPr>
            <w:tcW w:w="3800" w:type="dxa"/>
            <w:vAlign w:val="bottom"/>
            <w:tcBorders>
              <w:top w:val="single" w:sz="8" w:color="0000EE"/>
            </w:tcBorders>
            <w:gridSpan w:val="5"/>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CERTIFICATE OF CHIEF FINANCIAL OFFICER</w:t>
              </w:r>
            </w:hyperlink>
          </w:p>
        </w:tc>
        <w:tc>
          <w:tcPr>
            <w:tcW w:w="60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32.1</w:t>
            </w:r>
          </w:p>
        </w:tc>
        <w:tc>
          <w:tcPr>
            <w:tcW w:w="98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OXLEY ACT OF 2002</w:t>
              </w:r>
            </w:hyperlink>
          </w:p>
        </w:tc>
        <w:tc>
          <w:tcPr>
            <w:tcW w:w="8180" w:type="dxa"/>
            <w:vAlign w:val="bottom"/>
            <w:gridSpan w:val="5"/>
          </w:tcPr>
          <w:p>
            <w:pPr>
              <w:spacing w:after="0"/>
              <w:rPr>
                <w:sz w:val="17"/>
                <w:szCs w:val="17"/>
                <w:color w:val="auto"/>
              </w:rPr>
            </w:pPr>
          </w:p>
        </w:tc>
      </w:tr>
      <w:tr>
        <w:trPr>
          <w:trHeight w:val="304"/>
        </w:trPr>
        <w:tc>
          <w:tcPr>
            <w:tcW w:w="1100" w:type="dxa"/>
            <w:vAlign w:val="bottom"/>
          </w:tcPr>
          <w:p>
            <w:pPr>
              <w:ind w:left="80"/>
              <w:spacing w:after="0"/>
              <w:rPr>
                <w:sz w:val="20"/>
                <w:szCs w:val="20"/>
                <w:color w:val="auto"/>
              </w:rPr>
            </w:pPr>
            <w:r>
              <w:rPr>
                <w:rFonts w:ascii="Arial" w:cs="Arial" w:eastAsia="Arial" w:hAnsi="Arial"/>
                <w:sz w:val="18"/>
                <w:szCs w:val="18"/>
                <w:color w:val="auto"/>
              </w:rPr>
              <w:t>32.2</w:t>
            </w:r>
          </w:p>
        </w:tc>
        <w:tc>
          <w:tcPr>
            <w:tcW w:w="988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CERTIFICATION PURSUANT TO 18 U.S.C. SECTION 1350, AS ADOPTED PURSUANT TO SECTION 906 OF THE SARBANES-</w:t>
              </w:r>
            </w:hyperlink>
          </w:p>
        </w:tc>
      </w:tr>
      <w:tr>
        <w:trPr>
          <w:trHeight w:val="196"/>
        </w:trPr>
        <w:tc>
          <w:tcPr>
            <w:tcW w:w="1100" w:type="dxa"/>
            <w:vAlign w:val="bottom"/>
          </w:tcPr>
          <w:p>
            <w:pPr>
              <w:spacing w:after="0"/>
              <w:rPr>
                <w:sz w:val="17"/>
                <w:szCs w:val="17"/>
                <w:color w:val="auto"/>
              </w:rPr>
            </w:pPr>
          </w:p>
        </w:tc>
        <w:tc>
          <w:tcPr>
            <w:tcW w:w="9880" w:type="dxa"/>
            <w:vAlign w:val="bottom"/>
            <w:gridSpan w:val="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 xml:space="preserve">OXLEY ACT OF 2002 </w:t>
              </w:r>
              <w:r>
                <w:rPr>
                  <w:rFonts w:ascii="Arial" w:cs="Arial" w:eastAsia="Arial" w:hAnsi="Arial"/>
                  <w:sz w:val="18"/>
                  <w:szCs w:val="18"/>
                  <w:color w:val="000000"/>
                </w:rPr>
                <w:t>c</w:t>
              </w:r>
            </w:hyperlink>
          </w:p>
        </w:tc>
      </w:tr>
      <w:tr>
        <w:trPr>
          <w:trHeight w:val="20"/>
        </w:trPr>
        <w:tc>
          <w:tcPr>
            <w:tcW w:w="11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8140" w:type="dxa"/>
            <w:vAlign w:val="bottom"/>
            <w:gridSpan w:val="4"/>
          </w:tcPr>
          <w:p>
            <w:pPr>
              <w:spacing w:after="0" w:line="20" w:lineRule="exact"/>
              <w:rPr>
                <w:sz w:val="1"/>
                <w:szCs w:val="1"/>
                <w:color w:val="auto"/>
              </w:rPr>
            </w:pPr>
          </w:p>
        </w:tc>
      </w:tr>
      <w:tr>
        <w:trPr>
          <w:trHeight w:val="344"/>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07"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Certain confidential information has been excluded from this exhibit because it would be competitively harmful if publicly disclosed.</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May13, 2021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7946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13, 2021</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60"/>
          </w:cols>
          <w:pgMar w:left="320" w:top="459" w:right="5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Green Thumb Industries Inc.</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2021 Bonus Plan</w:t>
      </w:r>
    </w:p>
    <w:p>
      <w:pPr>
        <w:spacing w:after="0" w:line="116" w:lineRule="exact"/>
        <w:rPr>
          <w:sz w:val="20"/>
          <w:szCs w:val="20"/>
          <w:color w:val="auto"/>
        </w:rPr>
      </w:pPr>
    </w:p>
    <w:p>
      <w:pPr>
        <w:ind w:left="424" w:right="100" w:hanging="424"/>
        <w:spacing w:after="0" w:line="257"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Purpose</w:t>
      </w:r>
      <w:r>
        <w:rPr>
          <w:rFonts w:ascii="Arial" w:cs="Arial" w:eastAsia="Arial" w:hAnsi="Arial"/>
          <w:sz w:val="18"/>
          <w:szCs w:val="18"/>
          <w:color w:val="auto"/>
        </w:rPr>
        <w:t>. The objective of the Green Thumb Industries Inc. 2021 Bonus Plan (the “Plan”) is to incentivize performance during calendar year 2021 of the executive officers and other employees of Green Thumb Industries Inc. and its subsidiaries (the “Company”) who have been designated by the Compensation Committee of the Company’s Board of Directors (the “Compensation Committee”) to participate in the Plan. The Plan is intended to provide participants with an opportunity to earn bonuses for 2021 based, in part, on the extent to which specified performance goals have been achieved.</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Duration of Plan</w:t>
      </w:r>
      <w:r>
        <w:rPr>
          <w:rFonts w:ascii="Arial" w:cs="Arial" w:eastAsia="Arial" w:hAnsi="Arial"/>
          <w:sz w:val="17"/>
          <w:szCs w:val="17"/>
          <w:color w:val="auto"/>
        </w:rPr>
        <w:t>. The Plan will be in effect for calendar year 2021 and through the payout date regarding any bonus earned under the Plan.</w:t>
      </w:r>
    </w:p>
    <w:p>
      <w:pPr>
        <w:spacing w:after="0" w:line="142" w:lineRule="exact"/>
        <w:rPr>
          <w:rFonts w:ascii="Arial" w:cs="Arial" w:eastAsia="Arial" w:hAnsi="Arial"/>
          <w:sz w:val="17"/>
          <w:szCs w:val="17"/>
          <w:color w:val="auto"/>
        </w:rPr>
      </w:pPr>
    </w:p>
    <w:p>
      <w:pPr>
        <w:ind w:left="424" w:right="60" w:hanging="424"/>
        <w:spacing w:after="0" w:line="273" w:lineRule="auto"/>
        <w:tabs>
          <w:tab w:leader="none" w:pos="424"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Eligibility to Participate</w:t>
      </w:r>
      <w:r>
        <w:rPr>
          <w:rFonts w:ascii="Arial" w:cs="Arial" w:eastAsia="Arial" w:hAnsi="Arial"/>
          <w:sz w:val="17"/>
          <w:szCs w:val="17"/>
          <w:color w:val="auto"/>
        </w:rPr>
        <w:t>. Each of the Company’s executive officers (as defined under Section 16(b) of the Securities Exchange Act of 1934) is eligible to participate in the Plan, however, the executive officer must be designated in writing by the Compensation Committee. At the Company’s discretion, other employees of the Company and its subsidiaries may also be designated as participants. Each person so designated to participate under this Section 3 is deemed a “Participant”. Notwithstanding the foregoing, a Participant must remain employed by the Company as of December 31, 2021 to earn a bonus hereunder. The Compensation Committee may, however, in its sole discretion, provide a partial bonus to a Participant that commenced employment after the first day of January 2021.</w:t>
      </w:r>
    </w:p>
    <w:p>
      <w:pPr>
        <w:spacing w:after="0" w:line="83" w:lineRule="exact"/>
        <w:rPr>
          <w:rFonts w:ascii="Arial" w:cs="Arial" w:eastAsia="Arial" w:hAnsi="Arial"/>
          <w:sz w:val="17"/>
          <w:szCs w:val="17"/>
          <w:color w:val="auto"/>
        </w:rPr>
      </w:pPr>
    </w:p>
    <w:p>
      <w:pPr>
        <w:ind w:left="424" w:right="20" w:hanging="424"/>
        <w:spacing w:after="0" w:line="286"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Target Levels for Bonuses/Calculations</w:t>
      </w:r>
      <w:r>
        <w:rPr>
          <w:rFonts w:ascii="Arial" w:cs="Arial" w:eastAsia="Arial" w:hAnsi="Arial"/>
          <w:sz w:val="16"/>
          <w:szCs w:val="16"/>
          <w:color w:val="auto"/>
        </w:rPr>
        <w:t>. The Compensation Committee will approve the annual Company performance goal and targets as soon as practicable in the first quarter of 2021 based on the Company’s operating plan. The Compensation Committee will also approve a range of potential bonus award amounts for threshold, target and stretch performance. Based upon the Compensation Committee’s periodic review of Company performance (provided by management), the Company will book an accrual based on the achievement of performance against the target levels. The Committee’s approved achievement levels will be set forth in Appendix A hereto. The Compensation Committee may adjust up or down the performance target and ranges for potential bonus awards under the Plan or, alternatively, may adjust the calculation of the actual results, in each case to reflect items outside of the Participants’ control as the Compensation Committee deems necessary or appropriate to adequately reward and incentivize Participants. Such items may include certain extraordinary or special items including, but not limited to: change in accounting policy; gain/loss on disposition of assets or business; charge for goodwill impairment; extraordinary corporate events such as mergers or acquisitions; extraordinary legal/regulatory settlements; extraordinary market conditions; effects of natural or man-made disasters (e.g. 9/11); hyperinflation (e.g.&gt;15%); change in statutory tax rates/regulations; and other extraordinary, unusual or infrequently occurring items. The final determination of achievement of the performance goals, potential bonus award ranges, the certification of achievement of the target and the annual accrual shall be approved by the Compensation Committee prior to payout. The performance goal or performance goals achieved by the Company for the purposes of the Plan may differ from achievement of the performance goal reflected in the Company’s financial statements.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3" w:name="page44"/>
    <w:bookmarkEnd w:id="43"/>
    <w:p>
      <w:pPr>
        <w:ind w:left="424" w:right="60" w:hanging="424"/>
        <w:spacing w:after="0" w:line="286" w:lineRule="auto"/>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Goals</w:t>
      </w:r>
      <w:r>
        <w:rPr>
          <w:rFonts w:ascii="Arial" w:cs="Arial" w:eastAsia="Arial" w:hAnsi="Arial"/>
          <w:sz w:val="17"/>
          <w:szCs w:val="17"/>
          <w:color w:val="auto"/>
        </w:rPr>
        <w:t>. Each Participant will be assigned a target bonus level by the Compensation Committee, stated as a percentage of his or her base salary. Each Participant’s ability to earn the target bonus award is dependent on the Company’s attainment of the annual performance targets. A Participant may earn more or less than his or her target bonus award based upon his or her individual performance.</w:t>
      </w:r>
    </w:p>
    <w:p>
      <w:pPr>
        <w:spacing w:after="0" w:line="70" w:lineRule="exact"/>
        <w:rPr>
          <w:rFonts w:ascii="Arial" w:cs="Arial" w:eastAsia="Arial" w:hAnsi="Arial"/>
          <w:sz w:val="17"/>
          <w:szCs w:val="17"/>
          <w:color w:val="auto"/>
        </w:rPr>
      </w:pPr>
    </w:p>
    <w:p>
      <w:pPr>
        <w:ind w:left="424" w:right="120" w:hanging="424"/>
        <w:spacing w:after="0" w:line="275" w:lineRule="auto"/>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Award Payments</w:t>
      </w:r>
      <w:r>
        <w:rPr>
          <w:rFonts w:ascii="Arial" w:cs="Arial" w:eastAsia="Arial" w:hAnsi="Arial"/>
          <w:sz w:val="17"/>
          <w:szCs w:val="17"/>
          <w:color w:val="auto"/>
        </w:rPr>
        <w:t>. All bonus awards under the Plan will be paid out following the completion of the 2021 calendar year. All awards will be payable, to the extent earned (i) for the amount up to each applicable participant’s target award, in cash; and (ii) for any amount in excess of each participant’s target, in fully-vested restricted stock units under the Green Thumb Industries Inc. 2018 Stock and Incentive Plan, as amended (the “Plan”), on an award date to be determined by the Compensation Committee when the final approval of each award is certified, with the number of restricted stock units determined based on the grant date fair value as calculated under the Plan.</w:t>
      </w:r>
    </w:p>
    <w:p>
      <w:pPr>
        <w:spacing w:after="0" w:line="81" w:lineRule="exact"/>
        <w:rPr>
          <w:rFonts w:ascii="Arial" w:cs="Arial" w:eastAsia="Arial" w:hAnsi="Arial"/>
          <w:sz w:val="17"/>
          <w:szCs w:val="17"/>
          <w:color w:val="auto"/>
        </w:rPr>
      </w:pPr>
    </w:p>
    <w:p>
      <w:pPr>
        <w:ind w:left="424" w:right="300" w:hanging="424"/>
        <w:spacing w:after="0" w:line="263"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a Participant ceases employment with the Company prior to December 31, 2021, subject to legal requirements, that Participant will not be entitled to a bonus award under this Plan. Eligibility for, or actual participation in, the Plan does not entitle an individual to continued employment with the Company.</w:t>
      </w:r>
    </w:p>
    <w:p>
      <w:pPr>
        <w:spacing w:after="0" w:line="89" w:lineRule="exact"/>
        <w:rPr>
          <w:rFonts w:ascii="Arial" w:cs="Arial" w:eastAsia="Arial" w:hAnsi="Arial"/>
          <w:sz w:val="18"/>
          <w:szCs w:val="18"/>
          <w:color w:val="auto"/>
        </w:rPr>
      </w:pPr>
    </w:p>
    <w:p>
      <w:pPr>
        <w:ind w:left="424" w:right="580" w:hanging="424"/>
        <w:spacing w:after="0" w:line="277"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The Compensation Committee may, at any time and from time to time, make any and all adjustments to the Plan as it deems necessary or appropriate, and it may terminate the Plan at any time.</w:t>
      </w:r>
    </w:p>
    <w:p>
      <w:pPr>
        <w:spacing w:after="0" w:line="75" w:lineRule="exact"/>
        <w:rPr>
          <w:rFonts w:ascii="Arial" w:cs="Arial" w:eastAsia="Arial" w:hAnsi="Arial"/>
          <w:sz w:val="18"/>
          <w:szCs w:val="18"/>
          <w:color w:val="auto"/>
        </w:rPr>
      </w:pPr>
    </w:p>
    <w:p>
      <w:pPr>
        <w:ind w:left="424" w:hanging="424"/>
        <w:spacing w:after="0" w:line="290" w:lineRule="auto"/>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Compensation Committee, which is responsible for: (a) determining the annual performance goals and the specific target under each such performance goal; (b) certifying the Company’s achievement with respect to the performance target following completion of the 2021 calendar year; and (c) approving the Company’s accrual under the Plan. The Compensation Committee has full authority, in its sole discretion, to take any action with respect to the Plan including, but not limited to: (i) determining all matters relating to bonus awards, including eligibility criteria, performance criteria, the achievement of performance criteria and terms, conditions, restrictions and limitations of any award; (ii) construing and interpreting the Plan and any document evidencing bonus awards granted under the Plan; (iii) making any other determinations deemed necessary or appropriate. The Compensation Committee’s interpretation, construction and administration of the Plan and each of its determinations hereunder, will be final, conclusive and binding on all persons for all purposes.</w:t>
      </w:r>
    </w:p>
    <w:p>
      <w:pPr>
        <w:spacing w:after="0" w:line="70" w:lineRule="exact"/>
        <w:rPr>
          <w:rFonts w:ascii="Arial" w:cs="Arial" w:eastAsia="Arial" w:hAnsi="Arial"/>
          <w:sz w:val="16"/>
          <w:szCs w:val="16"/>
          <w:color w:val="auto"/>
        </w:rPr>
      </w:pPr>
    </w:p>
    <w:p>
      <w:pPr>
        <w:ind w:left="424" w:right="40" w:hanging="424"/>
        <w:spacing w:after="0" w:line="286" w:lineRule="auto"/>
        <w:tabs>
          <w:tab w:leader="none" w:pos="42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each bonus award hereunder, and all determinations made and actions taken pursuant hereto, to the extent not otherwise governed by the U.S. Internal Revenue Code of 1986, as amended, or the laws of the United States, shall be governed by the laws of the State of Illinois and construed in accordance therewith without giving effect to principles of conflicts of laws.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[REDACTED]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270" w:right="1440"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960" w:hanging="53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220" w:hanging="532"/>
        <w:spacing w:after="0" w:line="291" w:lineRule="auto"/>
        <w:tabs>
          <w:tab w:leader="none" w:pos="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16" w:lineRule="exact"/>
        <w:rPr>
          <w:rFonts w:ascii="Arial" w:cs="Arial" w:eastAsia="Arial" w:hAnsi="Arial"/>
          <w:sz w:val="16"/>
          <w:szCs w:val="16"/>
          <w:color w:val="auto"/>
        </w:rPr>
      </w:pPr>
    </w:p>
    <w:p>
      <w:pPr>
        <w:ind w:left="1960" w:right="100" w:hanging="533"/>
        <w:spacing w:after="0" w:line="311" w:lineRule="auto"/>
        <w:tabs>
          <w:tab w:leader="none" w:pos="19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ectPr>
          <w:pgSz w:w="11900" w:h="16838" w:orient="portrait"/>
          <w:cols w:equalWidth="0" w:num="1">
            <w:col w:w="11020"/>
          </w:cols>
          <w:pgMar w:left="440" w:top="121"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960" w:hanging="53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960" w:right="100" w:hanging="533"/>
        <w:spacing w:after="0" w:line="311" w:lineRule="auto"/>
        <w:tabs>
          <w:tab w:leader="none" w:pos="19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6"/>
          <w:szCs w:val="16"/>
          <w:color w:val="auto"/>
        </w:rPr>
      </w:pPr>
    </w:p>
    <w:p>
      <w:pPr>
        <w:jc w:val="both"/>
        <w:ind w:left="1960" w:right="100" w:hanging="533"/>
        <w:spacing w:after="0" w:line="263"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960" w:right="100" w:hanging="533"/>
        <w:spacing w:after="0" w:line="286" w:lineRule="auto"/>
        <w:tabs>
          <w:tab w:leader="none" w:pos="1960" w:val="left"/>
        </w:tabs>
        <w:numPr>
          <w:ilvl w:val="1"/>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8"/>
          <w:szCs w:val="18"/>
          <w:color w:val="auto"/>
        </w:rPr>
      </w:pPr>
    </w:p>
    <w:p>
      <w:pPr>
        <w:ind w:left="1960" w:right="360" w:hanging="533"/>
        <w:spacing w:after="0" w:line="263"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960" w:right="740" w:hanging="533"/>
        <w:spacing w:after="0" w:line="277" w:lineRule="auto"/>
        <w:tabs>
          <w:tab w:leader="none" w:pos="19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ectPr>
          <w:pgSz w:w="11900" w:h="16838" w:orient="portrait"/>
          <w:cols w:equalWidth="0" w:num="1">
            <w:col w:w="11020"/>
          </w:cols>
          <w:pgMar w:left="440" w:top="121"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months ended March 31, 2021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ectPr>
          <w:pgSz w:w="11900" w:h="16838" w:orient="portrait"/>
          <w:cols w:equalWidth="0" w:num="1">
            <w:col w:w="11020"/>
          </w:cols>
          <w:pgMar w:left="440" w:top="121"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months ended March 31, 2021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Anthony Georgiadis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Letter"/>
      <w:start w:val="1"/>
    </w:lvl>
  </w:abstractNum>
  <w:abstractNum w:abstractNumId="4">
    <w:nsid w:val="189A769B"/>
    <w:multiLevelType w:val="hybridMultilevel"/>
    <w:lvl w:ilvl="0">
      <w:lvlJc w:val="left"/>
      <w:lvlText w:val="(%1)"/>
      <w:numFmt w:val="lowerLetter"/>
      <w:start w:val="2"/>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lowerLetter"/>
      <w:start w:val="3"/>
    </w:lvl>
  </w:abstractNum>
  <w:abstractNum w:abstractNumId="7">
    <w:nsid w:val="2CA88611"/>
    <w:multiLevelType w:val="hybridMultilevel"/>
    <w:lvl w:ilvl="0">
      <w:lvlJc w:val="left"/>
      <w:lvlText w:val="(%1)"/>
      <w:numFmt w:val="lowerLetter"/>
      <w:start w:val="4"/>
    </w:lvl>
  </w:abstractNum>
  <w:abstractNum w:abstractNumId="8">
    <w:nsid w:val="836C40E"/>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9">
    <w:nsid w:val="2901D82"/>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0">
    <w:nsid w:val="3A95F874"/>
    <w:multiLevelType w:val="hybridMultilevel"/>
    <w:lvl w:ilvl="0">
      <w:lvlJc w:val="left"/>
      <w:lvlText w:val="%1."/>
      <w:numFmt w:val="decimal"/>
      <w:start w:val="2"/>
    </w:lvl>
  </w:abstractNum>
  <w:abstractNum w:abstractNumId="11">
    <w:nsid w:val="8138641"/>
    <w:multiLevelType w:val="hybridMultilevel"/>
    <w:lvl w:ilvl="0">
      <w:lvlJc w:val="left"/>
      <w:lvlText w:val="%1."/>
      <w:numFmt w:val="decimal"/>
      <w:start w:val="4"/>
    </w:lvl>
  </w:abstractNum>
  <w:abstractNum w:abstractNumId="12">
    <w:nsid w:val="1E7FF521"/>
    <w:multiLevelType w:val="hybridMultilevel"/>
    <w:lvl w:ilvl="0">
      <w:lvlJc w:val="left"/>
      <w:lvlText w:val="%1."/>
      <w:numFmt w:val="decimal"/>
      <w:start w:val="5"/>
    </w:lvl>
  </w:abstractNum>
  <w:abstractNum w:abstractNumId="13">
    <w:nsid w:val="7C3DBD3D"/>
    <w:multiLevelType w:val="hybridMultilevel"/>
    <w:lvl w:ilvl="0">
      <w:lvlJc w:val="left"/>
      <w:lvlText w:val="%1."/>
      <w:numFmt w:val="decimal"/>
      <w:start w:val="6"/>
    </w:lvl>
  </w:abstractNum>
  <w:abstractNum w:abstractNumId="14">
    <w:nsid w:val="737B8DDC"/>
    <w:multiLevelType w:val="hybridMultilevel"/>
    <w:lvl w:ilvl="0">
      <w:lvlJc w:val="left"/>
      <w:lvlText w:val="%1."/>
      <w:numFmt w:val="decimal"/>
      <w:start w:val="6"/>
    </w:lvl>
  </w:abstractNum>
  <w:abstractNum w:abstractNumId="15">
    <w:nsid w:val="6CEAF087"/>
    <w:multiLevelType w:val="hybridMultilevel"/>
    <w:lvl w:ilvl="0">
      <w:lvlJc w:val="left"/>
      <w:lvlText w:val="(%1)"/>
      <w:numFmt w:val="lowerLetter"/>
      <w:start w:val="2"/>
    </w:lvl>
  </w:abstractNum>
  <w:abstractNum w:abstractNumId="16">
    <w:nsid w:val="22221A70"/>
    <w:multiLevelType w:val="hybridMultilevel"/>
    <w:lvl w:ilvl="0">
      <w:lvlJc w:val="left"/>
      <w:lvlText w:val="(%1)"/>
      <w:numFmt w:val="lowerLetter"/>
      <w:start w:val="1"/>
    </w:lvl>
    <w:lvl w:ilvl="1">
      <w:lvlJc w:val="left"/>
      <w:lvlText w:val="-"/>
      <w:numFmt w:val="bullet"/>
      <w:start w:val="1"/>
    </w:lvl>
  </w:abstractNum>
  <w:abstractNum w:abstractNumId="17">
    <w:nsid w:val="4516DDE9"/>
    <w:multiLevelType w:val="hybridMultilevel"/>
    <w:lvl w:ilvl="0">
      <w:lvlJc w:val="left"/>
      <w:lvlText w:val="%1."/>
      <w:numFmt w:val="decimal"/>
      <w:start w:val="8"/>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8"/>
    </w:lvl>
  </w:abstractNum>
  <w:abstractNum w:abstractNumId="20">
    <w:nsid w:val="419AC241"/>
    <w:multiLevelType w:val="hybridMultilevel"/>
    <w:lvl w:ilvl="0">
      <w:lvlJc w:val="left"/>
      <w:lvlText w:val="(%1)"/>
      <w:numFmt w:val="lowerLetter"/>
      <w:start w:val="2"/>
    </w:lvl>
  </w:abstractNum>
  <w:abstractNum w:abstractNumId="21">
    <w:nsid w:val="5577F8E1"/>
    <w:multiLevelType w:val="hybridMultilevel"/>
    <w:lvl w:ilvl="0">
      <w:lvlJc w:val="left"/>
      <w:lvlText w:val="%1."/>
      <w:numFmt w:val="decimal"/>
      <w:start w:val="9"/>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Roman"/>
      <w:start w:val="1"/>
    </w:lvl>
  </w:abstractNum>
  <w:abstractNum w:abstractNumId="24">
    <w:nsid w:val="3804823E"/>
    <w:multiLevelType w:val="hybridMultilevel"/>
    <w:lvl w:ilvl="0">
      <w:lvlJc w:val="left"/>
      <w:lvlText w:val="(%1)"/>
      <w:numFmt w:val="lowerRoman"/>
      <w:start w:val="2"/>
    </w:lvl>
  </w:abstractNum>
  <w:abstractNum w:abstractNumId="25">
    <w:nsid w:val="77465F01"/>
    <w:multiLevelType w:val="hybridMultilevel"/>
    <w:lvl w:ilvl="0">
      <w:lvlJc w:val="left"/>
      <w:lvlText w:val="%1."/>
      <w:numFmt w:val="decimal"/>
      <w:start w:val="9"/>
    </w:lvl>
    <w:lvl w:ilvl="1">
      <w:lvlJc w:val="left"/>
      <w:lvlText w:val="(%2)"/>
      <w:numFmt w:val="lowerLetter"/>
      <w:start w:val="1"/>
    </w:lvl>
  </w:abstractNum>
  <w:abstractNum w:abstractNumId="26">
    <w:nsid w:val="7724C67E"/>
    <w:multiLevelType w:val="hybridMultilevel"/>
    <w:lvl w:ilvl="0">
      <w:lvlJc w:val="left"/>
      <w:lvlText w:val="(%1)"/>
      <w:numFmt w:val="lowerRoman"/>
      <w:start w:val="3"/>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decimal"/>
      <w:start w:val="9"/>
    </w:lvl>
    <w:lvl w:ilvl="1">
      <w:lvlJc w:val="left"/>
      <w:lvlText w:val="(%2)"/>
      <w:numFmt w:val="lowerRoman"/>
      <w:start w:val="1"/>
    </w:lvl>
    <w:lvl w:ilvl="2">
      <w:lvlJc w:val="left"/>
      <w:lvlText w:val="-"/>
      <w:numFmt w:val="bullet"/>
      <w:start w:val="1"/>
    </w:lvl>
  </w:abstractNum>
  <w:abstractNum w:abstractNumId="29">
    <w:nsid w:val="5E884ADC"/>
    <w:multiLevelType w:val="hybridMultilevel"/>
    <w:lvl w:ilvl="0">
      <w:lvlJc w:val="left"/>
      <w:lvlText w:val="%1."/>
      <w:numFmt w:val="decimal"/>
      <w:start w:val="9"/>
    </w:lvl>
    <w:lvl w:ilvl="1">
      <w:lvlJc w:val="left"/>
      <w:lvlText w:val="(%2)"/>
      <w:numFmt w:val="lowerLetter"/>
      <w:start w:val="3"/>
    </w:lvl>
  </w:abstractNum>
  <w:abstractNum w:abstractNumId="30">
    <w:nsid w:val="51EAD36B"/>
    <w:multiLevelType w:val="hybridMultilevel"/>
    <w:lvl w:ilvl="0">
      <w:lvlJc w:val="left"/>
      <w:lvlText w:val="%1."/>
      <w:numFmt w:val="decimal"/>
      <w:start w:val="9"/>
    </w:lvl>
    <w:lvl w:ilvl="1">
      <w:lvlJc w:val="left"/>
      <w:lvlText w:val="(%2)"/>
      <w:numFmt w:val="lowerLetter"/>
      <w:start w:val="3"/>
    </w:lvl>
  </w:abstractNum>
  <w:abstractNum w:abstractNumId="31">
    <w:nsid w:val="2D517796"/>
    <w:multiLevelType w:val="hybridMultilevel"/>
    <w:lvl w:ilvl="0">
      <w:lvlJc w:val="left"/>
      <w:lvlText w:val="(%1)"/>
      <w:numFmt w:val="lowerLetter"/>
      <w:start w:val="3"/>
    </w:lvl>
  </w:abstractNum>
  <w:abstractNum w:abstractNumId="32">
    <w:nsid w:val="580BD78F"/>
    <w:multiLevelType w:val="hybridMultilevel"/>
    <w:lvl w:ilvl="0">
      <w:lvlJc w:val="left"/>
      <w:lvlText w:val="%1."/>
      <w:numFmt w:val="decimal"/>
      <w:start w:val="10"/>
    </w:lvl>
  </w:abstractNum>
  <w:abstractNum w:abstractNumId="33">
    <w:nsid w:val="153EA438"/>
    <w:multiLevelType w:val="hybridMultilevel"/>
    <w:lvl w:ilvl="0">
      <w:lvlJc w:val="left"/>
      <w:lvlText w:val="%1."/>
      <w:numFmt w:val="decimal"/>
      <w:start w:val="10"/>
    </w:lvl>
  </w:abstractNum>
  <w:abstractNum w:abstractNumId="34">
    <w:nsid w:val="3855585C"/>
    <w:multiLevelType w:val="hybridMultilevel"/>
    <w:lvl w:ilvl="0">
      <w:lvlJc w:val="left"/>
      <w:lvlText w:val="%1."/>
      <w:numFmt w:val="decimal"/>
      <w:start w:val="1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decimal"/>
      <w:start w:val="12"/>
    </w:lvl>
    <w:lvl w:ilvl="1">
      <w:lvlJc w:val="left"/>
      <w:lvlText w:val="(%2)"/>
      <w:numFmt w:val="lowerLetter"/>
      <w:start w:val="2"/>
    </w:lvl>
  </w:abstractNum>
  <w:abstractNum w:abstractNumId="37">
    <w:nsid w:val="2A487CB0"/>
    <w:multiLevelType w:val="hybridMultilevel"/>
    <w:lvl w:ilvl="0">
      <w:lvlJc w:val="left"/>
      <w:lvlText w:val="%1."/>
      <w:numFmt w:val="decimal"/>
      <w:start w:val="13"/>
    </w:lvl>
  </w:abstractNum>
  <w:abstractNum w:abstractNumId="38">
    <w:nsid w:val="1D4ED43B"/>
    <w:multiLevelType w:val="hybridMultilevel"/>
    <w:lvl w:ilvl="0">
      <w:lvlJc w:val="left"/>
      <w:lvlText w:val="%1."/>
      <w:numFmt w:val="decimal"/>
      <w:start w:val="14"/>
    </w:lvl>
  </w:abstractNum>
  <w:abstractNum w:abstractNumId="39">
    <w:nsid w:val="725A06FB"/>
    <w:multiLevelType w:val="hybridMultilevel"/>
    <w:lvl w:ilvl="0">
      <w:lvlJc w:val="left"/>
      <w:lvlText w:val="%1."/>
      <w:numFmt w:val="decimal"/>
      <w:start w:val="15"/>
    </w:lvl>
  </w:abstractNum>
  <w:abstractNum w:abstractNumId="40">
    <w:nsid w:val="2CD89A32"/>
    <w:multiLevelType w:val="hybridMultilevel"/>
    <w:lvl w:ilvl="0">
      <w:lvlJc w:val="left"/>
      <w:lvlText w:val="%1."/>
      <w:numFmt w:val="decimal"/>
      <w:start w:val="16"/>
    </w:lvl>
  </w:abstractNum>
  <w:abstractNum w:abstractNumId="41">
    <w:nsid w:val="57E4CCAF"/>
    <w:multiLevelType w:val="hybridMultilevel"/>
    <w:lvl w:ilvl="0">
      <w:lvlJc w:val="left"/>
      <w:lvlText w:val="(%1)"/>
      <w:numFmt w:val="lowerRoman"/>
      <w:start w:val="1"/>
    </w:lvl>
    <w:lvl w:ilvl="1">
      <w:lvlJc w:val="left"/>
      <w:lvlText w:val="-"/>
      <w:numFmt w:val="bullet"/>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
      <w:numFmt w:val="bullet"/>
      <w:start w:val="1"/>
    </w:lvl>
    <w:lvl w:ilvl="1">
      <w:lvlJc w:val="left"/>
      <w:lvlText w:val="-"/>
      <w:numFmt w:val="bullet"/>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5"/>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2021-05-13T05:33:28Z</dcterms:created>
  <dcterms:modified xsi:type="dcterms:W3CDTF">2021-05-13T05:33:28Z</dcterms:modified>
</cp:coreProperties>
</file>