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11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11695"/>
                    </a:xfrm>
                    <a:prstGeom prst="rect">
                      <a:avLst/>
                    </a:prstGeom>
                    <a:noFill/>
                  </pic:spPr>
                </pic:pic>
              </a:graphicData>
            </a:graphic>
          </wp:anchor>
        </w:drawing>
      </w:r>
    </w:p>
    <w:p>
      <w:pPr>
        <w:sectPr>
          <w:pgSz w:w="11900" w:h="16838" w:orient="portrait"/>
          <w:cols w:equalWidth="0" w:num="1">
            <w:col w:w="11420"/>
          </w:cols>
          <w:pgMar w:left="240" w:top="226" w:right="239" w:bottom="175"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Kovler Benjamin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Green Thumb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GTII/GTBIF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4"/>
        </w:trPr>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56"/>
        </w:trPr>
        <w:tc>
          <w:tcPr>
            <w:tcW w:w="4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20" w:type="dxa"/>
            <w:vAlign w:val="bottom"/>
          </w:tcPr>
          <w:p>
            <w:pPr>
              <w:spacing w:after="0"/>
              <w:rPr>
                <w:sz w:val="22"/>
                <w:szCs w:val="22"/>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Chairman &amp; CEO</w:t>
            </w:r>
          </w:p>
        </w:tc>
        <w:tc>
          <w:tcPr>
            <w:tcW w:w="200" w:type="dxa"/>
            <w:vAlign w:val="bottom"/>
          </w:tcPr>
          <w:p>
            <w:pPr>
              <w:spacing w:after="0"/>
              <w:rPr>
                <w:sz w:val="22"/>
                <w:szCs w:val="22"/>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175" w:gutter="0" w:footer="0" w:header="0"/>
          <w:type w:val="continuous"/>
        </w:sectPr>
      </w:pPr>
    </w:p>
    <w:p>
      <w:pPr>
        <w:spacing w:after="0" w:line="7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6"/>
              </w:rPr>
              <w:t>145,004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57,418</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RCP23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79"/>
              </w:rPr>
              <w:t>8</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GTI II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79"/>
              </w:rPr>
              <w:t>71</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79"/>
              </w:rPr>
              <w:t>71</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79"/>
              </w:rPr>
              <w:t>46</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Outsiders Capital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Multiple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43,534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GTI II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Multiple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96,885</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RCP23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11,808</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GTI II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6"/>
              </w:rPr>
              <w:t>107,368</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RCP23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91,665</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87"/>
              </w:rPr>
              <w:t>59,474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Outsiders Capital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93"/>
              </w:rPr>
              <w:t>170</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88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0000FF"/>
              </w:rPr>
              <w:t>Super Voting Shares</w:t>
            </w:r>
          </w:p>
        </w:tc>
        <w:tc>
          <w:tcPr>
            <w:tcW w:w="3180" w:type="dxa"/>
            <w:vAlign w:val="bottom"/>
          </w:tcPr>
          <w:p>
            <w:pPr>
              <w:jc w:val="center"/>
              <w:ind w:left="1172"/>
              <w:spacing w:after="0"/>
              <w:rPr>
                <w:sz w:val="20"/>
                <w:szCs w:val="20"/>
                <w:color w:val="auto"/>
              </w:rPr>
            </w:pPr>
            <w:r>
              <w:rPr>
                <w:rFonts w:ascii="Arial" w:cs="Arial" w:eastAsia="Arial" w:hAnsi="Arial"/>
                <w:sz w:val="18"/>
                <w:szCs w:val="18"/>
                <w:color w:val="0000FF"/>
                <w:w w:val="93"/>
              </w:rPr>
              <w:t>170</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daughter</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tcPr>
          <w:p>
            <w:pPr>
              <w:spacing w:after="0"/>
              <w:rPr>
                <w:sz w:val="7"/>
                <w:szCs w:val="7"/>
                <w:color w:val="auto"/>
              </w:rPr>
            </w:pPr>
          </w:p>
        </w:tc>
        <w:tc>
          <w:tcPr>
            <w:tcW w:w="31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880" w:type="dxa"/>
            <w:vAlign w:val="bottom"/>
            <w:tcBorders>
              <w:top w:val="single" w:sz="8" w:color="808080"/>
            </w:tcBorders>
            <w:shd w:val="clear" w:color="auto" w:fill="2C2C2C"/>
          </w:tcPr>
          <w:p>
            <w:pPr>
              <w:spacing w:after="0" w:line="20" w:lineRule="exact"/>
              <w:rPr>
                <w:sz w:val="1"/>
                <w:szCs w:val="1"/>
                <w:color w:val="auto"/>
              </w:rPr>
            </w:pPr>
          </w:p>
        </w:tc>
        <w:tc>
          <w:tcPr>
            <w:tcW w:w="31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vMerge w:val="continue"/>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08/28/2019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08/30/2028</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ind w:right="4"/>
              <w:spacing w:after="0"/>
              <w:rPr>
                <w:sz w:val="20"/>
                <w:szCs w:val="20"/>
                <w:color w:val="auto"/>
              </w:rPr>
            </w:pPr>
            <w:r>
              <w:rPr>
                <w:rFonts w:ascii="Arial" w:cs="Arial" w:eastAsia="Arial" w:hAnsi="Arial"/>
                <w:sz w:val="18"/>
                <w:szCs w:val="18"/>
                <w:color w:val="0000FF"/>
                <w:w w:val="98"/>
              </w:rPr>
              <w:t>50,000</w:t>
            </w:r>
            <w:r>
              <w:rPr>
                <w:rFonts w:ascii="Arial" w:cs="Arial" w:eastAsia="Arial" w:hAnsi="Arial"/>
                <w:sz w:val="22"/>
                <w:szCs w:val="22"/>
                <w:color w:val="008000"/>
                <w:w w:val="98"/>
                <w:vertAlign w:val="superscript"/>
              </w:rPr>
              <w:t>(1)</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14.64</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07/26/2020</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07/26/2024</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300,000</w:t>
            </w:r>
            <w:r>
              <w:rPr>
                <w:rFonts w:ascii="Arial" w:cs="Arial" w:eastAsia="Arial" w:hAnsi="Arial"/>
                <w:sz w:val="22"/>
                <w:szCs w:val="22"/>
                <w:color w:val="008000"/>
                <w:w w:val="91"/>
                <w:vertAlign w:val="superscript"/>
              </w:rPr>
              <w:t>(3)</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12.07</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was granted on 8/30/2018 and vests in one third increments annually over a three-year period beginning on the first anniversary of the grant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Exercise price is denominated and reported in Canadian dollars.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was granted on 7/26/2019 and vests in one third increments annually over a three-year period beginning on the first anniversary of the grant date.</w:t>
      </w:r>
    </w:p>
    <w:p>
      <w:pPr>
        <w:ind w:left="6860"/>
        <w:spacing w:after="0" w:line="184" w:lineRule="auto"/>
        <w:rPr>
          <w:sz w:val="20"/>
          <w:szCs w:val="20"/>
          <w:color w:val="auto"/>
        </w:rPr>
      </w:pPr>
      <w:r>
        <w:rPr>
          <w:rFonts w:ascii="Arial" w:cs="Arial" w:eastAsia="Arial" w:hAnsi="Arial"/>
          <w:sz w:val="17"/>
          <w:szCs w:val="17"/>
          <w:color w:val="0000FF"/>
        </w:rPr>
        <w:t xml:space="preserve">/s/ Kathryn A Lloyd, Attorney- </w:t>
      </w:r>
      <w:r>
        <w:rPr>
          <w:rFonts w:ascii="Arial" w:cs="Arial" w:eastAsia="Arial" w:hAnsi="Arial"/>
          <w:sz w:val="34"/>
          <w:szCs w:val="34"/>
          <w:color w:val="0000FF"/>
          <w:vertAlign w:val="subscript"/>
        </w:rPr>
        <w:t>02/17/2020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The undersigned hereby constitutes and appoints each of Beth E. Burk, Bret Kravitz and Kathryn A. Lloyd, signing singly, the undersigned’s true and lawful attorney-in-fact to:</w:t>
      </w:r>
    </w:p>
    <w:p>
      <w:pPr>
        <w:spacing w:after="0" w:line="118" w:lineRule="exact"/>
        <w:rPr>
          <w:sz w:val="20"/>
          <w:szCs w:val="20"/>
          <w:color w:val="auto"/>
        </w:rPr>
      </w:pPr>
    </w:p>
    <w:p>
      <w:pPr>
        <w:jc w:val="both"/>
        <w:ind w:left="660" w:hanging="328"/>
        <w:spacing w:after="0" w:line="253" w:lineRule="auto"/>
        <w:tabs>
          <w:tab w:leader="none" w:pos="71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11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3rd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Benjamin Kovler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803392"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2020-02-18T14:30:23Z</dcterms:created>
  <dcterms:modified xsi:type="dcterms:W3CDTF">2020-02-18T14:30:23Z</dcterms:modified>
</cp:coreProperties>
</file>