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534035</wp:posOffset>
            </wp:positionH>
            <wp:positionV relativeFrom="page">
              <wp:posOffset>286385</wp:posOffset>
            </wp:positionV>
            <wp:extent cx="6806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303530</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3"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2022</w:t>
      </w:r>
    </w:p>
    <w:p>
      <w:pPr>
        <w:spacing w:after="0" w:line="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8" w:lineRule="exact"/>
        <w:rPr>
          <w:sz w:val="24"/>
          <w:szCs w:val="24"/>
          <w:color w:val="auto"/>
        </w:rPr>
      </w:pPr>
    </w:p>
    <w:p>
      <w:pPr>
        <w:ind w:left="520" w:right="140" w:hanging="512"/>
        <w:spacing w:after="0" w:line="271" w:lineRule="auto"/>
        <w:tabs>
          <w:tab w:leader="none" w:pos="44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1513840</wp:posOffset>
            </wp:positionH>
            <wp:positionV relativeFrom="paragraph">
              <wp:posOffset>34290</wp:posOffset>
            </wp:positionV>
            <wp:extent cx="4088765" cy="608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8765"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Commission file number 000-56132</w:t>
            </w:r>
          </w:p>
        </w:tc>
        <w:tc>
          <w:tcPr>
            <w:tcW w:w="1280" w:type="dxa"/>
            <w:vAlign w:val="bottom"/>
          </w:tcPr>
          <w:p>
            <w:pPr>
              <w:spacing w:after="0"/>
              <w:rPr>
                <w:sz w:val="16"/>
                <w:szCs w:val="16"/>
                <w:color w:val="auto"/>
              </w:rPr>
            </w:pPr>
          </w:p>
        </w:tc>
      </w:tr>
      <w:tr>
        <w:trPr>
          <w:trHeight w:val="145"/>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gridSpan w:val="2"/>
          </w:tcPr>
          <w:p>
            <w:pPr>
              <w:spacing w:after="0"/>
              <w:rPr>
                <w:sz w:val="12"/>
                <w:szCs w:val="12"/>
                <w:color w:val="auto"/>
              </w:rPr>
            </w:pPr>
          </w:p>
        </w:tc>
      </w:tr>
      <w:tr>
        <w:trPr>
          <w:trHeight w:val="522"/>
        </w:trPr>
        <w:tc>
          <w:tcPr>
            <w:tcW w:w="8840" w:type="dxa"/>
            <w:vAlign w:val="bottom"/>
            <w:gridSpan w:val="6"/>
          </w:tcPr>
          <w:p>
            <w:pPr>
              <w:ind w:left="2360"/>
              <w:spacing w:after="0"/>
              <w:rPr>
                <w:sz w:val="20"/>
                <w:szCs w:val="20"/>
                <w:color w:val="auto"/>
              </w:rPr>
            </w:pPr>
            <w:r>
              <w:rPr>
                <w:rFonts w:ascii="Times New Roman" w:cs="Times New Roman" w:eastAsia="Times New Roman" w:hAnsi="Times New Roman"/>
                <w:sz w:val="40"/>
                <w:szCs w:val="40"/>
                <w:b w:val="1"/>
                <w:bCs w:val="1"/>
                <w:color w:val="auto"/>
                <w:w w:val="99"/>
              </w:rPr>
              <w:t>GREEN THUMB INDUSTRIES INC.</w:t>
            </w:r>
          </w:p>
        </w:tc>
      </w:tr>
      <w:tr>
        <w:trPr>
          <w:trHeight w:val="190"/>
        </w:trPr>
        <w:tc>
          <w:tcPr>
            <w:tcW w:w="7560" w:type="dxa"/>
            <w:vAlign w:val="bottom"/>
            <w:gridSpan w:val="5"/>
          </w:tcPr>
          <w:p>
            <w:pPr>
              <w:jc w:val="center"/>
              <w:ind w:left="358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280" w:type="dxa"/>
            <w:vAlign w:val="bottom"/>
          </w:tcPr>
          <w:p>
            <w:pPr>
              <w:spacing w:after="0"/>
              <w:rPr>
                <w:sz w:val="16"/>
                <w:szCs w:val="16"/>
                <w:color w:val="auto"/>
              </w:rPr>
            </w:pPr>
          </w:p>
        </w:tc>
      </w:tr>
      <w:tr>
        <w:trPr>
          <w:trHeight w:val="145"/>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356"/>
        </w:trPr>
        <w:tc>
          <w:tcPr>
            <w:tcW w:w="7560" w:type="dxa"/>
            <w:vAlign w:val="bottom"/>
            <w:gridSpan w:val="5"/>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British Columbia</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98-1437430</w:t>
            </w:r>
          </w:p>
        </w:tc>
      </w:tr>
      <w:tr>
        <w:trPr>
          <w:trHeight w:val="122"/>
        </w:trPr>
        <w:tc>
          <w:tcPr>
            <w:tcW w:w="7560" w:type="dxa"/>
            <w:vAlign w:val="bottom"/>
            <w:gridSpan w:val="5"/>
          </w:tcPr>
          <w:p>
            <w:pPr>
              <w:jc w:val="center"/>
              <w:ind w:right="19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1280" w:type="dxa"/>
            <w:vAlign w:val="bottom"/>
          </w:tcPr>
          <w:p>
            <w:pPr>
              <w:jc w:val="center"/>
              <w:ind w:left="397"/>
              <w:spacing w:after="0" w:line="122" w:lineRule="exact"/>
              <w:rPr>
                <w:sz w:val="20"/>
                <w:szCs w:val="20"/>
                <w:color w:val="auto"/>
              </w:rPr>
            </w:pPr>
            <w:r>
              <w:rPr>
                <w:rFonts w:ascii="Times New Roman" w:cs="Times New Roman" w:eastAsia="Times New Roman" w:hAnsi="Times New Roman"/>
                <w:sz w:val="11"/>
                <w:szCs w:val="11"/>
                <w:b w:val="1"/>
                <w:bCs w:val="1"/>
                <w:color w:val="auto"/>
                <w:w w:val="96"/>
              </w:rPr>
              <w:t>(I.R.S. employer</w:t>
            </w:r>
          </w:p>
        </w:tc>
      </w:tr>
      <w:tr>
        <w:trPr>
          <w:trHeight w:val="142"/>
        </w:trPr>
        <w:tc>
          <w:tcPr>
            <w:tcW w:w="7560" w:type="dxa"/>
            <w:vAlign w:val="bottom"/>
            <w:gridSpan w:val="5"/>
          </w:tcPr>
          <w:p>
            <w:pPr>
              <w:jc w:val="center"/>
              <w:ind w:right="1920"/>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1280" w:type="dxa"/>
            <w:vAlign w:val="bottom"/>
          </w:tcPr>
          <w:p>
            <w:pPr>
              <w:jc w:val="center"/>
              <w:ind w:left="397"/>
              <w:spacing w:after="0"/>
              <w:rPr>
                <w:sz w:val="20"/>
                <w:szCs w:val="20"/>
                <w:color w:val="auto"/>
              </w:rPr>
            </w:pPr>
            <w:r>
              <w:rPr>
                <w:rFonts w:ascii="Times New Roman" w:cs="Times New Roman" w:eastAsia="Times New Roman" w:hAnsi="Times New Roman"/>
                <w:sz w:val="11"/>
                <w:szCs w:val="11"/>
                <w:b w:val="1"/>
                <w:bCs w:val="1"/>
                <w:color w:val="auto"/>
                <w:w w:val="98"/>
              </w:rPr>
              <w:t>identification no.)</w:t>
            </w:r>
          </w:p>
        </w:tc>
      </w:tr>
      <w:tr>
        <w:trPr>
          <w:trHeight w:val="294"/>
        </w:trPr>
        <w:tc>
          <w:tcPr>
            <w:tcW w:w="7560" w:type="dxa"/>
            <w:vAlign w:val="bottom"/>
            <w:gridSpan w:val="5"/>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325 West Huron Street,</w:t>
            </w:r>
          </w:p>
        </w:tc>
        <w:tc>
          <w:tcPr>
            <w:tcW w:w="1280" w:type="dxa"/>
            <w:vAlign w:val="bottom"/>
          </w:tcPr>
          <w:p>
            <w:pPr>
              <w:spacing w:after="0"/>
              <w:rPr>
                <w:sz w:val="24"/>
                <w:szCs w:val="24"/>
                <w:color w:val="auto"/>
              </w:rPr>
            </w:pPr>
          </w:p>
        </w:tc>
      </w:tr>
      <w:tr>
        <w:trPr>
          <w:trHeight w:val="198"/>
        </w:trPr>
        <w:tc>
          <w:tcPr>
            <w:tcW w:w="7560" w:type="dxa"/>
            <w:vAlign w:val="bottom"/>
            <w:gridSpan w:val="5"/>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Suite 700 Chicago, Illinois</w:t>
            </w:r>
          </w:p>
        </w:tc>
        <w:tc>
          <w:tcPr>
            <w:tcW w:w="12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60654</w:t>
            </w:r>
          </w:p>
        </w:tc>
      </w:tr>
      <w:tr>
        <w:trPr>
          <w:trHeight w:val="142"/>
        </w:trPr>
        <w:tc>
          <w:tcPr>
            <w:tcW w:w="7560" w:type="dxa"/>
            <w:vAlign w:val="bottom"/>
            <w:gridSpan w:val="5"/>
          </w:tcPr>
          <w:p>
            <w:pPr>
              <w:jc w:val="center"/>
              <w:ind w:right="194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1280" w:type="dxa"/>
            <w:vAlign w:val="bottom"/>
          </w:tcPr>
          <w:p>
            <w:pPr>
              <w:jc w:val="center"/>
              <w:ind w:left="397"/>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69"/>
        </w:trPr>
        <w:tc>
          <w:tcPr>
            <w:tcW w:w="8840" w:type="dxa"/>
            <w:vAlign w:val="bottom"/>
            <w:gridSpan w:val="6"/>
          </w:tcPr>
          <w:p>
            <w:pPr>
              <w:jc w:val="center"/>
              <w:ind w:left="23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 (312) 471-6720</w:t>
            </w:r>
          </w:p>
        </w:tc>
      </w:tr>
      <w:tr>
        <w:trPr>
          <w:trHeight w:val="145"/>
        </w:trPr>
        <w:tc>
          <w:tcPr>
            <w:tcW w:w="4480" w:type="dxa"/>
            <w:vAlign w:val="bottom"/>
          </w:tcPr>
          <w:p>
            <w:pPr>
              <w:spacing w:after="0"/>
              <w:rPr>
                <w:sz w:val="12"/>
                <w:szCs w:val="12"/>
                <w:color w:val="auto"/>
              </w:rPr>
            </w:pPr>
          </w:p>
        </w:tc>
        <w:tc>
          <w:tcPr>
            <w:tcW w:w="2280" w:type="dxa"/>
            <w:vAlign w:val="bottom"/>
            <w:tcBorders>
              <w:bottom w:val="single" w:sz="8" w:color="auto"/>
            </w:tcBorders>
            <w:gridSpan w:val="3"/>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25"/>
        </w:trPr>
        <w:tc>
          <w:tcPr>
            <w:tcW w:w="7560" w:type="dxa"/>
            <w:vAlign w:val="bottom"/>
            <w:gridSpan w:val="5"/>
          </w:tcPr>
          <w:p>
            <w:pPr>
              <w:jc w:val="center"/>
              <w:ind w:left="358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1280" w:type="dxa"/>
            <w:vAlign w:val="bottom"/>
          </w:tcPr>
          <w:p>
            <w:pPr>
              <w:spacing w:after="0"/>
              <w:rPr>
                <w:sz w:val="19"/>
                <w:szCs w:val="19"/>
                <w:color w:val="auto"/>
              </w:rPr>
            </w:pPr>
          </w:p>
        </w:tc>
      </w:tr>
      <w:tr>
        <w:trPr>
          <w:trHeight w:val="162"/>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Subordinate Voting Shares</w:t>
            </w:r>
          </w:p>
        </w:tc>
        <w:tc>
          <w:tcPr>
            <w:tcW w:w="1280" w:type="dxa"/>
            <w:vAlign w:val="bottom"/>
          </w:tcPr>
          <w:p>
            <w:pPr>
              <w:spacing w:after="0"/>
              <w:rPr>
                <w:sz w:val="14"/>
                <w:szCs w:val="14"/>
                <w:color w:val="auto"/>
              </w:rPr>
            </w:pPr>
          </w:p>
        </w:tc>
      </w:tr>
      <w:tr>
        <w:trPr>
          <w:trHeight w:val="175"/>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Multiple Voting Shares</w:t>
            </w:r>
          </w:p>
        </w:tc>
        <w:tc>
          <w:tcPr>
            <w:tcW w:w="1280" w:type="dxa"/>
            <w:vAlign w:val="bottom"/>
          </w:tcPr>
          <w:p>
            <w:pPr>
              <w:spacing w:after="0"/>
              <w:rPr>
                <w:sz w:val="15"/>
                <w:szCs w:val="15"/>
                <w:color w:val="auto"/>
              </w:rPr>
            </w:pPr>
          </w:p>
        </w:tc>
      </w:tr>
      <w:tr>
        <w:trPr>
          <w:trHeight w:val="171"/>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Super Voting Shares</w:t>
            </w:r>
          </w:p>
        </w:tc>
        <w:tc>
          <w:tcPr>
            <w:tcW w:w="128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3"/>
          </w:tcPr>
          <w:p>
            <w:pPr>
              <w:jc w:val="center"/>
              <w:ind w:right="84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1280" w:type="dxa"/>
            <w:vAlign w:val="bottom"/>
          </w:tcPr>
          <w:p>
            <w:pPr>
              <w:spacing w:after="0"/>
              <w:rPr>
                <w:sz w:val="12"/>
                <w:szCs w:val="12"/>
                <w:color w:val="auto"/>
              </w:rPr>
            </w:pPr>
          </w:p>
        </w:tc>
      </w:tr>
      <w:tr>
        <w:trPr>
          <w:trHeight w:val="269"/>
        </w:trPr>
        <w:tc>
          <w:tcPr>
            <w:tcW w:w="756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12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31" w:lineRule="exact"/>
        <w:rPr>
          <w:sz w:val="24"/>
          <w:szCs w:val="24"/>
          <w:color w:val="auto"/>
        </w:rPr>
      </w:pPr>
    </w:p>
    <w:p>
      <w:pPr>
        <w:spacing w:after="0" w:line="161" w:lineRule="exact"/>
        <w:tabs>
          <w:tab w:leader="none" w:pos="746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5" w:lineRule="exact"/>
        <w:rPr>
          <w:sz w:val="24"/>
          <w:szCs w:val="24"/>
          <w:color w:val="auto"/>
        </w:rPr>
      </w:pPr>
    </w:p>
    <w:p>
      <w:pPr>
        <w:ind w:right="1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2"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41" w:lineRule="exact"/>
        <w:rPr>
          <w:sz w:val="24"/>
          <w:szCs w:val="24"/>
          <w:color w:val="auto"/>
        </w:rPr>
      </w:pPr>
    </w:p>
    <w:p>
      <w:pPr>
        <w:ind w:right="4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tabs>
          <w:tab w:leader="none" w:pos="65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9" w:lineRule="exact"/>
        <w:rPr>
          <w:sz w:val="24"/>
          <w:szCs w:val="24"/>
          <w:color w:val="auto"/>
        </w:rPr>
      </w:pPr>
    </w:p>
    <w:p>
      <w:pPr>
        <w:ind w:right="380"/>
        <w:spacing w:after="0" w:line="302" w:lineRule="auto"/>
        <w:rPr>
          <w:sz w:val="20"/>
          <w:szCs w:val="20"/>
          <w:color w:val="auto"/>
        </w:rPr>
      </w:pPr>
      <w:r>
        <w:rPr>
          <w:rFonts w:ascii="Times New Roman" w:cs="Times New Roman" w:eastAsia="Times New Roman" w:hAnsi="Times New Roman"/>
          <w:sz w:val="14"/>
          <w:szCs w:val="14"/>
          <w:color w:val="auto"/>
        </w:rPr>
        <w:t>As of May 1, 2022, there were 203,592,801 shares of the registrant’s Subordinate Voting Shares, 3,853,100 shares of the registrant’s Multiple Voting Shares (on an as converted basis) and 28,003,100 shares of the registrant’s Super Voting Shares (on an as converted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74" w:right="4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b w:val="1"/>
          <w:bCs w:val="1"/>
          <w:color w:val="auto"/>
        </w:rPr>
        <w:t>FINANCIAL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5143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518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8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5"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12"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21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vMerge w:val="restart"/>
          </w:tcPr>
          <w:p>
            <w:pPr>
              <w:ind w:left="41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8"/>
        </w:trPr>
        <w:tc>
          <w:tcPr>
            <w:tcW w:w="8800" w:type="dxa"/>
            <w:vAlign w:val="bottom"/>
            <w:vMerge w:val="continue"/>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Unaudited Interim Condensed Consolidated Balance Sheets as of March 31, 2022 and December 31, 2021</w:t>
            </w: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Unaudited Interim Condensed Consolidated Statements of Operations for the three months ended March 31, 2022 and</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Unaudited Interim Condensed Consolidated Statements of Changes in Shareholders’ Equity for the three months ended</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 and 2021</w:t>
            </w: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Unaudited Interim Condensed Consolidated Statements of Cash Flows for the three months ended March 31, 2022 and</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Notes to Unaudited Interim Condensed Consolidated 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5"/>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8"/>
        </w:trPr>
        <w:tc>
          <w:tcPr>
            <w:tcW w:w="880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Sale of Unregistered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Mine Safety Disclosure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88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330200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20" w:space="500"/>
            <w:col w:w="9380"/>
          </w:cols>
          <w:pgMar w:left="340" w:top="32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Use of Names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unless the context otherwise requires, the terms “we,” “us,” “our,” “Company,” “Corporation” or “Green Thumb” refer to Green Thumb Industries Inc. together with its wholly-owned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all references to “$” or “US$” in this document refer to United States dollars, and all references to “C$” refer to Canadian dollars.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or expressions of similar meaning.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the Company may be subject to action by the U.S. federal government; state regulation of cannabis is uncertain;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cannabis businesses are subject to applicable anti-money laundering laws and regulations and have restricted access to banking and other financial services; the Company may face difficulties acquiring additional financing; the Company lacks access to U.S. bankruptcy protections; the Company operates in a highly regulated sector and may not always succeed in complying fully with applicable regulatory requirements in all jurisdictions where the Company carries on business; the Company may face difficulties in enforcing its contracts; the Company has limited trademark protection; cannabis businesses are subject to unfavorable tax treatment; cannabis businesses may be subject to civil asset forfeiture; the Company is subject to proceeds of crime statutes; the Company faces exposure to fraudulent or illegal activity; the Company’s use of joint ventures may expose it to risks associated with jointly owned investments; the Company faces risks due to industry immaturity or limited comparable, competitive or established industry best practices; the Company faces risks related to its products; the Company is dependent on the popularity of and consumer acceptance of the Company’s brand portfolio; the Company’s business is subject to the risks inherent in agricultural operations; the Company may be adversely impacted by rising or volatile energy costs; the Company faces risks related to its information technology systems and potential cyber-attacks and security breaches; the Company faces an inherent risk of product liability or similar claims; the Company’s products may be subject to product recalls; the Company may face unfavorable publicity or consumer perception; the Company’s voting control is concentrated; the Company’s capital structure and voting control may cause unpredictability; issuances of substantial amounts of Super Voting Shares, Multiple Voting Shares or Subordinate Voting Shares may result in dilution; and the Company is governed by corporate laws in British Columbia, Canada which in some cases have a different effect on shareholders than the corporate laws in Delaware, United States. Further information on these and other potential factors that could affect the Company’s business and financial condition and the results of operations are included in the “Risk Factors” section of the Company’s Annual Report on Form 10-K for the year ended December 31, 2021, and elsewhere in the Company’s filings with the SEC, which are available on the SEC’s website or at </w:t>
      </w:r>
      <w:r>
        <w:rPr>
          <w:rFonts w:ascii="Times New Roman" w:cs="Times New Roman" w:eastAsia="Times New Roman" w:hAnsi="Times New Roman"/>
          <w:sz w:val="18"/>
          <w:szCs w:val="18"/>
          <w:i w:val="1"/>
          <w:iCs w:val="1"/>
          <w:u w:val="single" w:color="auto"/>
          <w:color w:val="auto"/>
        </w:rPr>
        <w:t>https://investors.gtigrows.com</w:t>
      </w:r>
      <w:r>
        <w:rPr>
          <w:rFonts w:ascii="Times New Roman" w:cs="Times New Roman" w:eastAsia="Times New Roman" w:hAnsi="Times New Roman"/>
          <w:sz w:val="18"/>
          <w:szCs w:val="18"/>
          <w:i w:val="1"/>
          <w:iCs w:val="1"/>
          <w:color w:val="auto"/>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As of March 31, 2022 and December 31,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980" w:type="dxa"/>
            <w:vAlign w:val="bottom"/>
          </w:tcPr>
          <w:p>
            <w:pPr>
              <w:spacing w:after="0"/>
              <w:rPr>
                <w:sz w:val="16"/>
                <w:szCs w:val="16"/>
                <w:color w:val="auto"/>
              </w:rPr>
            </w:pPr>
          </w:p>
        </w:tc>
        <w:tc>
          <w:tcPr>
            <w:tcW w:w="13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80" w:type="dxa"/>
            <w:vAlign w:val="bottom"/>
            <w:gridSpan w:val="3"/>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tcPr>
          <w:p>
            <w:pPr>
              <w:jc w:val="center"/>
              <w:ind w:right="344"/>
              <w:spacing w:after="0"/>
              <w:rPr>
                <w:sz w:val="20"/>
                <w:szCs w:val="20"/>
                <w:color w:val="auto"/>
              </w:rPr>
            </w:pPr>
            <w:r>
              <w:rPr>
                <w:rFonts w:ascii="Times New Roman" w:cs="Times New Roman" w:eastAsia="Times New Roman" w:hAnsi="Times New Roman"/>
                <w:sz w:val="14"/>
                <w:szCs w:val="14"/>
                <w:i w:val="1"/>
                <w:iCs w:val="1"/>
                <w:color w:val="auto"/>
              </w:rPr>
              <w:t>(Audited)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980" w:type="dxa"/>
            <w:vAlign w:val="bottom"/>
            <w:shd w:val="clear" w:color="auto" w:fill="CFF0FC"/>
          </w:tcPr>
          <w:p>
            <w:pPr>
              <w:ind w:left="316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300" w:type="dxa"/>
            <w:vAlign w:val="bottom"/>
            <w:shd w:val="clear" w:color="auto" w:fill="CFF0FC"/>
          </w:tcPr>
          <w:p>
            <w:pPr>
              <w:jc w:val="right"/>
              <w:ind w:right="1125"/>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174,539</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230,420</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Receivable</w:t>
            </w:r>
          </w:p>
        </w:tc>
        <w:tc>
          <w:tcPr>
            <w:tcW w:w="1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27,808</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Inventories</w:t>
            </w:r>
          </w:p>
        </w:tc>
        <w:tc>
          <w:tcPr>
            <w:tcW w:w="1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109,701</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95,471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Prepaid Expenses</w:t>
            </w:r>
          </w:p>
        </w:tc>
        <w:tc>
          <w:tcPr>
            <w:tcW w:w="1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11,102</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Current Assets</w:t>
            </w:r>
          </w:p>
        </w:tc>
        <w:tc>
          <w:tcPr>
            <w:tcW w:w="13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5,210</w:t>
            </w:r>
          </w:p>
        </w:tc>
        <w:tc>
          <w:tcPr>
            <w:tcW w:w="3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5,065</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1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328,360</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364,230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453,114</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409,074</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 of Use Assets, Net</w:t>
            </w:r>
          </w:p>
        </w:tc>
        <w:tc>
          <w:tcPr>
            <w:tcW w:w="1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178,193</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176,327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1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90,731</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94,902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Investments in Associates</w:t>
            </w:r>
          </w:p>
        </w:tc>
        <w:tc>
          <w:tcPr>
            <w:tcW w:w="1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28,202</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1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674,692</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675,491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640,795</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632,849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Deposits and Other Assets</w:t>
            </w:r>
          </w:p>
        </w:tc>
        <w:tc>
          <w:tcPr>
            <w:tcW w:w="13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3,035</w:t>
            </w:r>
          </w:p>
        </w:tc>
        <w:tc>
          <w:tcPr>
            <w:tcW w:w="3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2,641</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300" w:type="dxa"/>
            <w:vAlign w:val="bottom"/>
            <w:tcBorders>
              <w:bottom w:val="single" w:sz="8" w:color="auto"/>
            </w:tcBorders>
          </w:tcPr>
          <w:p>
            <w:pPr>
              <w:jc w:val="right"/>
              <w:ind w:right="1125"/>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2,397,122</w:t>
            </w:r>
          </w:p>
        </w:tc>
        <w:tc>
          <w:tcPr>
            <w:tcW w:w="320" w:type="dxa"/>
            <w:vAlign w:val="bottom"/>
          </w:tcPr>
          <w:p>
            <w:pPr>
              <w:spacing w:after="0"/>
              <w:rPr>
                <w:sz w:val="15"/>
                <w:szCs w:val="15"/>
                <w:color w:val="auto"/>
              </w:rPr>
            </w:pPr>
          </w:p>
        </w:tc>
        <w:tc>
          <w:tcPr>
            <w:tcW w:w="4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2,385,851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80" w:type="dxa"/>
            <w:vAlign w:val="bottom"/>
            <w:shd w:val="clear" w:color="auto" w:fill="CFF0FC"/>
          </w:tcPr>
          <w:p>
            <w:pPr>
              <w:ind w:left="178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3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1300" w:type="dxa"/>
            <w:vAlign w:val="bottom"/>
          </w:tcPr>
          <w:p>
            <w:pPr>
              <w:jc w:val="right"/>
              <w:ind w:right="1125"/>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23,651</w:t>
            </w:r>
          </w:p>
        </w:tc>
        <w:tc>
          <w:tcPr>
            <w:tcW w:w="320" w:type="dxa"/>
            <w:vAlign w:val="bottom"/>
          </w:tcPr>
          <w:p>
            <w:pPr>
              <w:spacing w:after="0"/>
              <w:rPr>
                <w:sz w:val="16"/>
                <w:szCs w:val="16"/>
                <w:color w:val="auto"/>
              </w:rPr>
            </w:pP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14,086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Accrued Liabilities</w:t>
            </w:r>
          </w:p>
        </w:tc>
        <w:tc>
          <w:tcPr>
            <w:tcW w:w="1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77,208</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84,724</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Acquisition Consideration Payable</w:t>
            </w:r>
          </w:p>
        </w:tc>
        <w:tc>
          <w:tcPr>
            <w:tcW w:w="130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Compensation Payable</w:t>
            </w:r>
          </w:p>
        </w:tc>
        <w:tc>
          <w:tcPr>
            <w:tcW w:w="1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15,055</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12,022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 Portion of Notes Payable</w:t>
            </w:r>
          </w:p>
        </w:tc>
        <w:tc>
          <w:tcPr>
            <w:tcW w:w="1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Current Portion of Lease Liabilities</w:t>
            </w:r>
          </w:p>
        </w:tc>
        <w:tc>
          <w:tcPr>
            <w:tcW w:w="1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8,947</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9,221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Contingent Consideration Payable</w:t>
            </w:r>
          </w:p>
        </w:tc>
        <w:tc>
          <w:tcPr>
            <w:tcW w:w="1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20,592</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50,284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Income Tax Payable</w:t>
            </w:r>
          </w:p>
        </w:tc>
        <w:tc>
          <w:tcPr>
            <w:tcW w:w="13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32,831</w:t>
            </w:r>
          </w:p>
        </w:tc>
        <w:tc>
          <w:tcPr>
            <w:tcW w:w="3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1,527</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179,184</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204,379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13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Lease Liabilities, Net of Current Portion</w:t>
            </w:r>
          </w:p>
        </w:tc>
        <w:tc>
          <w:tcPr>
            <w:tcW w:w="1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186,080</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182,539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Notes Payable, Net of Current Portion and Debt Discount</w:t>
            </w:r>
          </w:p>
        </w:tc>
        <w:tc>
          <w:tcPr>
            <w:tcW w:w="1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243,336</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239,151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Contingent Consideration Payable</w:t>
            </w:r>
          </w:p>
        </w:tc>
        <w:tc>
          <w:tcPr>
            <w:tcW w:w="1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34,767</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Warrant Liability</w:t>
            </w:r>
          </w:p>
        </w:tc>
        <w:tc>
          <w:tcPr>
            <w:tcW w:w="1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16,948</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24,877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Income Taxes</w:t>
            </w:r>
          </w:p>
        </w:tc>
        <w:tc>
          <w:tcPr>
            <w:tcW w:w="1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81,846</w:t>
            </w: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81,846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742,161</w:t>
            </w: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766,373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SHAREHOLDERS' EQUITY</w:t>
            </w:r>
          </w:p>
        </w:tc>
        <w:tc>
          <w:tcPr>
            <w:tcW w:w="13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698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Subordinate Voting Shares (Shares Authorized, Issued and Outstanding at March 31, 2022:</w:t>
            </w: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8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203,356,655, and 203,356,655, respectively, at December 31, 2021:</w:t>
            </w: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Unlimited, 201,768,312, and 201,768,312, respectively)</w:t>
            </w:r>
          </w:p>
        </w:tc>
        <w:tc>
          <w:tcPr>
            <w:tcW w:w="130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9"/>
        </w:trPr>
        <w:tc>
          <w:tcPr>
            <w:tcW w:w="69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5"/>
                <w:szCs w:val="15"/>
                <w:color w:val="auto"/>
              </w:rPr>
              <w:t>Multiple Voting Shares (Shares Authorized, Issued and Outstanding at March 31, 2022:</w:t>
            </w:r>
          </w:p>
        </w:tc>
        <w:tc>
          <w:tcPr>
            <w:tcW w:w="1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8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38,531 and 38,531, respectively, at December 31, 2021:</w:t>
            </w:r>
          </w:p>
        </w:tc>
        <w:tc>
          <w:tcPr>
            <w:tcW w:w="1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Unlimited, 38,531 and 38,531, respectively)</w:t>
            </w:r>
          </w:p>
        </w:tc>
        <w:tc>
          <w:tcPr>
            <w:tcW w:w="13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698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Super Voting Shares (Shares Authorized, Issued and Outstanding at March 31, 2022:</w:t>
            </w: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8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280,031 and 280,031, respectively, at December 31, 2021:</w:t>
            </w: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Unlimited, 285,031 and 285,031, respectively)</w:t>
            </w:r>
          </w:p>
        </w:tc>
        <w:tc>
          <w:tcPr>
            <w:tcW w:w="130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Share Capital</w:t>
            </w:r>
          </w:p>
        </w:tc>
        <w:tc>
          <w:tcPr>
            <w:tcW w:w="1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9"/>
              </w:rPr>
              <w:t>1,653,703</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1,633,672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Contributed Surplus</w:t>
            </w:r>
          </w:p>
        </w:tc>
        <w:tc>
          <w:tcPr>
            <w:tcW w:w="1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5,966</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Share Issuances</w:t>
            </w:r>
          </w:p>
        </w:tc>
        <w:tc>
          <w:tcPr>
            <w:tcW w:w="1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36,262</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36,262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Accumulated Deficit</w:t>
            </w:r>
          </w:p>
        </w:tc>
        <w:tc>
          <w:tcPr>
            <w:tcW w:w="13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(41,124 )</w:t>
            </w:r>
          </w:p>
        </w:tc>
        <w:tc>
          <w:tcPr>
            <w:tcW w:w="42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(70,063 )</w:t>
            </w:r>
          </w:p>
        </w:tc>
        <w:tc>
          <w:tcPr>
            <w:tcW w:w="0" w:type="dxa"/>
            <w:vAlign w:val="bottom"/>
          </w:tcPr>
          <w:p>
            <w:pPr>
              <w:spacing w:after="0"/>
              <w:rPr>
                <w:sz w:val="1"/>
                <w:szCs w:val="1"/>
                <w:color w:val="auto"/>
              </w:rPr>
            </w:pPr>
          </w:p>
        </w:tc>
      </w:tr>
      <w:tr>
        <w:trPr>
          <w:trHeight w:val="18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Equity of Green Thumb Industries Inc.</w:t>
            </w:r>
          </w:p>
        </w:tc>
        <w:tc>
          <w:tcPr>
            <w:tcW w:w="13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9"/>
              </w:rPr>
              <w:t>1,654,807</w:t>
            </w:r>
          </w:p>
        </w:tc>
        <w:tc>
          <w:tcPr>
            <w:tcW w:w="32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1,621,116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(1,638 )</w:t>
            </w:r>
          </w:p>
        </w:tc>
        <w:tc>
          <w:tcPr>
            <w:tcW w:w="0" w:type="dxa"/>
            <w:vAlign w:val="bottom"/>
          </w:tcPr>
          <w:p>
            <w:pPr>
              <w:spacing w:after="0"/>
              <w:rPr>
                <w:sz w:val="1"/>
                <w:szCs w:val="1"/>
                <w:color w:val="auto"/>
              </w:rPr>
            </w:pPr>
          </w:p>
        </w:tc>
      </w:tr>
      <w:tr>
        <w:trPr>
          <w:trHeight w:val="183"/>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1300" w:type="dxa"/>
            <w:vAlign w:val="bottom"/>
            <w:tcBorders>
              <w:top w:val="single" w:sz="8" w:color="auto"/>
              <w:bottom w:val="single" w:sz="8" w:color="auto"/>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9"/>
              </w:rPr>
              <w:t>1,654,961</w:t>
            </w:r>
          </w:p>
        </w:tc>
        <w:tc>
          <w:tcPr>
            <w:tcW w:w="3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top w:val="single" w:sz="8" w:color="auto"/>
              <w:bottom w:val="single" w:sz="8" w:color="auto"/>
            </w:tcBorders>
            <w:shd w:val="clear" w:color="auto" w:fill="CFF0FC"/>
          </w:tcPr>
          <w:p>
            <w:pPr>
              <w:spacing w:after="0"/>
              <w:rPr>
                <w:sz w:val="15"/>
                <w:szCs w:val="15"/>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1,619,478</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1300" w:type="dxa"/>
            <w:vAlign w:val="bottom"/>
            <w:tcBorders>
              <w:bottom w:val="single" w:sz="8" w:color="auto"/>
            </w:tcBorders>
          </w:tcPr>
          <w:p>
            <w:pPr>
              <w:jc w:val="right"/>
              <w:ind w:right="1125"/>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2,397,122</w:t>
            </w:r>
          </w:p>
        </w:tc>
        <w:tc>
          <w:tcPr>
            <w:tcW w:w="320" w:type="dxa"/>
            <w:vAlign w:val="bottom"/>
          </w:tcPr>
          <w:p>
            <w:pPr>
              <w:spacing w:after="0"/>
              <w:rPr>
                <w:sz w:val="15"/>
                <w:szCs w:val="15"/>
                <w:color w:val="auto"/>
              </w:rPr>
            </w:pPr>
          </w:p>
        </w:tc>
        <w:tc>
          <w:tcPr>
            <w:tcW w:w="4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2,385,851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-5648325</wp:posOffset>
            </wp:positionV>
            <wp:extent cx="137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-5648325</wp:posOffset>
            </wp:positionV>
            <wp:extent cx="4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-4679950</wp:posOffset>
            </wp:positionV>
            <wp:extent cx="137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-4679950</wp:posOffset>
            </wp:positionV>
            <wp:extent cx="431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-3205480</wp:posOffset>
            </wp:positionV>
            <wp:extent cx="137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-3205480</wp:posOffset>
            </wp:positionV>
            <wp:extent cx="431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-153670</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-153670</wp:posOffset>
            </wp:positionV>
            <wp:extent cx="43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Operations</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9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88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242,600</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center"/>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194,431</w:t>
            </w:r>
          </w:p>
        </w:tc>
        <w:tc>
          <w:tcPr>
            <w:tcW w:w="80" w:type="dxa"/>
            <w:vAlign w:val="bottom"/>
            <w:shd w:val="clear" w:color="auto" w:fill="CFF0FC"/>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460" w:type="dxa"/>
            <w:vAlign w:val="bottom"/>
          </w:tcPr>
          <w:p>
            <w:pPr>
              <w:spacing w:after="0"/>
              <w:rPr>
                <w:sz w:val="18"/>
                <w:szCs w:val="18"/>
                <w:color w:val="auto"/>
              </w:rPr>
            </w:pPr>
          </w:p>
        </w:tc>
        <w:tc>
          <w:tcPr>
            <w:tcW w:w="1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(119,660 )</w:t>
            </w:r>
          </w:p>
        </w:tc>
        <w:tc>
          <w:tcPr>
            <w:tcW w:w="5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(83,566 )</w:t>
            </w:r>
          </w:p>
        </w:tc>
      </w:tr>
      <w:tr>
        <w:trPr>
          <w:trHeight w:val="210"/>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122,940</w:t>
            </w:r>
          </w:p>
        </w:tc>
        <w:tc>
          <w:tcPr>
            <w:tcW w:w="3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110,865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68,388</w:t>
            </w:r>
          </w:p>
        </w:tc>
        <w:tc>
          <w:tcPr>
            <w:tcW w:w="3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59,331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68,388</w:t>
            </w:r>
          </w:p>
        </w:tc>
        <w:tc>
          <w:tcPr>
            <w:tcW w:w="3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59,331</w:t>
            </w:r>
          </w:p>
        </w:tc>
        <w:tc>
          <w:tcPr>
            <w:tcW w:w="80" w:type="dxa"/>
            <w:vAlign w:val="bottom"/>
          </w:tcPr>
          <w:p>
            <w:pPr>
              <w:spacing w:after="0"/>
              <w:rPr>
                <w:sz w:val="18"/>
                <w:szCs w:val="18"/>
                <w:color w:val="auto"/>
              </w:rPr>
            </w:pPr>
          </w:p>
        </w:tc>
      </w:tr>
      <w:tr>
        <w:trPr>
          <w:trHeight w:val="209"/>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54,552</w:t>
            </w:r>
          </w:p>
        </w:tc>
        <w:tc>
          <w:tcPr>
            <w:tcW w:w="3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(5,150 )</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r>
      <w:tr>
        <w:trPr>
          <w:trHeight w:val="21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(6,070 )</w:t>
            </w:r>
          </w:p>
        </w:tc>
        <w:tc>
          <w:tcPr>
            <w:tcW w:w="5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(4,123 )</w:t>
            </w:r>
          </w:p>
        </w:tc>
      </w:tr>
      <w:tr>
        <w:trPr>
          <w:trHeight w:val="20"/>
        </w:trPr>
        <w:tc>
          <w:tcPr>
            <w:tcW w:w="69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(9,223 )</w:t>
            </w:r>
          </w:p>
        </w:tc>
      </w:tr>
      <w:tr>
        <w:trPr>
          <w:trHeight w:val="21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 And Non-Controlling Interest</w:t>
            </w:r>
          </w:p>
        </w:tc>
        <w:tc>
          <w:tcPr>
            <w:tcW w:w="4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60,817</w:t>
            </w:r>
          </w:p>
        </w:tc>
        <w:tc>
          <w:tcPr>
            <w:tcW w:w="30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42,311</w:t>
            </w:r>
          </w:p>
        </w:tc>
        <w:tc>
          <w:tcPr>
            <w:tcW w:w="80" w:type="dxa"/>
            <w:vAlign w:val="bottom"/>
            <w:shd w:val="clear" w:color="auto" w:fill="CFF0FC"/>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31,131</w:t>
            </w:r>
          </w:p>
        </w:tc>
        <w:tc>
          <w:tcPr>
            <w:tcW w:w="3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30,856</w:t>
            </w:r>
          </w:p>
        </w:tc>
        <w:tc>
          <w:tcPr>
            <w:tcW w:w="80" w:type="dxa"/>
            <w:vAlign w:val="bottom"/>
          </w:tcPr>
          <w:p>
            <w:pPr>
              <w:spacing w:after="0"/>
              <w:rPr>
                <w:sz w:val="18"/>
                <w:szCs w:val="18"/>
                <w:color w:val="auto"/>
              </w:rPr>
            </w:pPr>
          </w:p>
        </w:tc>
      </w:tr>
      <w:tr>
        <w:trPr>
          <w:trHeight w:val="20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29,686</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80" w:type="dxa"/>
            <w:vAlign w:val="bottom"/>
            <w:shd w:val="clear" w:color="auto" w:fill="CFF0FC"/>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Pr>
          <w:p>
            <w:pPr>
              <w:spacing w:after="0"/>
              <w:rPr>
                <w:sz w:val="18"/>
                <w:szCs w:val="18"/>
                <w:color w:val="auto"/>
              </w:rPr>
            </w:pPr>
          </w:p>
        </w:tc>
      </w:tr>
      <w:tr>
        <w:trPr>
          <w:trHeight w:val="249"/>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Green Thumb Industries Inc.</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3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center"/>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7"/>
        </w:trPr>
        <w:tc>
          <w:tcPr>
            <w:tcW w:w="6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46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300" w:type="dxa"/>
            <w:vAlign w:val="bottom"/>
          </w:tcPr>
          <w:p>
            <w:pPr>
              <w:spacing w:after="0"/>
              <w:rPr>
                <w:sz w:val="17"/>
                <w:szCs w:val="17"/>
                <w:color w:val="auto"/>
              </w:rPr>
            </w:pPr>
          </w:p>
        </w:tc>
        <w:tc>
          <w:tcPr>
            <w:tcW w:w="580" w:type="dxa"/>
            <w:vAlign w:val="bottom"/>
            <w:tcBorders>
              <w:bottom w:val="single" w:sz="8" w:color="auto"/>
            </w:tcBorders>
          </w:tcPr>
          <w:p>
            <w:pPr>
              <w:jc w:val="center"/>
              <w:ind w:right="3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69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46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3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center"/>
              <w:ind w:right="3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97"/>
        </w:trPr>
        <w:tc>
          <w:tcPr>
            <w:tcW w:w="6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235,838,947</w:t>
            </w:r>
          </w:p>
        </w:tc>
        <w:tc>
          <w:tcPr>
            <w:tcW w:w="3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216,210,429</w:t>
            </w:r>
          </w:p>
        </w:tc>
        <w:tc>
          <w:tcPr>
            <w:tcW w:w="8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69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4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238,225,420</w:t>
            </w:r>
          </w:p>
        </w:tc>
        <w:tc>
          <w:tcPr>
            <w:tcW w:w="3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221,616,157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-2665095</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-2665095</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-2382520</wp:posOffset>
            </wp:positionV>
            <wp:extent cx="51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-2382520</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-2091055</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-2091055</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-1533525</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-1533525</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-676275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-659765</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-676275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-659765</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-351155</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-333375</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-351155</wp:posOffset>
            </wp:positionV>
            <wp:extent cx="5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-333375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4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120" w:type="dxa"/>
            <w:vAlign w:val="bottom"/>
          </w:tcPr>
          <w:p>
            <w:pPr>
              <w:spacing w:after="0"/>
              <w:rPr>
                <w:sz w:val="16"/>
                <w:szCs w:val="16"/>
                <w:color w:val="auto"/>
              </w:rPr>
            </w:pP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Deferred Share</w:t>
            </w:r>
          </w:p>
        </w:tc>
        <w:tc>
          <w:tcPr>
            <w:tcW w:w="10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6"/>
                <w:szCs w:val="16"/>
                <w:color w:val="auto"/>
              </w:rPr>
            </w:pPr>
          </w:p>
        </w:tc>
        <w:tc>
          <w:tcPr>
            <w:tcW w:w="12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81"/>
        </w:trPr>
        <w:tc>
          <w:tcPr>
            <w:tcW w:w="3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2"/>
            <w:vMerge w:val="restart"/>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Earnings</w:t>
            </w:r>
          </w:p>
        </w:tc>
        <w:tc>
          <w:tcPr>
            <w:tcW w:w="110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Controlling</w:t>
            </w:r>
          </w:p>
        </w:tc>
        <w:tc>
          <w:tcPr>
            <w:tcW w:w="1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8"/>
                <w:szCs w:val="8"/>
                <w:color w:val="auto"/>
              </w:rPr>
            </w:pPr>
          </w:p>
        </w:tc>
        <w:tc>
          <w:tcPr>
            <w:tcW w:w="1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Surplus (Deficit)</w:t>
            </w:r>
          </w:p>
        </w:tc>
        <w:tc>
          <w:tcPr>
            <w:tcW w:w="120" w:type="dxa"/>
            <w:vAlign w:val="bottom"/>
          </w:tcPr>
          <w:p>
            <w:pPr>
              <w:spacing w:after="0"/>
              <w:rPr>
                <w:sz w:val="8"/>
                <w:szCs w:val="8"/>
                <w:color w:val="auto"/>
              </w:rPr>
            </w:pP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0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vMerge w:val="restart"/>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(in thousand)</w:t>
            </w:r>
          </w:p>
        </w:tc>
        <w:tc>
          <w:tcPr>
            <w:tcW w:w="1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2021</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1,048,640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(145,499 )$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914,158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shares under business</w:t>
            </w: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240" w:type="dxa"/>
            <w:vAlign w:val="bottom"/>
          </w:tcPr>
          <w:p>
            <w:pPr>
              <w:spacing w:after="0"/>
              <w:rPr>
                <w:sz w:val="14"/>
                <w:szCs w:val="14"/>
                <w:color w:val="auto"/>
              </w:rPr>
            </w:pPr>
          </w:p>
        </w:tc>
        <w:tc>
          <w:tcPr>
            <w:tcW w:w="1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4"/>
                <w:szCs w:val="14"/>
                <w:color w:val="auto"/>
              </w:rPr>
            </w:pPr>
          </w:p>
        </w:tc>
        <w:tc>
          <w:tcPr>
            <w:tcW w:w="1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0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combinations and investments</w:t>
            </w:r>
          </w:p>
        </w:tc>
        <w:tc>
          <w:tcPr>
            <w:tcW w:w="3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0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issued as contingent consideration</w:t>
            </w:r>
          </w:p>
        </w:tc>
        <w:tc>
          <w:tcPr>
            <w:tcW w:w="3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12,673</w:t>
            </w: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12,673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of deferred shares</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2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(1,835 )</w:t>
            </w:r>
          </w:p>
        </w:tc>
        <w:tc>
          <w:tcPr>
            <w:tcW w:w="1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registered shares pursuant to</w:t>
            </w:r>
          </w:p>
        </w:tc>
        <w:tc>
          <w:tcPr>
            <w:tcW w:w="38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155,803</w:t>
            </w:r>
          </w:p>
        </w:tc>
        <w:tc>
          <w:tcPr>
            <w:tcW w:w="240" w:type="dxa"/>
            <w:vAlign w:val="bottom"/>
            <w:shd w:val="clear" w:color="auto" w:fill="CFF0FC"/>
          </w:tcPr>
          <w:p>
            <w:pPr>
              <w:spacing w:after="0"/>
              <w:rPr>
                <w:sz w:val="14"/>
                <w:szCs w:val="14"/>
                <w:color w:val="auto"/>
              </w:rPr>
            </w:pPr>
          </w:p>
        </w:tc>
        <w:tc>
          <w:tcPr>
            <w:tcW w:w="12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(305 )</w:t>
            </w:r>
          </w:p>
        </w:tc>
        <w:tc>
          <w:tcPr>
            <w:tcW w:w="12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4"/>
                <w:szCs w:val="14"/>
                <w:color w:val="auto"/>
              </w:rPr>
            </w:pPr>
          </w:p>
        </w:tc>
        <w:tc>
          <w:tcPr>
            <w:tcW w:w="13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155,498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00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Form S-1</w:t>
            </w:r>
          </w:p>
        </w:tc>
        <w:tc>
          <w:tcPr>
            <w:tcW w:w="38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6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8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20" w:type="dxa"/>
            <w:vAlign w:val="bottom"/>
            <w:gridSpan w:val="2"/>
            <w:vMerge w:val="continue"/>
            <w:shd w:val="clear" w:color="auto" w:fill="CFF0FC"/>
          </w:tcPr>
          <w:p>
            <w:pPr>
              <w:spacing w:after="0"/>
              <w:rPr>
                <w:sz w:val="10"/>
                <w:szCs w:val="10"/>
                <w:color w:val="auto"/>
              </w:rPr>
            </w:pPr>
          </w:p>
        </w:tc>
        <w:tc>
          <w:tcPr>
            <w:tcW w:w="1100" w:type="dxa"/>
            <w:vAlign w:val="bottom"/>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000" w:type="dxa"/>
            <w:vAlign w:val="bottom"/>
            <w:vMerge w:val="continue"/>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20" w:right="339" w:bottom="1440" w:gutter="0" w:footer="0" w:header="0"/>
        </w:sectPr>
      </w:pPr>
    </w:p>
    <w:p>
      <w:pPr>
        <w:ind w:left="20" w:right="720"/>
        <w:spacing w:after="0" w:line="260" w:lineRule="auto"/>
        <w:rPr>
          <w:sz w:val="20"/>
          <w:szCs w:val="20"/>
          <w:color w:val="auto"/>
        </w:rPr>
      </w:pPr>
      <w:r>
        <w:rPr>
          <w:rFonts w:ascii="Times New Roman" w:cs="Times New Roman" w:eastAsia="Times New Roman" w:hAnsi="Times New Roman"/>
          <w:sz w:val="16"/>
          <w:szCs w:val="16"/>
          <w:color w:val="auto"/>
        </w:rPr>
        <w:t>Exercise of options, RSUs and warrants Stock-based compensation</w:t>
      </w:r>
    </w:p>
    <w:p>
      <w:pPr>
        <w:ind w:left="140" w:right="240" w:hanging="121"/>
        <w:spacing w:after="0" w:line="243" w:lineRule="auto"/>
        <w:rPr>
          <w:sz w:val="20"/>
          <w:szCs w:val="20"/>
          <w:color w:val="auto"/>
        </w:rPr>
      </w:pPr>
      <w:r>
        <w:rPr>
          <w:rFonts w:ascii="Times New Roman" w:cs="Times New Roman" w:eastAsia="Times New Roman" w:hAnsi="Times New Roman"/>
          <w:sz w:val="16"/>
          <w:szCs w:val="16"/>
          <w:color w:val="auto"/>
        </w:rPr>
        <w:t>Distributions to third party and limited liability company unit 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9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17,008</w:t>
            </w:r>
          </w:p>
        </w:tc>
        <w:tc>
          <w:tcPr>
            <w:tcW w:w="15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(11,369 )</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5,639</w:t>
            </w:r>
          </w:p>
        </w:tc>
      </w:tr>
      <w:tr>
        <w:trPr>
          <w:trHeight w:val="210"/>
        </w:trPr>
        <w:tc>
          <w:tcPr>
            <w:tcW w:w="9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4,031</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w:t>
            </w:r>
          </w:p>
        </w:tc>
      </w:tr>
      <w:tr>
        <w:trPr>
          <w:trHeight w:val="283"/>
        </w:trPr>
        <w:tc>
          <w:tcPr>
            <w:tcW w:w="9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(1,675 )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-304165</wp:posOffset>
            </wp:positionV>
            <wp:extent cx="713232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3320" w:space="720"/>
            <w:col w:w="7200"/>
          </w:cols>
          <w:pgMar w:left="320" w:top="320"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3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10,369</w:t>
            </w:r>
          </w:p>
        </w:tc>
        <w:tc>
          <w:tcPr>
            <w:tcW w:w="18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8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11,455</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1,236,988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(2,788 ) </w:t>
            </w: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(135,130 )</w:t>
            </w: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1,102,770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gridSpan w:val="2"/>
          </w:tcPr>
          <w:p>
            <w:pPr>
              <w:spacing w:after="0"/>
              <w:rPr>
                <w:sz w:val="7"/>
                <w:szCs w:val="7"/>
                <w:color w:val="auto"/>
              </w:rPr>
            </w:pPr>
          </w:p>
        </w:tc>
        <w:tc>
          <w:tcPr>
            <w:tcW w:w="1280" w:type="dxa"/>
            <w:vAlign w:val="bottom"/>
            <w:tcBorders>
              <w:bottom w:val="single" w:sz="8" w:color="auto"/>
            </w:tcBorders>
            <w:gridSpan w:val="2"/>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1,633,672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21,245</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36,262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(70,063 )$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(1,638 )$</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1,619,478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Noncontrolling interests adjustment for change in</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240" w:type="dxa"/>
            <w:vAlign w:val="bottom"/>
          </w:tcPr>
          <w:p>
            <w:pPr>
              <w:spacing w:after="0"/>
              <w:rPr>
                <w:sz w:val="12"/>
                <w:szCs w:val="12"/>
                <w:color w:val="auto"/>
              </w:rPr>
            </w:pPr>
          </w:p>
        </w:tc>
        <w:tc>
          <w:tcPr>
            <w:tcW w:w="1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(17,735 )</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15,356</w:t>
            </w:r>
          </w:p>
        </w:tc>
        <w:tc>
          <w:tcPr>
            <w:tcW w:w="180" w:type="dxa"/>
            <w:vAlign w:val="bottom"/>
          </w:tcPr>
          <w:p>
            <w:pPr>
              <w:spacing w:after="0"/>
              <w:rPr>
                <w:sz w:val="12"/>
                <w:szCs w:val="12"/>
                <w:color w:val="auto"/>
              </w:rPr>
            </w:pPr>
          </w:p>
        </w:tc>
        <w:tc>
          <w:tcPr>
            <w:tcW w:w="1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9"/>
        </w:trPr>
        <w:tc>
          <w:tcPr>
            <w:tcW w:w="32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ownership</w:t>
            </w: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26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6"/>
                <w:szCs w:val="16"/>
                <w:color w:val="auto"/>
              </w:rPr>
              <w:t>Issuance of shares under business</w:t>
            </w:r>
          </w:p>
        </w:tc>
        <w:tc>
          <w:tcPr>
            <w:tcW w:w="12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240" w:type="dxa"/>
            <w:vAlign w:val="bottom"/>
            <w:shd w:val="clear" w:color="auto" w:fill="CFF0FC"/>
          </w:tcPr>
          <w:p>
            <w:pPr>
              <w:spacing w:after="0"/>
              <w:rPr>
                <w:sz w:val="13"/>
                <w:szCs w:val="13"/>
                <w:color w:val="auto"/>
              </w:rPr>
            </w:pPr>
          </w:p>
        </w:tc>
        <w:tc>
          <w:tcPr>
            <w:tcW w:w="12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11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13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3"/>
                <w:szCs w:val="13"/>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combinations and investments</w:t>
            </w:r>
          </w:p>
        </w:tc>
        <w:tc>
          <w:tcPr>
            <w:tcW w:w="120" w:type="dxa"/>
            <w:vAlign w:val="bottom"/>
            <w:shd w:val="clear" w:color="auto" w:fill="CFF0FC"/>
          </w:tcPr>
          <w:p>
            <w:pPr>
              <w:spacing w:after="0"/>
              <w:rPr>
                <w:sz w:val="11"/>
                <w:szCs w:val="11"/>
                <w:color w:val="auto"/>
              </w:rPr>
            </w:pPr>
          </w:p>
        </w:tc>
        <w:tc>
          <w:tcPr>
            <w:tcW w:w="112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6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20" w:type="dxa"/>
            <w:vAlign w:val="bottom"/>
            <w:gridSpan w:val="2"/>
            <w:vMerge w:val="continue"/>
            <w:shd w:val="clear" w:color="auto" w:fill="CFF0FC"/>
          </w:tcPr>
          <w:p>
            <w:pPr>
              <w:spacing w:after="0"/>
              <w:rPr>
                <w:sz w:val="11"/>
                <w:szCs w:val="11"/>
                <w:color w:val="auto"/>
              </w:rPr>
            </w:pPr>
          </w:p>
        </w:tc>
        <w:tc>
          <w:tcPr>
            <w:tcW w:w="110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80" w:type="dxa"/>
            <w:vAlign w:val="bottom"/>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26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-830580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-830580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-830580</wp:posOffset>
            </wp:positionV>
            <wp:extent cx="431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-830580</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-830580</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-830580</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Shares issued as contingent consideration</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Exercise of options, RSUs and warrants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19" w:lineRule="exact"/>
        <w:rPr>
          <w:sz w:val="20"/>
          <w:szCs w:val="20"/>
          <w:color w:val="auto"/>
        </w:rPr>
      </w:pPr>
    </w:p>
    <w:p>
      <w:pPr>
        <w:ind w:left="140" w:right="340" w:hanging="121"/>
        <w:spacing w:after="0" w:line="237" w:lineRule="auto"/>
        <w:rPr>
          <w:sz w:val="20"/>
          <w:szCs w:val="20"/>
          <w:color w:val="auto"/>
        </w:rPr>
      </w:pPr>
      <w:r>
        <w:rPr>
          <w:rFonts w:ascii="Times New Roman" w:cs="Times New Roman" w:eastAsia="Times New Roman" w:hAnsi="Times New Roman"/>
          <w:sz w:val="16"/>
          <w:szCs w:val="16"/>
          <w:color w:val="auto"/>
        </w:rPr>
        <w:t>Distributions to limited liability company unit 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9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5"/>
              </w:rPr>
              <w:t>13,111</w:t>
            </w:r>
          </w:p>
        </w:tc>
        <w:tc>
          <w:tcPr>
            <w:tcW w:w="15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13,111</w:t>
            </w:r>
          </w:p>
        </w:tc>
      </w:tr>
      <w:tr>
        <w:trPr>
          <w:trHeight w:val="203"/>
        </w:trPr>
        <w:tc>
          <w:tcPr>
            <w:tcW w:w="9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3,135</w:t>
            </w:r>
          </w:p>
        </w:tc>
        <w:tc>
          <w:tcPr>
            <w:tcW w:w="15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(2,195 )</w:t>
            </w:r>
          </w:p>
        </w:tc>
        <w:tc>
          <w:tcPr>
            <w:tcW w:w="1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r>
      <w:tr>
        <w:trPr>
          <w:trHeight w:val="210"/>
        </w:trPr>
        <w:tc>
          <w:tcPr>
            <w:tcW w:w="9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4,651</w:t>
            </w:r>
          </w:p>
        </w:tc>
        <w:tc>
          <w:tcPr>
            <w:tcW w:w="1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4,651</w:t>
            </w:r>
          </w:p>
        </w:tc>
      </w:tr>
      <w:tr>
        <w:trPr>
          <w:trHeight w:val="283"/>
        </w:trPr>
        <w:tc>
          <w:tcPr>
            <w:tcW w:w="9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(14,311 )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-432435</wp:posOffset>
            </wp:positionV>
            <wp:extent cx="713232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-175260</wp:posOffset>
            </wp:positionV>
            <wp:extent cx="7132320" cy="2311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3340" w:space="720"/>
            <w:col w:w="7180"/>
          </w:cols>
          <w:pgMar w:left="320" w:top="320"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28,939</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29,686</w:t>
            </w:r>
          </w:p>
        </w:tc>
        <w:tc>
          <w:tcPr>
            <w:tcW w:w="60" w:type="dxa"/>
            <w:vAlign w:val="bottom"/>
          </w:tcPr>
          <w:p>
            <w:pPr>
              <w:spacing w:after="0"/>
              <w:rPr>
                <w:sz w:val="18"/>
                <w:szCs w:val="18"/>
                <w:color w:val="auto"/>
              </w:rPr>
            </w:pPr>
          </w:p>
        </w:tc>
      </w:tr>
      <w:tr>
        <w:trPr>
          <w:trHeight w:val="236"/>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2022</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1,653,703</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5,966</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(41,124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1,654,961</w:t>
            </w:r>
          </w:p>
        </w:tc>
        <w:tc>
          <w:tcPr>
            <w:tcW w:w="60" w:type="dxa"/>
            <w:vAlign w:val="bottom"/>
            <w:tcBorders>
              <w:bottom w:val="single" w:sz="8" w:color="CFF0FC"/>
            </w:tcBorders>
            <w:shd w:val="clear" w:color="auto" w:fill="CFF0FC"/>
          </w:tcPr>
          <w:p>
            <w:pPr>
              <w:spacing w:after="0"/>
              <w:rPr>
                <w:sz w:val="20"/>
                <w:szCs w:val="20"/>
                <w:color w:val="auto"/>
              </w:rPr>
            </w:pPr>
          </w:p>
        </w:tc>
      </w:tr>
      <w:tr>
        <w:trPr>
          <w:trHeight w:val="75"/>
        </w:trPr>
        <w:tc>
          <w:tcPr>
            <w:tcW w:w="25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-93345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-76200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-93345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-93345</wp:posOffset>
            </wp:positionV>
            <wp:extent cx="254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-76200</wp:posOffset>
            </wp:positionV>
            <wp:extent cx="254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-93345</wp:posOffset>
            </wp:positionV>
            <wp:extent cx="43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-76200</wp:posOffset>
            </wp:positionV>
            <wp:extent cx="43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-93345</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-76200</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-93345</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-76200</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227"/>
        </w:trPr>
        <w:tc>
          <w:tcPr>
            <w:tcW w:w="6840" w:type="dxa"/>
            <w:vAlign w:val="bottom"/>
          </w:tcPr>
          <w:p>
            <w:pPr>
              <w:spacing w:after="0"/>
              <w:rPr>
                <w:sz w:val="19"/>
                <w:szCs w:val="19"/>
                <w:color w:val="auto"/>
              </w:rPr>
            </w:pPr>
          </w:p>
        </w:tc>
        <w:tc>
          <w:tcPr>
            <w:tcW w:w="348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840" w:type="dxa"/>
            <w:vAlign w:val="bottom"/>
          </w:tcPr>
          <w:p>
            <w:pPr>
              <w:spacing w:after="0"/>
              <w:rPr>
                <w:sz w:val="17"/>
                <w:szCs w:val="17"/>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7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(in</w:t>
            </w:r>
          </w:p>
        </w:tc>
        <w:tc>
          <w:tcPr>
            <w:tcW w:w="1540" w:type="dxa"/>
            <w:vAlign w:val="bottom"/>
            <w:tcBorders>
              <w:bottom w:val="single" w:sz="8" w:color="auto"/>
            </w:tcBorders>
            <w:gridSpan w:val="2"/>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w w:val="80"/>
              </w:rPr>
              <w:t>thousands)</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 FROM OPERATING ACTIVITIES</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 attributable to Green Thumb Industries Inc.</w:t>
            </w: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28,939</w:t>
            </w:r>
          </w:p>
        </w:tc>
        <w:tc>
          <w:tcPr>
            <w:tcW w:w="320" w:type="dxa"/>
            <w:vAlign w:val="bottom"/>
          </w:tcPr>
          <w:p>
            <w:pPr>
              <w:spacing w:after="0"/>
              <w:rPr>
                <w:sz w:val="17"/>
                <w:szCs w:val="17"/>
                <w:color w:val="auto"/>
              </w:rPr>
            </w:pPr>
          </w:p>
        </w:tc>
        <w:tc>
          <w:tcPr>
            <w:tcW w:w="1220" w:type="dxa"/>
            <w:vAlign w:val="bottom"/>
          </w:tcPr>
          <w:p>
            <w:pPr>
              <w:jc w:val="right"/>
              <w:ind w:right="10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22,990</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operating lease assets</w:t>
            </w: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9,821</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Loss (earnings) on equity method investment</w:t>
            </w: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(623 )</w:t>
            </w: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Bad debt expense</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(74 )</w:t>
            </w:r>
          </w:p>
        </w:tc>
        <w:tc>
          <w:tcPr>
            <w:tcW w:w="0" w:type="dxa"/>
            <w:vAlign w:val="bottom"/>
          </w:tcPr>
          <w:p>
            <w:pPr>
              <w:spacing w:after="0"/>
              <w:rPr>
                <w:sz w:val="1"/>
                <w:szCs w:val="1"/>
                <w:color w:val="auto"/>
              </w:rPr>
            </w:pPr>
          </w:p>
        </w:tc>
      </w:tr>
      <w:tr>
        <w:trPr>
          <w:trHeight w:val="203"/>
        </w:trPr>
        <w:tc>
          <w:tcPr>
            <w:tcW w:w="68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Deferred income taxes</w:t>
            </w:r>
          </w:p>
        </w:tc>
        <w:tc>
          <w:tcPr>
            <w:tcW w:w="1220" w:type="dxa"/>
            <w:vAlign w:val="bottom"/>
          </w:tcPr>
          <w:p>
            <w:pPr>
              <w:spacing w:after="0"/>
              <w:rPr>
                <w:sz w:val="17"/>
                <w:szCs w:val="17"/>
                <w:color w:val="auto"/>
              </w:rPr>
            </w:pPr>
          </w:p>
        </w:tc>
        <w:tc>
          <w:tcPr>
            <w:tcW w:w="104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4,651</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Increase in fair value of investments</w:t>
            </w:r>
          </w:p>
        </w:tc>
        <w:tc>
          <w:tcPr>
            <w:tcW w:w="1220" w:type="dxa"/>
            <w:vAlign w:val="bottom"/>
          </w:tcPr>
          <w:p>
            <w:pPr>
              <w:spacing w:after="0"/>
              <w:rPr>
                <w:sz w:val="17"/>
                <w:szCs w:val="17"/>
                <w:color w:val="auto"/>
              </w:rPr>
            </w:pPr>
          </w:p>
        </w:tc>
        <w:tc>
          <w:tcPr>
            <w:tcW w:w="10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(4,664 )</w:t>
            </w:r>
          </w:p>
        </w:tc>
        <w:tc>
          <w:tcPr>
            <w:tcW w:w="12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(392 )</w:t>
            </w: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Interest on contingent consideration payable and acquisition liabilities</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8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(Decrease) increase in fair value of contingent consideration</w:t>
            </w:r>
          </w:p>
        </w:tc>
        <w:tc>
          <w:tcPr>
            <w:tcW w:w="1220" w:type="dxa"/>
            <w:vAlign w:val="bottom"/>
          </w:tcPr>
          <w:p>
            <w:pPr>
              <w:spacing w:after="0"/>
              <w:rPr>
                <w:sz w:val="17"/>
                <w:szCs w:val="17"/>
                <w:color w:val="auto"/>
              </w:rPr>
            </w:pPr>
          </w:p>
        </w:tc>
        <w:tc>
          <w:tcPr>
            <w:tcW w:w="10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(16,477 )</w:t>
            </w:r>
          </w:p>
        </w:tc>
        <w:tc>
          <w:tcPr>
            <w:tcW w:w="1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(Decrease) increase in fair value of warrants</w:t>
            </w:r>
          </w:p>
        </w:tc>
        <w:tc>
          <w:tcPr>
            <w:tcW w:w="1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(7,929 )</w:t>
            </w: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1220" w:type="dxa"/>
            <w:vAlign w:val="bottom"/>
          </w:tcPr>
          <w:p>
            <w:pPr>
              <w:spacing w:after="0"/>
              <w:rPr>
                <w:sz w:val="17"/>
                <w:szCs w:val="17"/>
                <w:color w:val="auto"/>
              </w:rPr>
            </w:pPr>
          </w:p>
        </w:tc>
        <w:tc>
          <w:tcPr>
            <w:tcW w:w="10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(5,941 )</w:t>
            </w:r>
          </w:p>
        </w:tc>
        <w:tc>
          <w:tcPr>
            <w:tcW w:w="1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Inventories</w:t>
            </w:r>
          </w:p>
        </w:tc>
        <w:tc>
          <w:tcPr>
            <w:tcW w:w="1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(13,817 )</w:t>
            </w:r>
          </w:p>
        </w:tc>
        <w:tc>
          <w:tcPr>
            <w:tcW w:w="1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(2,737 )</w:t>
            </w:r>
          </w:p>
        </w:tc>
        <w:tc>
          <w:tcPr>
            <w:tcW w:w="0" w:type="dxa"/>
            <w:vAlign w:val="bottom"/>
          </w:tcPr>
          <w:p>
            <w:pPr>
              <w:spacing w:after="0"/>
              <w:rPr>
                <w:sz w:val="1"/>
                <w:szCs w:val="1"/>
                <w:color w:val="auto"/>
              </w:rPr>
            </w:pPr>
          </w:p>
        </w:tc>
      </w:tr>
      <w:tr>
        <w:trPr>
          <w:trHeight w:val="203"/>
        </w:trPr>
        <w:tc>
          <w:tcPr>
            <w:tcW w:w="68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(5,318 )</w:t>
            </w: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Deposits and other assets</w:t>
            </w:r>
          </w:p>
        </w:tc>
        <w:tc>
          <w:tcPr>
            <w:tcW w:w="1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(395 )</w:t>
            </w:r>
          </w:p>
        </w:tc>
        <w:tc>
          <w:tcPr>
            <w:tcW w:w="1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(363 )</w:t>
            </w:r>
          </w:p>
        </w:tc>
        <w:tc>
          <w:tcPr>
            <w:tcW w:w="0" w:type="dxa"/>
            <w:vAlign w:val="bottom"/>
          </w:tcPr>
          <w:p>
            <w:pPr>
              <w:spacing w:after="0"/>
              <w:rPr>
                <w:sz w:val="1"/>
                <w:szCs w:val="1"/>
                <w:color w:val="auto"/>
              </w:rPr>
            </w:pPr>
          </w:p>
        </w:tc>
      </w:tr>
      <w:tr>
        <w:trPr>
          <w:trHeight w:val="203"/>
        </w:trPr>
        <w:tc>
          <w:tcPr>
            <w:tcW w:w="68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9,555</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(11,191 )</w:t>
            </w: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Accrued liabilities</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220" w:type="dxa"/>
            <w:vAlign w:val="bottom"/>
          </w:tcPr>
          <w:p>
            <w:pPr>
              <w:spacing w:after="0"/>
              <w:rPr>
                <w:sz w:val="17"/>
                <w:szCs w:val="17"/>
                <w:color w:val="auto"/>
              </w:rPr>
            </w:pPr>
          </w:p>
        </w:tc>
        <w:tc>
          <w:tcPr>
            <w:tcW w:w="10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(8,420 )</w:t>
            </w:r>
          </w:p>
        </w:tc>
        <w:tc>
          <w:tcPr>
            <w:tcW w:w="12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(6,010 )</w:t>
            </w:r>
          </w:p>
        </w:tc>
        <w:tc>
          <w:tcPr>
            <w:tcW w:w="0" w:type="dxa"/>
            <w:vAlign w:val="bottom"/>
          </w:tcPr>
          <w:p>
            <w:pPr>
              <w:spacing w:after="0"/>
              <w:rPr>
                <w:sz w:val="1"/>
                <w:szCs w:val="1"/>
                <w:color w:val="auto"/>
              </w:rPr>
            </w:pPr>
          </w:p>
        </w:tc>
      </w:tr>
      <w:tr>
        <w:trPr>
          <w:trHeight w:val="202"/>
        </w:trPr>
        <w:tc>
          <w:tcPr>
            <w:tcW w:w="68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Income tax payable</w:t>
            </w:r>
          </w:p>
        </w:tc>
        <w:tc>
          <w:tcPr>
            <w:tcW w:w="12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31,304</w:t>
            </w:r>
          </w:p>
        </w:tc>
        <w:tc>
          <w:tcPr>
            <w:tcW w:w="3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14,019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55,376</w:t>
            </w:r>
          </w:p>
        </w:tc>
        <w:tc>
          <w:tcPr>
            <w:tcW w:w="3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39,656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 FROM INVESTING ACTIVITIES</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220" w:type="dxa"/>
            <w:vAlign w:val="bottom"/>
          </w:tcPr>
          <w:p>
            <w:pPr>
              <w:spacing w:after="0"/>
              <w:rPr>
                <w:sz w:val="17"/>
                <w:szCs w:val="17"/>
                <w:color w:val="auto"/>
              </w:rPr>
            </w:pPr>
          </w:p>
        </w:tc>
        <w:tc>
          <w:tcPr>
            <w:tcW w:w="10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(56,831 )</w:t>
            </w:r>
          </w:p>
        </w:tc>
        <w:tc>
          <w:tcPr>
            <w:tcW w:w="12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(19,422 )</w:t>
            </w: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Proceeds from disposal of assets</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Investments in securities</w:t>
            </w:r>
          </w:p>
        </w:tc>
        <w:tc>
          <w:tcPr>
            <w:tcW w:w="1220" w:type="dxa"/>
            <w:vAlign w:val="bottom"/>
          </w:tcPr>
          <w:p>
            <w:pPr>
              <w:spacing w:after="0"/>
              <w:rPr>
                <w:sz w:val="17"/>
                <w:szCs w:val="17"/>
                <w:color w:val="auto"/>
              </w:rPr>
            </w:pPr>
          </w:p>
        </w:tc>
        <w:tc>
          <w:tcPr>
            <w:tcW w:w="10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(5,444 )</w:t>
            </w:r>
          </w:p>
        </w:tc>
        <w:tc>
          <w:tcPr>
            <w:tcW w:w="12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(6,002 )</w:t>
            </w: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Proceeds from sale of investments</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Settlement of acquisition consideration payable</w:t>
            </w:r>
          </w:p>
        </w:tc>
        <w:tc>
          <w:tcPr>
            <w:tcW w:w="1220" w:type="dxa"/>
            <w:vAlign w:val="bottom"/>
          </w:tcPr>
          <w:p>
            <w:pPr>
              <w:spacing w:after="0"/>
              <w:rPr>
                <w:sz w:val="17"/>
                <w:szCs w:val="17"/>
                <w:color w:val="auto"/>
              </w:rPr>
            </w:pPr>
          </w:p>
        </w:tc>
        <w:tc>
          <w:tcPr>
            <w:tcW w:w="10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(31,732 )</w:t>
            </w:r>
          </w:p>
        </w:tc>
        <w:tc>
          <w:tcPr>
            <w:tcW w:w="12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Purchase of businesses, net of cash acquired</w:t>
            </w:r>
          </w:p>
        </w:tc>
        <w:tc>
          <w:tcPr>
            <w:tcW w:w="1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(6,586 )</w:t>
            </w:r>
          </w:p>
        </w:tc>
        <w:tc>
          <w:tcPr>
            <w:tcW w:w="1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8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220" w:type="dxa"/>
            <w:vAlign w:val="bottom"/>
          </w:tcPr>
          <w:p>
            <w:pPr>
              <w:spacing w:after="0"/>
              <w:rPr>
                <w:sz w:val="17"/>
                <w:szCs w:val="17"/>
                <w:color w:val="auto"/>
              </w:rPr>
            </w:pPr>
          </w:p>
        </w:tc>
        <w:tc>
          <w:tcPr>
            <w:tcW w:w="10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(100,401 )</w:t>
            </w:r>
          </w:p>
        </w:tc>
        <w:tc>
          <w:tcPr>
            <w:tcW w:w="12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(7,241 )</w:t>
            </w: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 FROM FINANCING ACTIVITIES</w:t>
            </w:r>
          </w:p>
        </w:tc>
        <w:tc>
          <w:tcPr>
            <w:tcW w:w="1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Distributions to third parties and limited liability company unit holders</w:t>
            </w:r>
          </w:p>
        </w:tc>
        <w:tc>
          <w:tcPr>
            <w:tcW w:w="1220" w:type="dxa"/>
            <w:vAlign w:val="bottom"/>
          </w:tcPr>
          <w:p>
            <w:pPr>
              <w:spacing w:after="0"/>
              <w:rPr>
                <w:sz w:val="17"/>
                <w:szCs w:val="17"/>
                <w:color w:val="auto"/>
              </w:rPr>
            </w:pPr>
          </w:p>
        </w:tc>
        <w:tc>
          <w:tcPr>
            <w:tcW w:w="10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(14,311 )</w:t>
            </w:r>
          </w:p>
        </w:tc>
        <w:tc>
          <w:tcPr>
            <w:tcW w:w="12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(1,675 )</w:t>
            </w: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Contributions from unconsolidated subsidiaries</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proceeds from issuance of registered shares pursuant to Form S-1</w:t>
            </w:r>
          </w:p>
        </w:tc>
        <w:tc>
          <w:tcPr>
            <w:tcW w:w="1220" w:type="dxa"/>
            <w:vAlign w:val="bottom"/>
          </w:tcPr>
          <w:p>
            <w:pPr>
              <w:spacing w:after="0"/>
              <w:rPr>
                <w:sz w:val="17"/>
                <w:szCs w:val="17"/>
                <w:color w:val="auto"/>
              </w:rPr>
            </w:pPr>
          </w:p>
        </w:tc>
        <w:tc>
          <w:tcPr>
            <w:tcW w:w="104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155,498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Proceeds from exercise of options and warrants</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notes payable</w:t>
            </w: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Principal repayment of notes payable</w:t>
            </w:r>
          </w:p>
        </w:tc>
        <w:tc>
          <w:tcPr>
            <w:tcW w:w="1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(137 )</w:t>
            </w:r>
          </w:p>
        </w:tc>
        <w:tc>
          <w:tcPr>
            <w:tcW w:w="1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(86 )</w:t>
            </w:r>
          </w:p>
        </w:tc>
        <w:tc>
          <w:tcPr>
            <w:tcW w:w="0" w:type="dxa"/>
            <w:vAlign w:val="bottom"/>
          </w:tcPr>
          <w:p>
            <w:pPr>
              <w:spacing w:after="0"/>
              <w:rPr>
                <w:sz w:val="1"/>
                <w:szCs w:val="1"/>
                <w:color w:val="auto"/>
              </w:rPr>
            </w:pPr>
          </w:p>
        </w:tc>
      </w:tr>
      <w:tr>
        <w:trPr>
          <w:trHeight w:val="20"/>
        </w:trPr>
        <w:tc>
          <w:tcPr>
            <w:tcW w:w="68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20" w:type="dxa"/>
            <w:vAlign w:val="bottom"/>
            <w:tcBorders>
              <w:bottom w:val="single" w:sz="8" w:color="auto"/>
            </w:tcBorders>
            <w:shd w:val="clear" w:color="auto" w:fill="CFF0FC"/>
          </w:tcPr>
          <w:p>
            <w:pPr>
              <w:spacing w:after="0" w:line="20" w:lineRule="exact"/>
              <w:rPr>
                <w:sz w:val="1"/>
                <w:szCs w:val="1"/>
                <w:color w:val="auto"/>
              </w:rPr>
            </w:pPr>
          </w:p>
        </w:tc>
        <w:tc>
          <w:tcPr>
            <w:tcW w:w="680" w:type="dxa"/>
            <w:vAlign w:val="bottom"/>
            <w:tcBorders>
              <w:bottom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4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b w:val="1"/>
                <w:bCs w:val="1"/>
                <w:color w:val="auto"/>
              </w:rPr>
              <w:t>NET CASH (USED IN) PROVIDED BY FINANCING ACTIVITIES</w:t>
            </w:r>
          </w:p>
        </w:tc>
        <w:tc>
          <w:tcPr>
            <w:tcW w:w="1220" w:type="dxa"/>
            <w:vAlign w:val="bottom"/>
          </w:tcPr>
          <w:p>
            <w:pPr>
              <w:spacing w:after="0"/>
              <w:rPr>
                <w:sz w:val="16"/>
                <w:szCs w:val="16"/>
                <w:color w:val="auto"/>
              </w:rPr>
            </w:pPr>
          </w:p>
        </w:tc>
        <w:tc>
          <w:tcPr>
            <w:tcW w:w="1040" w:type="dxa"/>
            <w:vAlign w:val="bottom"/>
            <w:gridSpan w:val="2"/>
          </w:tcPr>
          <w:p>
            <w:pPr>
              <w:jc w:val="right"/>
              <w:ind w:right="175"/>
              <w:spacing w:after="0" w:line="189" w:lineRule="exact"/>
              <w:rPr>
                <w:sz w:val="20"/>
                <w:szCs w:val="20"/>
                <w:color w:val="auto"/>
              </w:rPr>
            </w:pPr>
            <w:r>
              <w:rPr>
                <w:rFonts w:ascii="Times New Roman" w:cs="Times New Roman" w:eastAsia="Times New Roman" w:hAnsi="Times New Roman"/>
                <w:sz w:val="17"/>
                <w:szCs w:val="17"/>
                <w:b w:val="1"/>
                <w:bCs w:val="1"/>
                <w:color w:val="auto"/>
              </w:rPr>
              <w:t>(10,856 )</w:t>
            </w:r>
          </w:p>
        </w:tc>
        <w:tc>
          <w:tcPr>
            <w:tcW w:w="12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159,726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w:t>
            </w:r>
          </w:p>
        </w:tc>
        <w:tc>
          <w:tcPr>
            <w:tcW w:w="1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NET INCREASE IN CASH AND CASH EQUIVALENTS AND RESTRICTED CASH</w:t>
            </w:r>
          </w:p>
        </w:tc>
        <w:tc>
          <w:tcPr>
            <w:tcW w:w="1220" w:type="dxa"/>
            <w:vAlign w:val="bottom"/>
          </w:tcPr>
          <w:p>
            <w:pPr>
              <w:spacing w:after="0"/>
              <w:rPr>
                <w:sz w:val="17"/>
                <w:szCs w:val="17"/>
                <w:color w:val="auto"/>
              </w:rPr>
            </w:pPr>
          </w:p>
        </w:tc>
        <w:tc>
          <w:tcPr>
            <w:tcW w:w="10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(55,881 )</w:t>
            </w:r>
          </w:p>
        </w:tc>
        <w:tc>
          <w:tcPr>
            <w:tcW w:w="1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192,141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6840" w:type="dxa"/>
            <w:vAlign w:val="bottom"/>
            <w:shd w:val="clear" w:color="auto" w:fill="CFF0FC"/>
          </w:tcPr>
          <w:p>
            <w:pPr>
              <w:ind w:left="360"/>
              <w:spacing w:after="0" w:line="150" w:lineRule="exact"/>
              <w:rPr>
                <w:sz w:val="20"/>
                <w:szCs w:val="20"/>
                <w:color w:val="auto"/>
              </w:rPr>
            </w:pPr>
            <w:r>
              <w:rPr>
                <w:rFonts w:ascii="Times New Roman" w:cs="Times New Roman" w:eastAsia="Times New Roman" w:hAnsi="Times New Roman"/>
                <w:sz w:val="17"/>
                <w:szCs w:val="17"/>
                <w:b w:val="1"/>
                <w:bCs w:val="1"/>
                <w:color w:val="auto"/>
              </w:rPr>
              <w:t>CASH, CASH EQUIVALENTS AND RESTRICTED CASH BEGINNING OF</w:t>
            </w:r>
          </w:p>
        </w:tc>
        <w:tc>
          <w:tcPr>
            <w:tcW w:w="122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230,420</w:t>
            </w: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83,758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8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8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1220" w:type="dxa"/>
            <w:vAlign w:val="bottom"/>
            <w:tcBorders>
              <w:bottom w:val="single" w:sz="8" w:color="auto"/>
            </w:tcBorders>
          </w:tcPr>
          <w:p>
            <w:pPr>
              <w:jc w:val="right"/>
              <w:ind w:right="10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174,539</w:t>
            </w:r>
          </w:p>
        </w:tc>
        <w:tc>
          <w:tcPr>
            <w:tcW w:w="320" w:type="dxa"/>
            <w:vAlign w:val="bottom"/>
          </w:tcPr>
          <w:p>
            <w:pPr>
              <w:spacing w:after="0"/>
              <w:rPr>
                <w:sz w:val="17"/>
                <w:szCs w:val="17"/>
                <w:color w:val="auto"/>
              </w:rPr>
            </w:pPr>
          </w:p>
        </w:tc>
        <w:tc>
          <w:tcPr>
            <w:tcW w:w="122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275,899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-2905125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-2905125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-1859280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-1859280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-814070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-817880</wp:posOffset>
            </wp:positionV>
            <wp:extent cx="939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-161925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-161925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top w:val="single" w:sz="8" w:color="auto"/>
            </w:tcBorders>
          </w:tcPr>
          <w:p>
            <w:pPr>
              <w:spacing w:after="0"/>
              <w:rPr>
                <w:sz w:val="17"/>
                <w:szCs w:val="17"/>
                <w:color w:val="auto"/>
              </w:rPr>
            </w:pPr>
          </w:p>
        </w:tc>
        <w:tc>
          <w:tcPr>
            <w:tcW w:w="6740" w:type="dxa"/>
            <w:vAlign w:val="bottom"/>
            <w:tcBorders>
              <w:top w:val="single" w:sz="8" w:color="auto"/>
            </w:tcBorders>
          </w:tcPr>
          <w:p>
            <w:pPr>
              <w:spacing w:after="0"/>
              <w:rPr>
                <w:sz w:val="17"/>
                <w:szCs w:val="17"/>
                <w:color w:val="auto"/>
              </w:rPr>
            </w:pPr>
          </w:p>
        </w:tc>
        <w:tc>
          <w:tcPr>
            <w:tcW w:w="3520" w:type="dxa"/>
            <w:vAlign w:val="bottom"/>
            <w:tcBorders>
              <w:top w:val="single" w:sz="8" w:color="auto"/>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6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6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2021</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(in</w:t>
            </w:r>
          </w:p>
        </w:tc>
        <w:tc>
          <w:tcPr>
            <w:tcW w:w="1600" w:type="dxa"/>
            <w:vAlign w:val="bottom"/>
            <w:tcBorders>
              <w:bottom w:val="single" w:sz="8" w:color="auto"/>
            </w:tcBorders>
            <w:gridSpan w:val="2"/>
          </w:tcPr>
          <w:p>
            <w:pPr>
              <w:jc w:val="right"/>
              <w:ind w:right="835"/>
              <w:spacing w:after="0"/>
              <w:rPr>
                <w:sz w:val="20"/>
                <w:szCs w:val="20"/>
                <w:color w:val="auto"/>
              </w:rPr>
            </w:pPr>
            <w:r>
              <w:rPr>
                <w:rFonts w:ascii="Times New Roman" w:cs="Times New Roman" w:eastAsia="Times New Roman" w:hAnsi="Times New Roman"/>
                <w:sz w:val="17"/>
                <w:szCs w:val="17"/>
                <w:b w:val="1"/>
                <w:bCs w:val="1"/>
                <w:color w:val="auto"/>
                <w:w w:val="83"/>
              </w:rPr>
              <w:t>thousands)</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paid</w:t>
            </w:r>
          </w:p>
        </w:tc>
        <w:tc>
          <w:tcPr>
            <w:tcW w:w="124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4,467</w:t>
            </w:r>
          </w:p>
        </w:tc>
        <w:tc>
          <w:tcPr>
            <w:tcW w:w="340" w:type="dxa"/>
            <w:vAlign w:val="bottom"/>
          </w:tcPr>
          <w:p>
            <w:pPr>
              <w:spacing w:after="0"/>
              <w:rPr>
                <w:sz w:val="17"/>
                <w:szCs w:val="17"/>
                <w:color w:val="auto"/>
              </w:rPr>
            </w:pPr>
          </w:p>
        </w:tc>
        <w:tc>
          <w:tcPr>
            <w:tcW w:w="126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7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12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capital expenditures</w:t>
            </w:r>
          </w:p>
        </w:tc>
        <w:tc>
          <w:tcPr>
            <w:tcW w:w="1240" w:type="dxa"/>
            <w:vAlign w:val="bottom"/>
          </w:tcPr>
          <w:p>
            <w:pPr>
              <w:jc w:val="right"/>
              <w:ind w:right="10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98"/>
              <w:spacing w:after="0"/>
              <w:rPr>
                <w:sz w:val="20"/>
                <w:szCs w:val="20"/>
                <w:color w:val="auto"/>
              </w:rPr>
            </w:pPr>
            <w:r>
              <w:rPr>
                <w:rFonts w:ascii="Times New Roman" w:cs="Times New Roman" w:eastAsia="Times New Roman" w:hAnsi="Times New Roman"/>
                <w:sz w:val="17"/>
                <w:szCs w:val="17"/>
                <w:color w:val="auto"/>
              </w:rPr>
              <w:t>(5,366 )</w:t>
            </w: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(3,406 )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674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Noncash increase in right of use asset</w:t>
            </w:r>
          </w:p>
        </w:tc>
        <w:tc>
          <w:tcPr>
            <w:tcW w:w="1240" w:type="dxa"/>
            <w:vAlign w:val="bottom"/>
            <w:tcBorders>
              <w:bottom w:val="single" w:sz="8" w:color="auto"/>
            </w:tcBorders>
            <w:shd w:val="clear" w:color="auto" w:fill="CFF0FC"/>
          </w:tcPr>
          <w:p>
            <w:pPr>
              <w:jc w:val="right"/>
              <w:ind w:right="107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(3,855</w:t>
            </w:r>
          </w:p>
        </w:tc>
        <w:tc>
          <w:tcPr>
            <w:tcW w:w="340" w:type="dxa"/>
            <w:vAlign w:val="bottom"/>
            <w:tcBorders>
              <w:bottom w:val="single" w:sz="8" w:color="CFF0FC"/>
            </w:tcBorders>
            <w:shd w:val="clear" w:color="auto" w:fill="CFF0FC"/>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ind w:right="107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(5,770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7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Noncash increase in lease liability</w:t>
            </w:r>
          </w:p>
        </w:tc>
        <w:tc>
          <w:tcPr>
            <w:tcW w:w="1240" w:type="dxa"/>
            <w:vAlign w:val="bottom"/>
            <w:tcBorders>
              <w:bottom w:val="single" w:sz="8" w:color="auto"/>
            </w:tcBorders>
          </w:tcPr>
          <w:p>
            <w:pPr>
              <w:jc w:val="right"/>
              <w:ind w:right="107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3,855</w:t>
            </w:r>
          </w:p>
        </w:tc>
        <w:tc>
          <w:tcPr>
            <w:tcW w:w="340" w:type="dxa"/>
            <w:vAlign w:val="bottom"/>
          </w:tcPr>
          <w:p>
            <w:pPr>
              <w:spacing w:after="0"/>
              <w:rPr>
                <w:sz w:val="15"/>
                <w:szCs w:val="15"/>
                <w:color w:val="auto"/>
              </w:rPr>
            </w:pPr>
          </w:p>
        </w:tc>
        <w:tc>
          <w:tcPr>
            <w:tcW w:w="1260" w:type="dxa"/>
            <w:vAlign w:val="bottom"/>
            <w:tcBorders>
              <w:bottom w:val="single" w:sz="8" w:color="auto"/>
            </w:tcBorders>
          </w:tcPr>
          <w:p>
            <w:pPr>
              <w:jc w:val="right"/>
              <w:ind w:right="107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5,770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674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Shares issued for purchase of noncontrolling interest</w:t>
            </w:r>
          </w:p>
        </w:tc>
        <w:tc>
          <w:tcPr>
            <w:tcW w:w="1240" w:type="dxa"/>
            <w:vAlign w:val="bottom"/>
            <w:tcBorders>
              <w:bottom w:val="single" w:sz="8" w:color="auto"/>
            </w:tcBorders>
            <w:shd w:val="clear" w:color="auto" w:fill="CFF0FC"/>
          </w:tcPr>
          <w:p>
            <w:pPr>
              <w:jc w:val="right"/>
              <w:ind w:right="107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2,379</w:t>
            </w:r>
          </w:p>
        </w:tc>
        <w:tc>
          <w:tcPr>
            <w:tcW w:w="3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07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7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Issuance of shares associated with contingent consideration</w:t>
            </w:r>
          </w:p>
        </w:tc>
        <w:tc>
          <w:tcPr>
            <w:tcW w:w="1240" w:type="dxa"/>
            <w:vAlign w:val="bottom"/>
            <w:tcBorders>
              <w:bottom w:val="single" w:sz="8" w:color="auto"/>
            </w:tcBorders>
          </w:tcPr>
          <w:p>
            <w:pPr>
              <w:jc w:val="right"/>
              <w:ind w:right="107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13,111</w:t>
            </w:r>
          </w:p>
        </w:tc>
        <w:tc>
          <w:tcPr>
            <w:tcW w:w="340" w:type="dxa"/>
            <w:vAlign w:val="bottom"/>
          </w:tcPr>
          <w:p>
            <w:pPr>
              <w:spacing w:after="0"/>
              <w:rPr>
                <w:sz w:val="15"/>
                <w:szCs w:val="15"/>
                <w:color w:val="auto"/>
              </w:rPr>
            </w:pPr>
          </w:p>
        </w:tc>
        <w:tc>
          <w:tcPr>
            <w:tcW w:w="1260" w:type="dxa"/>
            <w:vAlign w:val="bottom"/>
            <w:tcBorders>
              <w:bottom w:val="single" w:sz="8" w:color="auto"/>
            </w:tcBorders>
          </w:tcPr>
          <w:p>
            <w:pPr>
              <w:jc w:val="right"/>
              <w:ind w:right="107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12,673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674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Deferred share issuances</w:t>
            </w:r>
          </w:p>
        </w:tc>
        <w:tc>
          <w:tcPr>
            <w:tcW w:w="1240" w:type="dxa"/>
            <w:vAlign w:val="bottom"/>
            <w:tcBorders>
              <w:bottom w:val="single" w:sz="8" w:color="auto"/>
            </w:tcBorders>
            <w:shd w:val="clear" w:color="auto" w:fill="CFF0FC"/>
          </w:tcPr>
          <w:p>
            <w:pPr>
              <w:jc w:val="right"/>
              <w:ind w:right="107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07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1,835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7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Issuance of shares under business combinations</w:t>
            </w:r>
          </w:p>
        </w:tc>
        <w:tc>
          <w:tcPr>
            <w:tcW w:w="1240" w:type="dxa"/>
            <w:vAlign w:val="bottom"/>
            <w:tcBorders>
              <w:bottom w:val="single" w:sz="8" w:color="auto"/>
            </w:tcBorders>
          </w:tcPr>
          <w:p>
            <w:pPr>
              <w:jc w:val="right"/>
              <w:ind w:right="107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1,406</w:t>
            </w:r>
          </w:p>
        </w:tc>
        <w:tc>
          <w:tcPr>
            <w:tcW w:w="340" w:type="dxa"/>
            <w:vAlign w:val="bottom"/>
          </w:tcPr>
          <w:p>
            <w:pPr>
              <w:spacing w:after="0"/>
              <w:rPr>
                <w:sz w:val="15"/>
                <w:szCs w:val="15"/>
                <w:color w:val="auto"/>
              </w:rPr>
            </w:pPr>
          </w:p>
        </w:tc>
        <w:tc>
          <w:tcPr>
            <w:tcW w:w="1260" w:type="dxa"/>
            <w:vAlign w:val="bottom"/>
            <w:tcBorders>
              <w:bottom w:val="single" w:sz="8" w:color="auto"/>
            </w:tcBorders>
          </w:tcPr>
          <w:p>
            <w:pPr>
              <w:jc w:val="right"/>
              <w:ind w:right="107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7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Acquisitions</w:t>
            </w:r>
          </w:p>
        </w:tc>
        <w:tc>
          <w:tcPr>
            <w:tcW w:w="12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Inventory</w:t>
            </w:r>
          </w:p>
        </w:tc>
        <w:tc>
          <w:tcPr>
            <w:tcW w:w="1240" w:type="dxa"/>
            <w:vAlign w:val="bottom"/>
          </w:tcPr>
          <w:p>
            <w:pPr>
              <w:jc w:val="right"/>
              <w:ind w:right="10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340" w:type="dxa"/>
            <w:vAlign w:val="bottom"/>
          </w:tcPr>
          <w:p>
            <w:pPr>
              <w:spacing w:after="0"/>
              <w:rPr>
                <w:sz w:val="17"/>
                <w:szCs w:val="17"/>
                <w:color w:val="auto"/>
              </w:rPr>
            </w:pP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Accounts receivable</w:t>
            </w:r>
          </w:p>
        </w:tc>
        <w:tc>
          <w:tcPr>
            <w:tcW w:w="1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7"/>
                <w:szCs w:val="17"/>
                <w:color w:val="auto"/>
              </w:rPr>
              <w:t>(116 )</w:t>
            </w:r>
          </w:p>
        </w:tc>
        <w:tc>
          <w:tcPr>
            <w:tcW w:w="1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Prepaid assets</w:t>
            </w:r>
          </w:p>
        </w:tc>
        <w:tc>
          <w:tcPr>
            <w:tcW w:w="1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Property and equipment</w:t>
            </w:r>
          </w:p>
        </w:tc>
        <w:tc>
          <w:tcPr>
            <w:tcW w:w="12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Right of use assets</w:t>
            </w:r>
          </w:p>
        </w:tc>
        <w:tc>
          <w:tcPr>
            <w:tcW w:w="1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Identifiable intangible assets</w:t>
            </w:r>
          </w:p>
        </w:tc>
        <w:tc>
          <w:tcPr>
            <w:tcW w:w="12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14,143</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Goodwill</w:t>
            </w: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7,946</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Deposits and other assets</w:t>
            </w:r>
          </w:p>
        </w:tc>
        <w:tc>
          <w:tcPr>
            <w:tcW w:w="12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Liabilities assumed</w:t>
            </w:r>
          </w:p>
        </w:tc>
        <w:tc>
          <w:tcPr>
            <w:tcW w:w="1240" w:type="dxa"/>
            <w:vAlign w:val="bottom"/>
          </w:tcPr>
          <w:p>
            <w:pPr>
              <w:spacing w:after="0"/>
              <w:rPr>
                <w:sz w:val="17"/>
                <w:szCs w:val="17"/>
                <w:color w:val="auto"/>
              </w:rPr>
            </w:pPr>
          </w:p>
        </w:tc>
        <w:tc>
          <w:tcPr>
            <w:tcW w:w="1020" w:type="dxa"/>
            <w:vAlign w:val="bottom"/>
            <w:gridSpan w:val="2"/>
          </w:tcPr>
          <w:p>
            <w:pPr>
              <w:jc w:val="right"/>
              <w:ind w:right="198"/>
              <w:spacing w:after="0"/>
              <w:rPr>
                <w:sz w:val="20"/>
                <w:szCs w:val="20"/>
                <w:color w:val="auto"/>
              </w:rPr>
            </w:pPr>
            <w:r>
              <w:rPr>
                <w:rFonts w:ascii="Times New Roman" w:cs="Times New Roman" w:eastAsia="Times New Roman" w:hAnsi="Times New Roman"/>
                <w:sz w:val="17"/>
                <w:szCs w:val="17"/>
                <w:color w:val="auto"/>
              </w:rPr>
              <w:t>(466 )</w:t>
            </w:r>
          </w:p>
        </w:tc>
        <w:tc>
          <w:tcPr>
            <w:tcW w:w="12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Lease liabilities</w:t>
            </w:r>
          </w:p>
        </w:tc>
        <w:tc>
          <w:tcPr>
            <w:tcW w:w="1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7"/>
                <w:szCs w:val="17"/>
                <w:color w:val="auto"/>
              </w:rPr>
              <w:t>(743 )</w:t>
            </w:r>
          </w:p>
        </w:tc>
        <w:tc>
          <w:tcPr>
            <w:tcW w:w="1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17,735</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Equity interests issued</w:t>
            </w:r>
          </w:p>
        </w:tc>
        <w:tc>
          <w:tcPr>
            <w:tcW w:w="1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7"/>
                <w:szCs w:val="17"/>
                <w:color w:val="auto"/>
              </w:rPr>
              <w:t>(3,785 )</w:t>
            </w:r>
          </w:p>
        </w:tc>
        <w:tc>
          <w:tcPr>
            <w:tcW w:w="1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Fair value of previously held equity interest</w:t>
            </w:r>
          </w:p>
        </w:tc>
        <w:tc>
          <w:tcPr>
            <w:tcW w:w="1240" w:type="dxa"/>
            <w:vAlign w:val="bottom"/>
          </w:tcPr>
          <w:p>
            <w:pPr>
              <w:spacing w:after="0"/>
              <w:rPr>
                <w:sz w:val="17"/>
                <w:szCs w:val="17"/>
                <w:color w:val="auto"/>
              </w:rPr>
            </w:pPr>
          </w:p>
        </w:tc>
        <w:tc>
          <w:tcPr>
            <w:tcW w:w="1020" w:type="dxa"/>
            <w:vAlign w:val="bottom"/>
            <w:gridSpan w:val="2"/>
          </w:tcPr>
          <w:p>
            <w:pPr>
              <w:jc w:val="right"/>
              <w:ind w:right="198"/>
              <w:spacing w:after="0"/>
              <w:rPr>
                <w:sz w:val="20"/>
                <w:szCs w:val="20"/>
                <w:color w:val="auto"/>
              </w:rPr>
            </w:pPr>
            <w:r>
              <w:rPr>
                <w:rFonts w:ascii="Times New Roman" w:cs="Times New Roman" w:eastAsia="Times New Roman" w:hAnsi="Times New Roman"/>
                <w:sz w:val="17"/>
                <w:szCs w:val="17"/>
                <w:color w:val="auto"/>
              </w:rPr>
              <w:t>(14,500 )</w:t>
            </w:r>
          </w:p>
        </w:tc>
        <w:tc>
          <w:tcPr>
            <w:tcW w:w="12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Deferred cash</w:t>
            </w:r>
          </w:p>
        </w:tc>
        <w:tc>
          <w:tcPr>
            <w:tcW w:w="1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7"/>
                <w:szCs w:val="17"/>
                <w:color w:val="auto"/>
              </w:rPr>
              <w:t>(250 )</w:t>
            </w:r>
          </w:p>
        </w:tc>
        <w:tc>
          <w:tcPr>
            <w:tcW w:w="1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Settlement of noncontrolling interests</w:t>
            </w:r>
          </w:p>
        </w:tc>
        <w:tc>
          <w:tcPr>
            <w:tcW w:w="1240" w:type="dxa"/>
            <w:vAlign w:val="bottom"/>
          </w:tcPr>
          <w:p>
            <w:pPr>
              <w:spacing w:after="0"/>
              <w:rPr>
                <w:sz w:val="17"/>
                <w:szCs w:val="17"/>
                <w:color w:val="auto"/>
              </w:rPr>
            </w:pPr>
          </w:p>
        </w:tc>
        <w:tc>
          <w:tcPr>
            <w:tcW w:w="1020" w:type="dxa"/>
            <w:vAlign w:val="bottom"/>
            <w:gridSpan w:val="2"/>
          </w:tcPr>
          <w:p>
            <w:pPr>
              <w:jc w:val="right"/>
              <w:ind w:right="198"/>
              <w:spacing w:after="0"/>
              <w:rPr>
                <w:sz w:val="20"/>
                <w:szCs w:val="20"/>
                <w:color w:val="auto"/>
              </w:rPr>
            </w:pPr>
            <w:r>
              <w:rPr>
                <w:rFonts w:ascii="Times New Roman" w:cs="Times New Roman" w:eastAsia="Times New Roman" w:hAnsi="Times New Roman"/>
                <w:sz w:val="17"/>
                <w:szCs w:val="17"/>
                <w:color w:val="auto"/>
              </w:rPr>
              <w:t>(15,356 )</w:t>
            </w:r>
          </w:p>
        </w:tc>
        <w:tc>
          <w:tcPr>
            <w:tcW w:w="12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67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ind w:right="10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6,586</w:t>
            </w:r>
          </w:p>
        </w:tc>
        <w:tc>
          <w:tcPr>
            <w:tcW w:w="3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ind w:right="107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7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ADDITIONAL SUPPLEMENTAL INFORMATION</w:t>
            </w: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Decrease (increase) in fair value of investments</w:t>
            </w:r>
          </w:p>
        </w:tc>
        <w:tc>
          <w:tcPr>
            <w:tcW w:w="1240" w:type="dxa"/>
            <w:vAlign w:val="bottom"/>
            <w:shd w:val="clear" w:color="auto" w:fill="CFF0FC"/>
          </w:tcPr>
          <w:p>
            <w:pPr>
              <w:jc w:val="right"/>
              <w:ind w:right="10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9,455</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(392 )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Increase in fair value of equity method investments</w:t>
            </w:r>
          </w:p>
        </w:tc>
        <w:tc>
          <w:tcPr>
            <w:tcW w:w="1240" w:type="dxa"/>
            <w:vAlign w:val="bottom"/>
          </w:tcPr>
          <w:p>
            <w:pPr>
              <w:spacing w:after="0"/>
              <w:rPr>
                <w:sz w:val="17"/>
                <w:szCs w:val="17"/>
                <w:color w:val="auto"/>
              </w:rPr>
            </w:pPr>
          </w:p>
        </w:tc>
        <w:tc>
          <w:tcPr>
            <w:tcW w:w="1020" w:type="dxa"/>
            <w:vAlign w:val="bottom"/>
            <w:gridSpan w:val="2"/>
          </w:tcPr>
          <w:p>
            <w:pPr>
              <w:jc w:val="right"/>
              <w:ind w:right="198"/>
              <w:spacing w:after="0"/>
              <w:rPr>
                <w:sz w:val="20"/>
                <w:szCs w:val="20"/>
                <w:color w:val="auto"/>
              </w:rPr>
            </w:pPr>
            <w:r>
              <w:rPr>
                <w:rFonts w:ascii="Times New Roman" w:cs="Times New Roman" w:eastAsia="Times New Roman" w:hAnsi="Times New Roman"/>
                <w:sz w:val="17"/>
                <w:szCs w:val="17"/>
                <w:color w:val="auto"/>
              </w:rPr>
              <w:t>(14,119 )</w:t>
            </w:r>
          </w:p>
        </w:tc>
        <w:tc>
          <w:tcPr>
            <w:tcW w:w="12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TOTAL INCREASE IN FAIR VALUE OF INVESTMENTS</w:t>
            </w:r>
          </w:p>
        </w:tc>
        <w:tc>
          <w:tcPr>
            <w:tcW w:w="1240" w:type="dxa"/>
            <w:vAlign w:val="bottom"/>
            <w:tcBorders>
              <w:top w:val="single" w:sz="8" w:color="auto"/>
              <w:bottom w:val="single" w:sz="8" w:color="auto"/>
            </w:tcBorders>
            <w:shd w:val="clear" w:color="auto" w:fill="CFF0FC"/>
          </w:tcPr>
          <w:p>
            <w:pPr>
              <w:jc w:val="right"/>
              <w:ind w:right="10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(4,664</w:t>
            </w:r>
          </w:p>
        </w:tc>
        <w:tc>
          <w:tcPr>
            <w:tcW w:w="340" w:type="dxa"/>
            <w:vAlign w:val="bottom"/>
            <w:tcBorders>
              <w:bottom w:val="single" w:sz="8" w:color="CFF0FC"/>
            </w:tcBorders>
            <w:shd w:val="clear" w:color="auto" w:fill="CFF0FC"/>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bottom w:val="single" w:sz="8" w:color="auto"/>
            </w:tcBorders>
            <w:shd w:val="clear" w:color="auto" w:fill="CFF0FC"/>
          </w:tcPr>
          <w:p>
            <w:pPr>
              <w:jc w:val="right"/>
              <w:ind w:right="10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(392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-3573780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-3556635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-3573780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-3556635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-3265170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-3248025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-3265170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-3248025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-2956560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-2939415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-2956560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-2939415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-573405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-556260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-573405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-556260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189"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 and Basis of Presentation</w:t>
      </w:r>
    </w:p>
    <w:p>
      <w:pPr>
        <w:spacing w:after="0" w:line="319" w:lineRule="exact"/>
        <w:rPr>
          <w:rFonts w:ascii="Times New Roman" w:cs="Times New Roman" w:eastAsia="Times New Roman" w:hAnsi="Times New Roman"/>
          <w:sz w:val="18"/>
          <w:szCs w:val="18"/>
          <w:b w:val="1"/>
          <w:bCs w:val="1"/>
          <w:color w:val="auto"/>
        </w:rPr>
      </w:pPr>
    </w:p>
    <w:p>
      <w:pPr>
        <w:ind w:left="440" w:hanging="432"/>
        <w:spacing w:after="0"/>
        <w:tabs>
          <w:tab w:leader="none" w:pos="44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8" w:lineRule="exact"/>
        <w:rPr>
          <w:sz w:val="20"/>
          <w:szCs w:val="20"/>
          <w:color w:val="auto"/>
        </w:rPr>
      </w:pPr>
    </w:p>
    <w:p>
      <w:pPr>
        <w:ind w:left="520"/>
        <w:spacing w:after="0" w:line="246" w:lineRule="auto"/>
        <w:rPr>
          <w:sz w:val="20"/>
          <w:szCs w:val="20"/>
          <w:color w:val="auto"/>
        </w:rPr>
      </w:pPr>
      <w:r>
        <w:rPr>
          <w:rFonts w:ascii="Times New Roman" w:cs="Times New Roman" w:eastAsia="Times New Roman" w:hAnsi="Times New Roman"/>
          <w:sz w:val="18"/>
          <w:szCs w:val="18"/>
          <w:color w:val="auto"/>
        </w:rPr>
        <w:t>Green Thumb Industries Inc. (“Green Thumb” or the “Company”),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Beboe, Dogwalkers, Dr. Solomon’s, Good Green, incredibles, and RYTHM, to third-party retail stores across the United States as well as to Green Thumb owned retail cannabis stores. The Company also owns and operates retail cannabis stores that include a rapidly growing national chain named RISE, which sell our products and third-party products. As of March 31, 2022, Green Thumb has operations in fifteen markets (California, Colorado, Connecticut, Florida, Illinois, Maryland, Massachusetts, Minnesota, Nevada, New Jersey, New York, Ohio, Pennsylvania, Rhode Island and Virginia), employs approximately 4,000 people and serves hundreds of thousands of patients and customers annually.</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registered office is located at 250 Howe Street,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Vancouver, British Columbia, V6C 3R8. The Company’s U.S.</w:t>
      </w:r>
    </w:p>
    <w:p>
      <w:pPr>
        <w:ind w:left="520"/>
        <w:spacing w:after="0"/>
        <w:rPr>
          <w:sz w:val="20"/>
          <w:szCs w:val="20"/>
          <w:color w:val="auto"/>
        </w:rPr>
      </w:pPr>
      <w:r>
        <w:rPr>
          <w:rFonts w:ascii="Times New Roman" w:cs="Times New Roman" w:eastAsia="Times New Roman" w:hAnsi="Times New Roman"/>
          <w:sz w:val="18"/>
          <w:szCs w:val="18"/>
          <w:color w:val="auto"/>
        </w:rPr>
        <w:t>headquarters are at 325 W. Huron St., Suite 700, Chicago, IL 60654.</w:t>
      </w:r>
    </w:p>
    <w:p>
      <w:pPr>
        <w:spacing w:after="0" w:line="188"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08" w:lineRule="exact"/>
        <w:rPr>
          <w:sz w:val="20"/>
          <w:szCs w:val="20"/>
          <w:color w:val="auto"/>
        </w:rPr>
      </w:pPr>
    </w:p>
    <w:p>
      <w:pPr>
        <w:ind w:left="520" w:right="20"/>
        <w:spacing w:after="0" w:line="24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include the accounts of Green Thumb and have been prepared in accordance with accounting principles generally accepted in the United States (“GAAP”) for interim financial information and in accordance with the rules and regulations of the U.S. Securities &amp; Exchange Commission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2021, as amended (the "2021 Form 10-K”). In the opinion of management, the financial data presented includes all adjustments necessary to present fairly the financial position, results of operations and cash flows for the interim periods presented. Certain previously reported amounts have been reclassified between line items to conform to the current period presentation.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w:t>
      </w:r>
    </w:p>
    <w:p>
      <w:pPr>
        <w:spacing w:after="0" w:line="208"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as described in Note 2 of the 2021 Form 10-K.</w:t>
      </w:r>
    </w:p>
    <w:p>
      <w:pPr>
        <w:spacing w:after="0" w:line="194"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08" w:lineRule="exact"/>
        <w:rPr>
          <w:sz w:val="20"/>
          <w:szCs w:val="20"/>
          <w:color w:val="auto"/>
        </w:rPr>
      </w:pPr>
    </w:p>
    <w:p>
      <w:pPr>
        <w:ind w:left="520" w:right="20"/>
        <w:spacing w:after="0" w:line="245" w:lineRule="auto"/>
        <w:rPr>
          <w:sz w:val="20"/>
          <w:szCs w:val="20"/>
          <w:color w:val="auto"/>
        </w:rPr>
      </w:pPr>
      <w:r>
        <w:rPr>
          <w:rFonts w:ascii="Times New Roman" w:cs="Times New Roman" w:eastAsia="Times New Roman" w:hAnsi="Times New Roman"/>
          <w:sz w:val="18"/>
          <w:szCs w:val="18"/>
          <w:color w:val="auto"/>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March 31, 2022, the Company had 5,340,863 options, 306,724 restricted stock units and 3,835,278 warrants outstanding. As of March 31, 2021, the Company had 5,299,440 options, 592,535 restricted stock units and 2,294,523 warrants outstanding.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 w:name="page10"/>
    <w:bookmarkEnd w:id="9"/>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52" w:hanging="452"/>
        <w:spacing w:after="0"/>
        <w:tabs>
          <w:tab w:leader="none" w:pos="45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0"/>
          <w:szCs w:val="20"/>
          <w:color w:val="auto"/>
        </w:rPr>
      </w:pPr>
    </w:p>
    <w:p>
      <w:pPr>
        <w:ind w:left="452" w:hanging="452"/>
        <w:spacing w:after="0"/>
        <w:tabs>
          <w:tab w:leader="none" w:pos="45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Continued</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512" w:right="20"/>
        <w:spacing w:after="0" w:line="246" w:lineRule="auto"/>
        <w:rPr>
          <w:sz w:val="20"/>
          <w:szCs w:val="20"/>
          <w:color w:val="auto"/>
        </w:rPr>
      </w:pPr>
      <w:r>
        <w:rPr>
          <w:rFonts w:ascii="Times New Roman" w:cs="Times New Roman" w:eastAsia="Times New Roman" w:hAnsi="Times New Roman"/>
          <w:sz w:val="18"/>
          <w:szCs w:val="18"/>
          <w:color w:val="auto"/>
        </w:rPr>
        <w:t>In order to determine diluted earnings per share, it is assumed that any proceeds from the vesting of dilutive unvested restricted stock units, or exercise of unvested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 For the three months ended March 31, 2022, the computation of diluted earnings per share included 1,699,469 options, 183,763 restricted stock units and 503,241 warrants. For the three months ended March 31, 2021, the computation of diluted earnings per share included 3,702,372 options, 431,220 restricted stock units and 1,272,136 warrants. For the three months ended March 31, 2022 and 2021, the weighted average number of anti-dilutive stock options excluded from the computation of diluted earnings per share were 842,033 and 23,887, respectively.</w:t>
      </w:r>
    </w:p>
    <w:p>
      <w:pPr>
        <w:spacing w:after="0" w:line="162" w:lineRule="exact"/>
        <w:rPr>
          <w:sz w:val="20"/>
          <w:szCs w:val="20"/>
          <w:color w:val="auto"/>
        </w:rPr>
      </w:pPr>
    </w:p>
    <w:p>
      <w:pPr>
        <w:ind w:left="432" w:hanging="432"/>
        <w:spacing w:after="0"/>
        <w:tabs>
          <w:tab w:leader="none" w:pos="43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Adopted Accounting Standards</w:t>
      </w:r>
    </w:p>
    <w:p>
      <w:pPr>
        <w:spacing w:after="0" w:line="212" w:lineRule="exact"/>
        <w:rPr>
          <w:sz w:val="20"/>
          <w:szCs w:val="20"/>
          <w:color w:val="auto"/>
        </w:rPr>
      </w:pPr>
    </w:p>
    <w:p>
      <w:pPr>
        <w:ind w:left="512" w:right="140"/>
        <w:spacing w:after="0" w:line="262" w:lineRule="auto"/>
        <w:rPr>
          <w:sz w:val="20"/>
          <w:szCs w:val="20"/>
          <w:color w:val="auto"/>
        </w:rPr>
      </w:pPr>
      <w:r>
        <w:rPr>
          <w:rFonts w:ascii="Times New Roman" w:cs="Times New Roman" w:eastAsia="Times New Roman" w:hAnsi="Times New Roman"/>
          <w:sz w:val="17"/>
          <w:szCs w:val="17"/>
          <w:color w:val="auto"/>
        </w:rPr>
        <w:t>In August 2020, the Financial Accounting Standards Board (“FASB”</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issued Accounting Standards Updated (“ASU”) 2020-06, Debt—Debt with Conversion and Other Options (Subtopic 470-20) and Derivatives and Hedging—Contracts in Entity’s Own Equity (Subtopic 815-40): Accounting for Convertible Instruments and Contracts in an Entity’s Own Equity, to improve financial reporting associated with accounting for convertible instruments and contracts in an entity’s own equity. The amendments in this update are effective for public business entities for fiscal years beginning after December 15, 2021, including interim periods within those fiscal years. The Company adopted ASU 2020-06 on January 1, 2022. The adoption of the standard did not have a material impact on the Company's unaudited interim condensed consolidated financial statements.</w:t>
      </w:r>
    </w:p>
    <w:p>
      <w:pPr>
        <w:spacing w:after="0" w:line="164" w:lineRule="exact"/>
        <w:rPr>
          <w:sz w:val="20"/>
          <w:szCs w:val="20"/>
          <w:color w:val="auto"/>
        </w:rPr>
      </w:pPr>
    </w:p>
    <w:p>
      <w:pPr>
        <w:ind w:left="412" w:hanging="412"/>
        <w:spacing w:after="0"/>
        <w:tabs>
          <w:tab w:leader="none" w:pos="41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08" w:lineRule="exact"/>
        <w:rPr>
          <w:sz w:val="20"/>
          <w:szCs w:val="20"/>
          <w:color w:val="auto"/>
        </w:rPr>
      </w:pPr>
    </w:p>
    <w:p>
      <w:pPr>
        <w:ind w:left="512" w:right="140"/>
        <w:spacing w:after="0" w:line="282" w:lineRule="auto"/>
        <w:rPr>
          <w:sz w:val="20"/>
          <w:szCs w:val="20"/>
          <w:color w:val="auto"/>
        </w:rPr>
      </w:pPr>
      <w:r>
        <w:rPr>
          <w:rFonts w:ascii="Times New Roman" w:cs="Times New Roman" w:eastAsia="Times New Roman" w:hAnsi="Times New Roman"/>
          <w:sz w:val="18"/>
          <w:szCs w:val="18"/>
          <w:color w:val="auto"/>
        </w:rPr>
        <w:t>The Company reviews recently issued accounting standards on a quarterly basis and has determined there are no standards yet to be adopted which are relevant to the business for disclosure.</w:t>
      </w:r>
    </w:p>
    <w:p>
      <w:pPr>
        <w:spacing w:after="0" w:line="131" w:lineRule="exact"/>
        <w:rPr>
          <w:sz w:val="20"/>
          <w:szCs w:val="20"/>
          <w:color w:val="auto"/>
        </w:rPr>
      </w:pPr>
    </w:p>
    <w:p>
      <w:pPr>
        <w:ind w:left="432" w:hanging="432"/>
        <w:spacing w:after="0"/>
        <w:tabs>
          <w:tab w:leader="none" w:pos="43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Coronavirus Pandemic</w:t>
      </w:r>
    </w:p>
    <w:p>
      <w:pPr>
        <w:spacing w:after="0" w:line="121" w:lineRule="exact"/>
        <w:rPr>
          <w:sz w:val="20"/>
          <w:szCs w:val="20"/>
          <w:color w:val="auto"/>
        </w:rPr>
      </w:pPr>
    </w:p>
    <w:p>
      <w:pPr>
        <w:ind w:left="512" w:right="220"/>
        <w:spacing w:after="0" w:line="245" w:lineRule="auto"/>
        <w:rPr>
          <w:sz w:val="20"/>
          <w:szCs w:val="20"/>
          <w:color w:val="auto"/>
        </w:rPr>
      </w:pPr>
      <w:r>
        <w:rPr>
          <w:rFonts w:ascii="Times New Roman" w:cs="Times New Roman" w:eastAsia="Times New Roman" w:hAnsi="Times New Roman"/>
          <w:sz w:val="18"/>
          <w:szCs w:val="18"/>
          <w:color w:val="auto"/>
        </w:rPr>
        <w:t>In March 2020, the World Health Organization categorized coronavirus disease 2019 (together with its variants, “COVID-19”) as a pandemic. 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w:t>
      </w:r>
    </w:p>
    <w:p>
      <w:pPr>
        <w:spacing w:after="0" w:line="194" w:lineRule="exact"/>
        <w:rPr>
          <w:sz w:val="20"/>
          <w:szCs w:val="20"/>
          <w:color w:val="auto"/>
        </w:rPr>
      </w:pPr>
    </w:p>
    <w:p>
      <w:pPr>
        <w:ind w:left="512"/>
        <w:spacing w:after="0" w:line="242" w:lineRule="auto"/>
        <w:rPr>
          <w:sz w:val="20"/>
          <w:szCs w:val="20"/>
          <w:color w:val="auto"/>
        </w:rPr>
      </w:pPr>
      <w:r>
        <w:rPr>
          <w:rFonts w:ascii="Times New Roman" w:cs="Times New Roman" w:eastAsia="Times New Roman" w:hAnsi="Times New Roman"/>
          <w:sz w:val="18"/>
          <w:szCs w:val="18"/>
          <w:color w:val="auto"/>
        </w:rPr>
        <w:t>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 amounts of revenue and expenses during the periods presented. Such estimates and assumptions affect, among other things, the Company’s goodwill; long-lived assets and intangible assets; operating lease right of use assets and operating lease liabilities; valuation of deferred income taxes; the allowance for doubtful accounts; assessment of the Company’s lease and non-lease contract expenses; and measurement of compensation cost for bonus and other compensation plans. While the Company’s revenue, gross profit and operating income were not impacted during the first three months of 2022, the uncertain nature of the spread of COVID-19 and the uncertainty of the impact of nationwide vaccine programs may impact the Company’s business operations for reasons including the potential quarantine of the Company’s employees or those of its supply chain partners.</w:t>
      </w: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0" w:name="page11"/>
    <w:bookmarkEnd w:id="1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540" w:hanging="19"/>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44"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inventories include the following at March 31, 2022 and December 31, 2021:</w:t>
      </w: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w w:val="99"/>
              </w:rPr>
              <w:t>March 31, 2022</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9"/>
        </w:trPr>
        <w:tc>
          <w:tcPr>
            <w:tcW w:w="3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w:t>
            </w: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85"/>
              </w:rPr>
              <w:t>thousands)</w:t>
            </w:r>
          </w:p>
        </w:tc>
        <w:tc>
          <w:tcPr>
            <w:tcW w:w="1860" w:type="dxa"/>
            <w:vAlign w:val="bottom"/>
            <w:tcBorders>
              <w:bottom w:val="single" w:sz="8" w:color="auto"/>
            </w:tcBorders>
          </w:tcPr>
          <w:p>
            <w:pPr>
              <w:spacing w:after="0"/>
              <w:rPr>
                <w:sz w:val="17"/>
                <w:szCs w:val="17"/>
                <w:color w:val="auto"/>
              </w:rPr>
            </w:pPr>
          </w:p>
        </w:tc>
      </w:tr>
      <w:tr>
        <w:trPr>
          <w:trHeight w:val="19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5,278</w:t>
            </w:r>
          </w:p>
        </w:tc>
      </w:tr>
      <w:tr>
        <w:trPr>
          <w:trHeight w:val="20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Packaging and Miscellaneous</w:t>
            </w: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8,622</w:t>
            </w:r>
          </w:p>
        </w:tc>
      </w:tr>
      <w:tr>
        <w:trPr>
          <w:trHeight w:val="20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13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44,112</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42,403</w:t>
            </w:r>
          </w:p>
        </w:tc>
      </w:tr>
      <w:tr>
        <w:trPr>
          <w:trHeight w:val="20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52,462</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41,069</w:t>
            </w:r>
          </w:p>
        </w:tc>
      </w:tr>
      <w:tr>
        <w:trPr>
          <w:trHeight w:val="203"/>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Reserve for Obsolete Inventory</w:t>
            </w:r>
          </w:p>
        </w:tc>
        <w:tc>
          <w:tcPr>
            <w:tcW w:w="138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w:t>
            </w:r>
          </w:p>
        </w:tc>
      </w:tr>
      <w:tr>
        <w:trPr>
          <w:trHeight w:val="196"/>
        </w:trPr>
        <w:tc>
          <w:tcPr>
            <w:tcW w:w="3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109,701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95,471</w:t>
            </w:r>
          </w:p>
        </w:tc>
      </w:tr>
      <w:tr>
        <w:trPr>
          <w:trHeight w:val="20"/>
        </w:trPr>
        <w:tc>
          <w:tcPr>
            <w:tcW w:w="3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-162560</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49"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and December 31, 2021, property and equipment consisted of the following:</w:t>
      </w:r>
    </w:p>
    <w:p>
      <w:pPr>
        <w:spacing w:after="0" w:line="255" w:lineRule="exact"/>
        <w:rPr>
          <w:sz w:val="20"/>
          <w:szCs w:val="20"/>
          <w:color w:val="auto"/>
        </w:rPr>
      </w:pPr>
    </w:p>
    <w:tbl>
      <w:tblPr>
        <w:tblLayout w:type="fixed"/>
        <w:tblInd w:w="960" w:type="dxa"/>
        <w:tblCellMar>
          <w:top w:w="0" w:type="dxa"/>
          <w:left w:w="0" w:type="dxa"/>
          <w:bottom w:w="0" w:type="dxa"/>
          <w:right w:w="0" w:type="dxa"/>
        </w:tblCellMar>
      </w:tblPr>
      <w:tr>
        <w:trPr>
          <w:trHeight w:val="215"/>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w:t>
            </w: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85"/>
              </w:rPr>
              <w:t>thousands)</w:t>
            </w:r>
          </w:p>
        </w:tc>
        <w:tc>
          <w:tcPr>
            <w:tcW w:w="1840" w:type="dxa"/>
            <w:vAlign w:val="bottom"/>
            <w:tcBorders>
              <w:bottom w:val="single" w:sz="8" w:color="auto"/>
            </w:tcBorders>
          </w:tcPr>
          <w:p>
            <w:pPr>
              <w:spacing w:after="0"/>
              <w:rPr>
                <w:sz w:val="18"/>
                <w:szCs w:val="18"/>
                <w:color w:val="auto"/>
              </w:rPr>
            </w:pPr>
          </w:p>
        </w:tc>
      </w:tr>
      <w:tr>
        <w:trPr>
          <w:trHeight w:val="200"/>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114,946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101,283</w:t>
            </w:r>
          </w:p>
        </w:tc>
      </w:tr>
      <w:tr>
        <w:trPr>
          <w:trHeight w:val="20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Computers and Furniture</w:t>
            </w:r>
          </w:p>
        </w:tc>
        <w:tc>
          <w:tcPr>
            <w:tcW w:w="116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96,935</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83,281</w:t>
            </w:r>
          </w:p>
        </w:tc>
      </w:tr>
      <w:tr>
        <w:trPr>
          <w:trHeight w:val="203"/>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160" w:type="dxa"/>
            <w:vAlign w:val="bottom"/>
            <w:shd w:val="clear" w:color="auto" w:fill="CFF0FC"/>
          </w:tcPr>
          <w:p>
            <w:pPr>
              <w:spacing w:after="0"/>
              <w:rPr>
                <w:sz w:val="17"/>
                <w:szCs w:val="17"/>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126,092</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114,303</w:t>
            </w:r>
          </w:p>
        </w:tc>
      </w:tr>
      <w:tr>
        <w:trPr>
          <w:trHeight w:val="20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Improvements</w:t>
            </w:r>
          </w:p>
        </w:tc>
        <w:tc>
          <w:tcPr>
            <w:tcW w:w="116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03"/>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1160" w:type="dxa"/>
            <w:vAlign w:val="bottom"/>
            <w:tcBorders>
              <w:bottom w:val="single" w:sz="8" w:color="CFF0FC"/>
            </w:tcBorders>
            <w:shd w:val="clear" w:color="auto" w:fill="CFF0FC"/>
          </w:tcPr>
          <w:p>
            <w:pPr>
              <w:spacing w:after="0"/>
              <w:rPr>
                <w:sz w:val="17"/>
                <w:szCs w:val="17"/>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8,281</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6,523</w:t>
            </w: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Property and Equipment</w:t>
            </w:r>
          </w:p>
        </w:tc>
        <w:tc>
          <w:tcPr>
            <w:tcW w:w="116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346,861</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305,997</w:t>
            </w:r>
          </w:p>
        </w:tc>
      </w:tr>
      <w:tr>
        <w:trPr>
          <w:trHeight w:val="203"/>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160" w:type="dxa"/>
            <w:vAlign w:val="bottom"/>
            <w:tcBorders>
              <w:bottom w:val="single" w:sz="8" w:color="CFF0FC"/>
            </w:tcBorders>
            <w:shd w:val="clear" w:color="auto" w:fill="CFF0FC"/>
          </w:tcPr>
          <w:p>
            <w:pPr>
              <w:spacing w:after="0"/>
              <w:rPr>
                <w:sz w:val="17"/>
                <w:szCs w:val="17"/>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(53,175)</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(45,198)</w:t>
            </w: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160" w:type="dxa"/>
            <w:vAlign w:val="bottom"/>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293,686</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260,799</w:t>
            </w:r>
          </w:p>
        </w:tc>
      </w:tr>
      <w:tr>
        <w:trPr>
          <w:trHeight w:val="19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160" w:type="dxa"/>
            <w:vAlign w:val="bottom"/>
            <w:shd w:val="clear" w:color="auto" w:fill="CFF0FC"/>
          </w:tcPr>
          <w:p>
            <w:pPr>
              <w:spacing w:after="0"/>
              <w:rPr>
                <w:sz w:val="17"/>
                <w:szCs w:val="17"/>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20,258</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20,258</w:t>
            </w:r>
          </w:p>
        </w:tc>
      </w:tr>
      <w:tr>
        <w:trPr>
          <w:trHeight w:val="20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Under Construction</w:t>
            </w:r>
          </w:p>
        </w:tc>
        <w:tc>
          <w:tcPr>
            <w:tcW w:w="1160" w:type="dxa"/>
            <w:vAlign w:val="bottom"/>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139,170</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128,017</w:t>
            </w:r>
          </w:p>
        </w:tc>
      </w:tr>
      <w:tr>
        <w:trPr>
          <w:trHeight w:val="236"/>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453,114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shd w:val="clear" w:color="auto" w:fill="CFF0FC"/>
          </w:tcPr>
          <w:p>
            <w:pPr>
              <w:spacing w:after="0"/>
              <w:rPr>
                <w:sz w:val="20"/>
                <w:szCs w:val="20"/>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409,074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-830580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-565150</wp:posOffset>
            </wp:positionV>
            <wp:extent cx="137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137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137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Assets under construction represent construction in progress related to both cultivation and dispensary facilities not yet completed or otherwise not ready for use.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2022 totaled $8,048 thousand, of which $5,046 thousand, is included in cost of goods sold.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2021 totaled $4,767 thousand, of which $2,869 thousand, is included in cost of goods sold.</w:t>
      </w:r>
    </w:p>
    <w:p>
      <w:pPr>
        <w:spacing w:after="0" w:line="200" w:lineRule="exact"/>
        <w:rPr>
          <w:sz w:val="20"/>
          <w:szCs w:val="20"/>
          <w:color w:val="auto"/>
        </w:rPr>
      </w:pPr>
    </w:p>
    <w:p>
      <w:pPr>
        <w:spacing w:after="0" w:line="2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16"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The Company has determined that the below acquisitions are business combinations under Accounting Standards Codification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They are accounted for by applying the acquisition method, whereby the assets acquired and the liabilities assumed are recorded at their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with any excess of the aggregate consideration over the fair values of the identifiable net assets allocated to goodwill. Operating results have been included in these unaudited interim condensed consolidated financial statements from the date of the acquisition. Supplemental pro forma financial information has not been presented as the impact was not material to the Company's consolidated financial statements. The goodwill recorded primarily includes the expected synergies resulting from combining the operations of the acquired entity with those of the Company.</w:t>
      </w:r>
    </w:p>
    <w:p>
      <w:pPr>
        <w:spacing w:after="0" w:line="164"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ILDISP, LLC</w:t>
      </w:r>
    </w:p>
    <w:p>
      <w:pPr>
        <w:spacing w:after="0" w:line="243" w:lineRule="exact"/>
        <w:rPr>
          <w:sz w:val="20"/>
          <w:szCs w:val="20"/>
          <w:color w:val="auto"/>
        </w:rPr>
      </w:pPr>
    </w:p>
    <w:p>
      <w:pPr>
        <w:jc w:val="both"/>
        <w:ind w:left="520"/>
        <w:spacing w:after="0" w:line="246" w:lineRule="auto"/>
        <w:rPr>
          <w:sz w:val="20"/>
          <w:szCs w:val="20"/>
          <w:color w:val="auto"/>
        </w:rPr>
      </w:pPr>
      <w:r>
        <w:rPr>
          <w:rFonts w:ascii="Times New Roman" w:cs="Times New Roman" w:eastAsia="Times New Roman" w:hAnsi="Times New Roman"/>
          <w:sz w:val="18"/>
          <w:szCs w:val="18"/>
          <w:color w:val="auto"/>
        </w:rPr>
        <w:t>On March 1, 2022, the Company acquired the remaining 50% ownership interests of ILDISP, LLC (“ILDISP”) from the Company's former membership interest partner for the purposes of expanding the Company's operational capacity in the Illinois market. Prior to March 1, 2022, one of the two dispensaries owned by ILDISP, RISE Effingham, was consolidated by Green Thumb as the Company was determined to be the primary beneficiary of the variable interest entity. The other retail dispensary was accounted for as an equity method investment given the Company's 50% ownership interest, and its ability to significantly influence the dispensaries operations.</w:t>
      </w:r>
    </w:p>
    <w:p>
      <w:pPr>
        <w:spacing w:after="0" w:line="168"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total consideration exchanged included $18,868 thousand in cash, which included $250 thousand in deferred consideration, along with 204,036 Subordinate Voting Shares valued at $3,785 thousand, based on the fair value of the securities on their date of issuance, which was the closing price of Green Thumb's Subordinate Voting Shares as traded on the Canadian Securities Exchange (“CSE”) on the date of the transaction.</w:t>
      </w:r>
    </w:p>
    <w:p>
      <w:pPr>
        <w:spacing w:after="0" w:line="169" w:lineRule="exact"/>
        <w:rPr>
          <w:sz w:val="20"/>
          <w:szCs w:val="20"/>
          <w:color w:val="auto"/>
        </w:rPr>
      </w:pPr>
    </w:p>
    <w:p>
      <w:pPr>
        <w:ind w:left="520" w:right="120"/>
        <w:spacing w:after="0" w:line="250" w:lineRule="auto"/>
        <w:rPr>
          <w:sz w:val="20"/>
          <w:szCs w:val="20"/>
          <w:color w:val="auto"/>
        </w:rPr>
      </w:pPr>
      <w:r>
        <w:rPr>
          <w:rFonts w:ascii="Times New Roman" w:cs="Times New Roman" w:eastAsia="Times New Roman" w:hAnsi="Times New Roman"/>
          <w:sz w:val="18"/>
          <w:szCs w:val="18"/>
          <w:color w:val="auto"/>
        </w:rPr>
        <w:t>The Company allocated the total consideration exchanged to each of the acquired retail dispensaries. Accordingly, the consideration allocated to RISE Effingham was approximately $11,857 thousand in cash along with 128,217 Subordinate Voting Shares of Green Thumb that had a fair value of $2,379 thousand. The remaining equity associated with the Company's purchase of the noncontrolling interest was closed to contributed surplus (deficit) of Green Thumb as of March 1, 2022.</w:t>
      </w:r>
    </w:p>
    <w:p>
      <w:pPr>
        <w:spacing w:after="0" w:line="164" w:lineRule="exact"/>
        <w:rPr>
          <w:sz w:val="20"/>
          <w:szCs w:val="20"/>
          <w:color w:val="auto"/>
        </w:rPr>
      </w:pPr>
    </w:p>
    <w:p>
      <w:pPr>
        <w:ind w:left="520" w:right="80"/>
        <w:spacing w:after="0" w:line="245" w:lineRule="auto"/>
        <w:rPr>
          <w:sz w:val="20"/>
          <w:szCs w:val="20"/>
          <w:color w:val="auto"/>
        </w:rPr>
      </w:pPr>
      <w:r>
        <w:rPr>
          <w:rFonts w:ascii="Times New Roman" w:cs="Times New Roman" w:eastAsia="Times New Roman" w:hAnsi="Times New Roman"/>
          <w:sz w:val="18"/>
          <w:szCs w:val="18"/>
          <w:color w:val="auto"/>
        </w:rPr>
        <w:t>The equity method investment associated with the other dispensary owned by ILDISP was remeasured at fair value of $14,500 thousand as of the date of the transaction, and resulted in a gain on the fair value of the equity method investment of $14,119 thousand, which was recorded in other income (expense) on the unaudited interim condensed consolidated statement of operations. In addition, the Company allocated consideration of $7,011 thousand in cash along with 75,818 Subordinate Voting Shares of Green Thumb, with a fair value of $1,406 thousand. After completing the preliminary allocation of the aggregate consideration exchanged for the assets acquired and liabilities assumed, the Company recorded a license intangible asset of $14,143 thousand and non-tax deductible goodwill of $7,956 thousand. The weighted average amortization period for the license intangible was 15 years. Acquisition related expenses associated with the transaction were not material.</w:t>
      </w:r>
    </w:p>
    <w:p>
      <w:pPr>
        <w:spacing w:after="0" w:line="181" w:lineRule="exact"/>
        <w:rPr>
          <w:sz w:val="20"/>
          <w:szCs w:val="20"/>
          <w:color w:val="auto"/>
        </w:rPr>
      </w:pPr>
    </w:p>
    <w:p>
      <w:pPr>
        <w:ind w:left="520" w:right="160"/>
        <w:spacing w:after="0" w:line="250" w:lineRule="auto"/>
        <w:rPr>
          <w:sz w:val="20"/>
          <w:szCs w:val="20"/>
          <w:color w:val="auto"/>
        </w:rPr>
      </w:pPr>
      <w:r>
        <w:rPr>
          <w:rFonts w:ascii="Times New Roman" w:cs="Times New Roman" w:eastAsia="Times New Roman" w:hAnsi="Times New Roman"/>
          <w:sz w:val="18"/>
          <w:szCs w:val="18"/>
          <w:color w:val="auto"/>
        </w:rPr>
        <w:t>The preliminary valuation was based on management's estimates and assumptions which are subject to change within the purchase price allocation period (generally one year from the acquisition date). The primary areas of the purchase price allocation that are not yet finalized relate to the valuation of the intangible asset acquired, the previously held equity method investment, and the residual goodwill.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24"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38"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20" w:right="80"/>
        <w:spacing w:after="0" w:line="245"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2022 and December 31, 2021, intangible assets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right"/>
              <w:ind w:right="8"/>
              <w:spacing w:after="0" w:line="14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00" w:type="dxa"/>
            <w:vAlign w:val="bottom"/>
          </w:tcPr>
          <w:p>
            <w:pPr>
              <w:spacing w:after="0"/>
              <w:rPr>
                <w:sz w:val="12"/>
                <w:szCs w:val="12"/>
                <w:color w:val="auto"/>
              </w:rPr>
            </w:pPr>
          </w:p>
        </w:tc>
        <w:tc>
          <w:tcPr>
            <w:tcW w:w="1080" w:type="dxa"/>
            <w:vAlign w:val="bottom"/>
          </w:tcPr>
          <w:p>
            <w:pPr>
              <w:jc w:val="right"/>
              <w:ind w:right="88"/>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32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Licenses and Permits</w:t>
            </w: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670,043</w:t>
            </w:r>
          </w:p>
        </w:tc>
        <w:tc>
          <w:tcPr>
            <w:tcW w:w="3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80,835</w:t>
            </w:r>
          </w:p>
        </w:tc>
        <w:tc>
          <w:tcPr>
            <w:tcW w:w="3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589,208</w:t>
            </w:r>
          </w:p>
        </w:tc>
        <w:tc>
          <w:tcPr>
            <w:tcW w:w="3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655,900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69,812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586,088</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8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98,936</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28,017</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70,919</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98,936</w:t>
            </w:r>
          </w:p>
        </w:tc>
        <w:tc>
          <w:tcPr>
            <w:tcW w:w="2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8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24,438</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13,621</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24,438</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9,944</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14,494</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Non-Competition Agreements</w:t>
            </w:r>
          </w:p>
        </w:tc>
        <w:tc>
          <w:tcPr>
            <w:tcW w:w="8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2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82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795,982</w:t>
            </w:r>
          </w:p>
        </w:tc>
        <w:tc>
          <w:tcPr>
            <w:tcW w:w="30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121,290</w:t>
            </w:r>
          </w:p>
        </w:tc>
        <w:tc>
          <w:tcPr>
            <w:tcW w:w="30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674,692</w:t>
            </w:r>
          </w:p>
        </w:tc>
        <w:tc>
          <w:tcPr>
            <w:tcW w:w="320" w:type="dxa"/>
            <w:vAlign w:val="bottom"/>
            <w:tcBorders>
              <w:bottom w:val="single" w:sz="8" w:color="CFF0FC"/>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781,839</w:t>
            </w:r>
          </w:p>
        </w:tc>
        <w:tc>
          <w:tcPr>
            <w:tcW w:w="2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106,348</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675,491</w:t>
            </w: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-24765</wp:posOffset>
            </wp:positionV>
            <wp:extent cx="342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342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-24765</wp:posOffset>
            </wp:positionV>
            <wp:extent cx="34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342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342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260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260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260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260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-24765</wp:posOffset>
            </wp:positionV>
            <wp:extent cx="260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18" w:lineRule="exact"/>
        <w:rPr>
          <w:sz w:val="20"/>
          <w:szCs w:val="20"/>
          <w:color w:val="auto"/>
        </w:rPr>
      </w:pPr>
    </w:p>
    <w:p>
      <w:pPr>
        <w:ind w:left="520" w:right="380"/>
        <w:spacing w:after="0" w:line="266" w:lineRule="auto"/>
        <w:rPr>
          <w:sz w:val="20"/>
          <w:szCs w:val="20"/>
          <w:color w:val="auto"/>
        </w:rPr>
      </w:pPr>
      <w:r>
        <w:rPr>
          <w:rFonts w:ascii="Times New Roman" w:cs="Times New Roman" w:eastAsia="Times New Roman" w:hAnsi="Times New Roman"/>
          <w:sz w:val="18"/>
          <w:szCs w:val="18"/>
          <w:color w:val="auto"/>
        </w:rPr>
        <w:t>The Company recorded amortization expense for the three months ended March 31, 2022 and 2021 of $14,942 thousand and $10,227 thousand,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March 31, 2022:</w:t>
      </w:r>
    </w:p>
    <w:p>
      <w:pPr>
        <w:spacing w:after="0" w:line="206"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3"/>
                <w:szCs w:val="13"/>
                <w:color w:val="auto"/>
              </w:rPr>
            </w:pPr>
          </w:p>
        </w:tc>
      </w:tr>
      <w:tr>
        <w:trPr>
          <w:trHeight w:val="187"/>
        </w:trPr>
        <w:tc>
          <w:tcPr>
            <w:tcW w:w="2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6"/>
                <w:szCs w:val="16"/>
                <w:color w:val="auto"/>
              </w:rPr>
            </w:pPr>
          </w:p>
        </w:tc>
      </w:tr>
      <w:tr>
        <w:trPr>
          <w:trHeight w:val="16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500" w:type="dxa"/>
            <w:vAlign w:val="bottom"/>
          </w:tcPr>
          <w:p>
            <w:pPr>
              <w:spacing w:after="0"/>
              <w:rPr>
                <w:sz w:val="14"/>
                <w:szCs w:val="1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r>
      <w:tr>
        <w:trPr>
          <w:trHeight w:val="19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Remainder of 2022</w:t>
            </w: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45,291</w:t>
            </w:r>
          </w:p>
        </w:tc>
        <w:tc>
          <w:tcPr>
            <w:tcW w:w="80" w:type="dxa"/>
            <w:vAlign w:val="bottom"/>
            <w:shd w:val="clear" w:color="auto" w:fill="CFF0FC"/>
          </w:tcPr>
          <w:p>
            <w:pPr>
              <w:spacing w:after="0"/>
              <w:rPr>
                <w:sz w:val="17"/>
                <w:szCs w:val="17"/>
                <w:color w:val="auto"/>
              </w:rPr>
            </w:pP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500" w:type="dxa"/>
            <w:vAlign w:val="bottom"/>
          </w:tcPr>
          <w:p>
            <w:pPr>
              <w:spacing w:after="0"/>
              <w:rPr>
                <w:sz w:val="17"/>
                <w:szCs w:val="17"/>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60,388</w:t>
            </w:r>
          </w:p>
        </w:tc>
        <w:tc>
          <w:tcPr>
            <w:tcW w:w="80" w:type="dxa"/>
            <w:vAlign w:val="bottom"/>
          </w:tcPr>
          <w:p>
            <w:pPr>
              <w:spacing w:after="0"/>
              <w:rPr>
                <w:sz w:val="17"/>
                <w:szCs w:val="17"/>
                <w:color w:val="auto"/>
              </w:rPr>
            </w:pPr>
          </w:p>
        </w:tc>
      </w:tr>
      <w:tr>
        <w:trPr>
          <w:trHeight w:val="203"/>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500" w:type="dxa"/>
            <w:vAlign w:val="bottom"/>
            <w:shd w:val="clear" w:color="auto" w:fill="CFF0FC"/>
          </w:tcPr>
          <w:p>
            <w:pPr>
              <w:spacing w:after="0"/>
              <w:rPr>
                <w:sz w:val="17"/>
                <w:szCs w:val="17"/>
                <w:color w:val="auto"/>
              </w:rPr>
            </w:pP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59,807</w:t>
            </w:r>
          </w:p>
        </w:tc>
        <w:tc>
          <w:tcPr>
            <w:tcW w:w="80" w:type="dxa"/>
            <w:vAlign w:val="bottom"/>
            <w:shd w:val="clear" w:color="auto" w:fill="CFF0FC"/>
          </w:tcPr>
          <w:p>
            <w:pPr>
              <w:spacing w:after="0"/>
              <w:rPr>
                <w:sz w:val="17"/>
                <w:szCs w:val="17"/>
                <w:color w:val="auto"/>
              </w:rPr>
            </w:pP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500" w:type="dxa"/>
            <w:vAlign w:val="bottom"/>
          </w:tcPr>
          <w:p>
            <w:pPr>
              <w:spacing w:after="0"/>
              <w:rPr>
                <w:sz w:val="17"/>
                <w:szCs w:val="17"/>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59,709</w:t>
            </w:r>
          </w:p>
        </w:tc>
        <w:tc>
          <w:tcPr>
            <w:tcW w:w="80" w:type="dxa"/>
            <w:vAlign w:val="bottom"/>
          </w:tcPr>
          <w:p>
            <w:pPr>
              <w:spacing w:after="0"/>
              <w:rPr>
                <w:sz w:val="17"/>
                <w:szCs w:val="17"/>
                <w:color w:val="auto"/>
              </w:rPr>
            </w:pPr>
          </w:p>
        </w:tc>
      </w:tr>
      <w:tr>
        <w:trPr>
          <w:trHeight w:val="203"/>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500" w:type="dxa"/>
            <w:vAlign w:val="bottom"/>
            <w:shd w:val="clear" w:color="auto" w:fill="CFF0FC"/>
          </w:tcPr>
          <w:p>
            <w:pPr>
              <w:spacing w:after="0"/>
              <w:rPr>
                <w:sz w:val="17"/>
                <w:szCs w:val="17"/>
                <w:color w:val="auto"/>
              </w:rPr>
            </w:pP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51,697</w:t>
            </w:r>
          </w:p>
        </w:tc>
        <w:tc>
          <w:tcPr>
            <w:tcW w:w="80" w:type="dxa"/>
            <w:vAlign w:val="bottom"/>
            <w:shd w:val="clear" w:color="auto" w:fill="CFF0FC"/>
          </w:tcPr>
          <w:p>
            <w:pPr>
              <w:spacing w:after="0"/>
              <w:rPr>
                <w:sz w:val="17"/>
                <w:szCs w:val="17"/>
                <w:color w:val="auto"/>
              </w:rPr>
            </w:pP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 and Thereafter</w:t>
            </w:r>
          </w:p>
        </w:tc>
        <w:tc>
          <w:tcPr>
            <w:tcW w:w="1500" w:type="dxa"/>
            <w:vAlign w:val="bottom"/>
          </w:tcPr>
          <w:p>
            <w:pPr>
              <w:spacing w:after="0"/>
              <w:rPr>
                <w:sz w:val="17"/>
                <w:szCs w:val="17"/>
                <w:color w:val="auto"/>
              </w:rPr>
            </w:pP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397,800</w:t>
            </w:r>
          </w:p>
        </w:tc>
        <w:tc>
          <w:tcPr>
            <w:tcW w:w="8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674,692</w:t>
            </w:r>
          </w:p>
        </w:tc>
        <w:tc>
          <w:tcPr>
            <w:tcW w:w="8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2022, the weighted average amortization period remaining for intangible assets was 12.55 years.</w:t>
      </w:r>
    </w:p>
    <w:p>
      <w:pPr>
        <w:spacing w:after="0" w:line="3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2022 and December 31, 2021 the balances of goodwill, by segment, consisted of the following:</w:t>
      </w:r>
    </w:p>
    <w:p>
      <w:pPr>
        <w:spacing w:after="0" w:line="354"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3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6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Consumer Package Goods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274,811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358,038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632,849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of ILDISP, LLC</w:t>
            </w:r>
          </w:p>
        </w:tc>
        <w:tc>
          <w:tcPr>
            <w:tcW w:w="6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7,956</w:t>
            </w:r>
          </w:p>
        </w:tc>
        <w:tc>
          <w:tcPr>
            <w:tcW w:w="240" w:type="dxa"/>
            <w:vAlign w:val="bottom"/>
            <w:shd w:val="clear" w:color="auto" w:fill="CFF0FC"/>
          </w:tcPr>
          <w:p>
            <w:pPr>
              <w:spacing w:after="0"/>
              <w:rPr>
                <w:sz w:val="17"/>
                <w:szCs w:val="17"/>
                <w:color w:val="auto"/>
              </w:rPr>
            </w:pPr>
          </w:p>
        </w:tc>
        <w:tc>
          <w:tcPr>
            <w:tcW w:w="2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Purchase Price Allocations</w:t>
            </w: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40" w:type="dxa"/>
            <w:vAlign w:val="bottom"/>
          </w:tcPr>
          <w:p>
            <w:pPr>
              <w:spacing w:after="0"/>
              <w:rPr>
                <w:sz w:val="17"/>
                <w:szCs w:val="17"/>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(167 )</w:t>
            </w:r>
          </w:p>
        </w:tc>
        <w:tc>
          <w:tcPr>
            <w:tcW w:w="120" w:type="dxa"/>
            <w:vAlign w:val="bottom"/>
          </w:tcPr>
          <w:p>
            <w:pPr>
              <w:spacing w:after="0"/>
              <w:rPr>
                <w:sz w:val="17"/>
                <w:szCs w:val="17"/>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36"/>
        </w:trPr>
        <w:tc>
          <w:tcPr>
            <w:tcW w:w="3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282,924</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357,871</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640,795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-24765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As of March 31, 2022 and December 31, 2021, the Company held various equity interests in cannabis companies as well as investments in convertible notes that had a combined fair value of $90,731 thousand and $94,902 thousand as of each period end,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1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investments during the three months ended March 31, 2022 and year ending December 31, 2021:</w:t>
      </w:r>
    </w:p>
    <w:p>
      <w:pPr>
        <w:spacing w:after="0" w:line="199" w:lineRule="exact"/>
        <w:rPr>
          <w:sz w:val="20"/>
          <w:szCs w:val="20"/>
          <w:color w:val="auto"/>
        </w:rPr>
      </w:pPr>
    </w:p>
    <w:tbl>
      <w:tblPr>
        <w:tblLayout w:type="fixed"/>
        <w:tblInd w:w="102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Pr>
          <w:p>
            <w:pPr>
              <w:spacing w:after="0"/>
              <w:rPr>
                <w:sz w:val="20"/>
                <w:szCs w:val="20"/>
                <w:color w:val="auto"/>
              </w:rPr>
            </w:pPr>
          </w:p>
        </w:tc>
      </w:tr>
      <w:tr>
        <w:trPr>
          <w:trHeight w:val="209"/>
        </w:trPr>
        <w:tc>
          <w:tcPr>
            <w:tcW w:w="2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9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w:t>
            </w:r>
          </w:p>
        </w:tc>
        <w:tc>
          <w:tcPr>
            <w:tcW w:w="15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94,902</w:t>
            </w: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40,795</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83,689</w:t>
            </w:r>
          </w:p>
        </w:tc>
        <w:tc>
          <w:tcPr>
            <w:tcW w:w="80" w:type="dxa"/>
            <w:vAlign w:val="bottom"/>
          </w:tcPr>
          <w:p>
            <w:pPr>
              <w:spacing w:after="0"/>
              <w:rPr>
                <w:sz w:val="18"/>
                <w:szCs w:val="18"/>
                <w:color w:val="auto"/>
              </w:rPr>
            </w:pPr>
          </w:p>
        </w:tc>
      </w:tr>
      <w:tr>
        <w:trPr>
          <w:trHeight w:val="216"/>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(18,417 )</w:t>
            </w: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1560" w:type="dxa"/>
            <w:vAlign w:val="bottom"/>
          </w:tcPr>
          <w:p>
            <w:pPr>
              <w:spacing w:after="0"/>
              <w:rPr>
                <w:sz w:val="18"/>
                <w:szCs w:val="18"/>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(9,455 )</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80" w:type="dxa"/>
            <w:vAlign w:val="bottom"/>
          </w:tcPr>
          <w:p>
            <w:pPr>
              <w:spacing w:after="0"/>
              <w:rPr>
                <w:sz w:val="18"/>
                <w:szCs w:val="18"/>
                <w:color w:val="auto"/>
              </w:rPr>
            </w:pPr>
          </w:p>
        </w:tc>
      </w:tr>
      <w:tr>
        <w:trPr>
          <w:trHeight w:val="216"/>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out</w:t>
            </w:r>
          </w:p>
        </w:tc>
        <w:tc>
          <w:tcPr>
            <w:tcW w:w="156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(17,542 )</w:t>
            </w:r>
          </w:p>
        </w:tc>
      </w:tr>
      <w:tr>
        <w:trPr>
          <w:trHeight w:val="210"/>
        </w:trPr>
        <w:tc>
          <w:tcPr>
            <w:tcW w:w="2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90,731</w:t>
            </w: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94,902</w:t>
            </w:r>
          </w:p>
        </w:tc>
        <w:tc>
          <w:tcPr>
            <w:tcW w:w="80" w:type="dxa"/>
            <w:vAlign w:val="bottom"/>
            <w:tcBorders>
              <w:top w:val="single" w:sz="8" w:color="CFF0FC"/>
            </w:tcBorders>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-864870</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-1148080</wp:posOffset>
            </wp:positionV>
            <wp:extent cx="59690" cy="291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29146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-170815</wp:posOffset>
            </wp:positionV>
            <wp:extent cx="5969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-170815</wp:posOffset>
            </wp:positionV>
            <wp:extent cx="5969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171450"/>
                    </a:xfrm>
                    <a:prstGeom prst="rect">
                      <a:avLst/>
                    </a:prstGeom>
                    <a:noFill/>
                  </pic:spPr>
                </pic:pic>
              </a:graphicData>
            </a:graphic>
          </wp:anchor>
        </w:drawing>
      </w:r>
    </w:p>
    <w:p>
      <w:pPr>
        <w:spacing w:after="0" w:line="164"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recorded fair value gains (losses) of $(9,455) thousand, of which $(9,609) thousand was recorded within other income (expense) and $154 thousand relates to various note receivable investments and was recorded to interest income on the unaudited interim condensed consolidated statement of operations.</w:t>
      </w:r>
    </w:p>
    <w:p>
      <w:pPr>
        <w:spacing w:after="0" w:line="165" w:lineRule="exact"/>
        <w:rPr>
          <w:sz w:val="20"/>
          <w:szCs w:val="20"/>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Investments</w:t>
      </w:r>
    </w:p>
    <w:p>
      <w:pPr>
        <w:spacing w:after="0" w:line="202" w:lineRule="exact"/>
        <w:rPr>
          <w:sz w:val="20"/>
          <w:szCs w:val="20"/>
          <w:color w:val="auto"/>
        </w:rPr>
      </w:pPr>
    </w:p>
    <w:p>
      <w:pPr>
        <w:ind w:left="520" w:right="140"/>
        <w:spacing w:after="0" w:line="247" w:lineRule="auto"/>
        <w:rPr>
          <w:sz w:val="20"/>
          <w:szCs w:val="20"/>
          <w:color w:val="auto"/>
        </w:rPr>
      </w:pPr>
      <w:r>
        <w:rPr>
          <w:rFonts w:ascii="Times New Roman" w:cs="Times New Roman" w:eastAsia="Times New Roman" w:hAnsi="Times New Roman"/>
          <w:sz w:val="18"/>
          <w:szCs w:val="18"/>
          <w:color w:val="auto"/>
        </w:rPr>
        <w:t>As of March 31, 2022 and December 31, 2021, the Company held equity investments in publicly traded entities which have readily determinable fair values, which are classified as Level 1 investments, of $12,527 thousand and $20,583 thousand, respectively. During the three months ended March 31, 2022 and the three months ended March 31, 2021, the Company recorded net gains (losses) on the change in fair value of such investments of $(7,897) thousand and $268 thousand, respectively, within other income (expense) on the consolidated statement of operations. The Company received proceeds from the sale of such investments of $160 thousand and $18,123 thousand, respectively. These investments are classified as trading securities on the Company's unaudited interim condensed consolidated balance sheets.</w:t>
      </w:r>
    </w:p>
    <w:p>
      <w:pPr>
        <w:spacing w:after="0" w:line="166" w:lineRule="exact"/>
        <w:rPr>
          <w:sz w:val="20"/>
          <w:szCs w:val="20"/>
          <w:color w:val="auto"/>
        </w:rPr>
      </w:pPr>
    </w:p>
    <w:p>
      <w:pPr>
        <w:ind w:left="520"/>
        <w:spacing w:after="0" w:line="247" w:lineRule="auto"/>
        <w:rPr>
          <w:sz w:val="20"/>
          <w:szCs w:val="20"/>
          <w:color w:val="auto"/>
        </w:rPr>
      </w:pPr>
      <w:r>
        <w:rPr>
          <w:rFonts w:ascii="Times New Roman" w:cs="Times New Roman" w:eastAsia="Times New Roman" w:hAnsi="Times New Roman"/>
          <w:sz w:val="18"/>
          <w:szCs w:val="18"/>
          <w:color w:val="auto"/>
        </w:rPr>
        <w:t>As of March 31, 2022 and December 31, 2021, the Company held equity investments in privately held entities that did not have readily determinable fair values, which are classified as Level 3 investments, of $42,309 thousand and $33,066 thousand, respectively. During the three months ended March 31, 2022 and the three months ended March 31, 2021, the Company recorded net gains (losses) on the change in fair value of such investments of $455 thousand and $124 thousand, respectively, within other income (expense) on the consolidated statement of operations. There were no sales of these investments during these periods. These investments are classified as trading securities on the Company's unaudited interim condensed consolidated balance sheets.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14 - Fair Value Measurements for additional details.</w:t>
      </w:r>
    </w:p>
    <w:p>
      <w:pPr>
        <w:spacing w:after="0" w:line="198" w:lineRule="exact"/>
        <w:rPr>
          <w:sz w:val="20"/>
          <w:szCs w:val="20"/>
          <w:color w:val="auto"/>
        </w:rPr>
      </w:pPr>
    </w:p>
    <w:p>
      <w:pPr>
        <w:ind w:left="520" w:right="600"/>
        <w:spacing w:after="0" w:line="282" w:lineRule="auto"/>
        <w:rPr>
          <w:sz w:val="20"/>
          <w:szCs w:val="20"/>
          <w:color w:val="auto"/>
        </w:rPr>
      </w:pPr>
      <w:r>
        <w:rPr>
          <w:rFonts w:ascii="Times New Roman" w:cs="Times New Roman" w:eastAsia="Times New Roman" w:hAnsi="Times New Roman"/>
          <w:sz w:val="18"/>
          <w:szCs w:val="18"/>
          <w:color w:val="auto"/>
        </w:rPr>
        <w:t>Unrealized gains and (losses) recognized on equity investments held during the three months ended March 31, 2022 and 2021 were $(9,477) thousand and $251 thousand,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Convertible Notes Receivable</w:t>
      </w:r>
    </w:p>
    <w:p>
      <w:pPr>
        <w:spacing w:after="0" w:line="202" w:lineRule="exact"/>
        <w:rPr>
          <w:sz w:val="20"/>
          <w:szCs w:val="20"/>
          <w:color w:val="auto"/>
        </w:rPr>
      </w:pPr>
    </w:p>
    <w:p>
      <w:pPr>
        <w:ind w:left="520" w:right="5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year ended December 31, 2021, the Company made multiple investments in various note receivable instruments, including note receivable instruments with conversion features.</w:t>
      </w:r>
    </w:p>
    <w:p>
      <w:pPr>
        <w:spacing w:after="0" w:line="135" w:lineRule="exact"/>
        <w:rPr>
          <w:sz w:val="20"/>
          <w:szCs w:val="20"/>
          <w:color w:val="auto"/>
        </w:rPr>
      </w:pPr>
    </w:p>
    <w:p>
      <w:pPr>
        <w:ind w:left="520"/>
        <w:spacing w:after="0" w:line="243" w:lineRule="auto"/>
        <w:rPr>
          <w:sz w:val="20"/>
          <w:szCs w:val="20"/>
          <w:color w:val="auto"/>
        </w:rPr>
      </w:pPr>
      <w:r>
        <w:rPr>
          <w:rFonts w:ascii="Times New Roman" w:cs="Times New Roman" w:eastAsia="Times New Roman" w:hAnsi="Times New Roman"/>
          <w:sz w:val="18"/>
          <w:szCs w:val="18"/>
          <w:color w:val="auto"/>
        </w:rPr>
        <w:t>As of March 31, 2022 and December 31, 2021, the Company held note receivable instruments, which were classified as a Level 1 investment as they represent public debt of a publicly traded entity, and had a fair value of $23,257 thousand and $23,534 thousand, respectively. During the three months ended March 31, 2022 , the Company recorded net gains (losses) on the change in fair value of such investments of $(276) thousand within other income (expense) on the consolidated statement of operations. There were no gains or (losses) recognized on these investments during the three months ended March 31, 2021. The note receivable instruments had a stated interest rate of 13% and a maturity date of April 29, 2025. These notes did</w:t>
      </w:r>
    </w:p>
    <w:p>
      <w:pPr>
        <w:spacing w:after="0" w:line="5" w:lineRule="exact"/>
        <w:rPr>
          <w:sz w:val="20"/>
          <w:szCs w:val="20"/>
          <w:color w:val="auto"/>
        </w:rPr>
      </w:pPr>
    </w:p>
    <w:p>
      <w:pPr>
        <w:ind w:left="520" w:right="600"/>
        <w:spacing w:after="0" w:line="258" w:lineRule="auto"/>
        <w:rPr>
          <w:sz w:val="20"/>
          <w:szCs w:val="20"/>
          <w:color w:val="auto"/>
        </w:rPr>
      </w:pPr>
      <w:r>
        <w:rPr>
          <w:rFonts w:ascii="Times New Roman" w:cs="Times New Roman" w:eastAsia="Times New Roman" w:hAnsi="Times New Roman"/>
          <w:sz w:val="18"/>
          <w:szCs w:val="18"/>
          <w:color w:val="auto"/>
        </w:rPr>
        <w:t>not contain conversion features and are currently classified as trading securities on the Company's unaudited interim condensed consolidated balance sheets.</w:t>
      </w:r>
    </w:p>
    <w:p>
      <w:pPr>
        <w:spacing w:after="0" w:line="156" w:lineRule="exact"/>
        <w:rPr>
          <w:sz w:val="20"/>
          <w:szCs w:val="20"/>
          <w:color w:val="auto"/>
        </w:rPr>
      </w:pPr>
    </w:p>
    <w:p>
      <w:pPr>
        <w:ind w:left="520" w:right="60"/>
        <w:spacing w:after="0" w:line="243" w:lineRule="auto"/>
        <w:rPr>
          <w:sz w:val="20"/>
          <w:szCs w:val="20"/>
          <w:color w:val="auto"/>
        </w:rPr>
      </w:pPr>
      <w:r>
        <w:rPr>
          <w:rFonts w:ascii="Times New Roman" w:cs="Times New Roman" w:eastAsia="Times New Roman" w:hAnsi="Times New Roman"/>
          <w:sz w:val="18"/>
          <w:szCs w:val="18"/>
          <w:color w:val="auto"/>
        </w:rPr>
        <w:t>As of March 31, 2022 and December 31, 2021, the Company held note receivable instruments which were classified as Level 3 investments as they represent loans provided to privately held entities that do not have readily determinable fair values. The note receivable instruments had a combined fair value of $12,638 thousand and $17,719 thousand, respectively, with stated interest ranging between 0.91% - 10% and terms between 15 months to five years. During the three months ended March 31, 2022 , the Company recorded net gains (losses) on the change in fair value of such investments of $(1,891) thousand within other income (expense) on the consolidated statement of operations. There were no gains or (losses) recognized on these investments during the three months ended March 31, 2021. The combined fair value amounts include the initial investment cost and combined contractual accrued interest of $154 thousand. These notes are classified as trading securities on the Company's unaudited interim condensed consolidated balance sheets.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14 - Fair Value Measurements for additional details.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11" w:lineRule="exact"/>
        <w:rPr>
          <w:rFonts w:ascii="Times New Roman" w:cs="Times New Roman" w:eastAsia="Times New Roman" w:hAnsi="Times New Roman"/>
          <w:sz w:val="18"/>
          <w:szCs w:val="18"/>
          <w:b w:val="1"/>
          <w:bCs w:val="1"/>
          <w:color w:val="auto"/>
        </w:rPr>
      </w:pPr>
    </w:p>
    <w:p>
      <w:pPr>
        <w:ind w:left="440" w:hanging="432"/>
        <w:spacing w:after="0"/>
        <w:tabs>
          <w:tab w:leader="none" w:pos="44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16" w:lineRule="exact"/>
        <w:rPr>
          <w:sz w:val="20"/>
          <w:szCs w:val="20"/>
          <w:color w:val="auto"/>
        </w:rPr>
      </w:pPr>
    </w:p>
    <w:p>
      <w:pPr>
        <w:ind w:left="520" w:right="60"/>
        <w:spacing w:after="0" w:line="258" w:lineRule="auto"/>
        <w:rPr>
          <w:sz w:val="20"/>
          <w:szCs w:val="20"/>
          <w:color w:val="auto"/>
        </w:rPr>
      </w:pPr>
      <w:r>
        <w:rPr>
          <w:rFonts w:ascii="Times New Roman" w:cs="Times New Roman" w:eastAsia="Times New Roman" w:hAnsi="Times New Roman"/>
          <w:sz w:val="18"/>
          <w:szCs w:val="18"/>
          <w:color w:val="auto"/>
        </w:rPr>
        <w:t>The Company has operating leases for its retail dispensaries and processing and cultivation facilities located throughout the U.S, as well as for corporate office space located in Illinois. Operating lease right-of-use assets and operating lease liabilities are recognized based on the present value of future minimum lease payments over the lease term at commencement date.</w:t>
      </w:r>
    </w:p>
    <w:p>
      <w:pPr>
        <w:spacing w:after="0" w:line="169" w:lineRule="exact"/>
        <w:rPr>
          <w:sz w:val="20"/>
          <w:szCs w:val="20"/>
          <w:color w:val="auto"/>
        </w:rPr>
      </w:pPr>
    </w:p>
    <w:p>
      <w:pPr>
        <w:ind w:left="520" w:right="40"/>
        <w:spacing w:after="0" w:line="250" w:lineRule="auto"/>
        <w:rPr>
          <w:sz w:val="20"/>
          <w:szCs w:val="20"/>
          <w:color w:val="auto"/>
        </w:rPr>
      </w:pPr>
      <w:r>
        <w:rPr>
          <w:rFonts w:ascii="Times New Roman" w:cs="Times New Roman" w:eastAsia="Times New Roman" w:hAnsi="Times New Roman"/>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each real estate lease and the related non-lease components together as a single component.</w:t>
      </w:r>
    </w:p>
    <w:p>
      <w:pPr>
        <w:spacing w:after="0" w:line="177" w:lineRule="exact"/>
        <w:rPr>
          <w:sz w:val="20"/>
          <w:szCs w:val="20"/>
          <w:color w:val="auto"/>
        </w:rPr>
      </w:pPr>
    </w:p>
    <w:p>
      <w:pPr>
        <w:ind w:left="520"/>
        <w:spacing w:after="0" w:line="24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three months ended March 31, 2022, the company recorded operating lease expense of $9,821 thousand compared to operating lease expense of $7,751 thousand for the three months ended March 31, 2021.</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operating leases as of March 31, 2022 and December 31, 2021 were as follows:</w:t>
      </w:r>
    </w:p>
    <w:p>
      <w:pPr>
        <w:spacing w:after="0" w:line="313" w:lineRule="exact"/>
        <w:rPr>
          <w:sz w:val="20"/>
          <w:szCs w:val="20"/>
          <w:color w:val="auto"/>
        </w:rPr>
      </w:pPr>
    </w:p>
    <w:tbl>
      <w:tblPr>
        <w:tblLayout w:type="fixed"/>
        <w:tblInd w:w="1200" w:type="dxa"/>
        <w:tblCellMar>
          <w:top w:w="0" w:type="dxa"/>
          <w:left w:w="0" w:type="dxa"/>
          <w:bottom w:w="0" w:type="dxa"/>
          <w:right w:w="0" w:type="dxa"/>
        </w:tblCellMar>
      </w:tblPr>
      <w:tr>
        <w:trPr>
          <w:trHeight w:val="187"/>
        </w:trPr>
        <w:tc>
          <w:tcPr>
            <w:tcW w:w="4060" w:type="dxa"/>
            <w:vAlign w:val="bottom"/>
          </w:tcPr>
          <w:p>
            <w:pPr>
              <w:spacing w:after="0"/>
              <w:rPr>
                <w:sz w:val="16"/>
                <w:szCs w:val="16"/>
                <w:color w:val="auto"/>
              </w:rPr>
            </w:pPr>
          </w:p>
        </w:tc>
        <w:tc>
          <w:tcPr>
            <w:tcW w:w="19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19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shd w:val="clear" w:color="auto" w:fill="CFF0FC"/>
          </w:tcPr>
          <w:p>
            <w:pPr>
              <w:spacing w:after="0"/>
              <w:rPr>
                <w:sz w:val="14"/>
                <w:szCs w:val="14"/>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11.82</w:t>
            </w:r>
          </w:p>
        </w:tc>
      </w:tr>
      <w:tr>
        <w:trPr>
          <w:trHeight w:val="188"/>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13.60%</w:t>
            </w:r>
          </w:p>
        </w:tc>
      </w:tr>
    </w:tbl>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March 31, 2022 were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Maturities of Lease Liability</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Third Party</w:t>
            </w:r>
          </w:p>
        </w:tc>
        <w:tc>
          <w:tcPr>
            <w:tcW w:w="220" w:type="dxa"/>
            <w:vAlign w:val="bottom"/>
          </w:tcPr>
          <w:p>
            <w:pPr>
              <w:spacing w:after="0"/>
              <w:rPr>
                <w:sz w:val="14"/>
                <w:szCs w:val="14"/>
                <w:color w:val="auto"/>
              </w:rPr>
            </w:pPr>
          </w:p>
        </w:tc>
        <w:tc>
          <w:tcPr>
            <w:tcW w:w="16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200" w:type="dxa"/>
            <w:vAlign w:val="bottom"/>
          </w:tcPr>
          <w:p>
            <w:pPr>
              <w:spacing w:after="0"/>
              <w:rPr>
                <w:sz w:val="14"/>
                <w:szCs w:val="14"/>
                <w:color w:val="auto"/>
              </w:rPr>
            </w:pP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9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Borders>
              <w:top w:val="single" w:sz="8" w:color="auto"/>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Remainder of 2022</w:t>
            </w:r>
          </w:p>
        </w:tc>
        <w:tc>
          <w:tcPr>
            <w:tcW w:w="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25,476</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26,319</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33,868</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35,012</w:t>
            </w: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33,304</w:t>
            </w:r>
          </w:p>
        </w:tc>
        <w:tc>
          <w:tcPr>
            <w:tcW w:w="2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34,331</w:t>
            </w:r>
          </w:p>
        </w:tc>
        <w:tc>
          <w:tcPr>
            <w:tcW w:w="0" w:type="dxa"/>
            <w:vAlign w:val="bottom"/>
          </w:tcPr>
          <w:p>
            <w:pPr>
              <w:spacing w:after="0"/>
              <w:rPr>
                <w:sz w:val="1"/>
                <w:szCs w:val="1"/>
                <w:color w:val="auto"/>
              </w:rPr>
            </w:pPr>
          </w:p>
        </w:tc>
      </w:tr>
      <w:tr>
        <w:trPr>
          <w:trHeight w:val="176"/>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30,880</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31,828</w:t>
            </w: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28,947</w:t>
            </w:r>
          </w:p>
        </w:tc>
        <w:tc>
          <w:tcPr>
            <w:tcW w:w="2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29,917</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2027 and Thereafter</w:t>
            </w:r>
          </w:p>
        </w:tc>
        <w:tc>
          <w:tcPr>
            <w:tcW w:w="34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274,862</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281,928</w:t>
            </w:r>
          </w:p>
        </w:tc>
        <w:tc>
          <w:tcPr>
            <w:tcW w:w="0" w:type="dxa"/>
            <w:vAlign w:val="bottom"/>
          </w:tcPr>
          <w:p>
            <w:pPr>
              <w:spacing w:after="0"/>
              <w:rPr>
                <w:sz w:val="1"/>
                <w:szCs w:val="1"/>
                <w:color w:val="auto"/>
              </w:rPr>
            </w:pPr>
          </w:p>
        </w:tc>
      </w:tr>
      <w:tr>
        <w:trPr>
          <w:trHeight w:val="169"/>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340" w:type="dxa"/>
            <w:vAlign w:val="bottom"/>
            <w:tcBorders>
              <w:bottom w:val="single" w:sz="8" w:color="CFF0FC"/>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427,337</w:t>
            </w:r>
          </w:p>
        </w:tc>
        <w:tc>
          <w:tcPr>
            <w:tcW w:w="220" w:type="dxa"/>
            <w:vAlign w:val="bottom"/>
            <w:tcBorders>
              <w:bottom w:val="single" w:sz="8" w:color="CFF0FC"/>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11,998</w:t>
            </w: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439,335</w:t>
            </w:r>
          </w:p>
        </w:tc>
        <w:tc>
          <w:tcPr>
            <w:tcW w:w="0" w:type="dxa"/>
            <w:vAlign w:val="bottom"/>
          </w:tcPr>
          <w:p>
            <w:pPr>
              <w:spacing w:after="0"/>
              <w:rPr>
                <w:sz w:val="1"/>
                <w:szCs w:val="1"/>
                <w:color w:val="auto"/>
              </w:rPr>
            </w:pPr>
          </w:p>
        </w:tc>
      </w:tr>
      <w:tr>
        <w:trPr>
          <w:trHeight w:val="169"/>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Less: Interest</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(238,809)</w:t>
            </w:r>
          </w:p>
        </w:tc>
        <w:tc>
          <w:tcPr>
            <w:tcW w:w="22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(244,308)</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Present Value of Lease Liability</w:t>
            </w:r>
          </w:p>
        </w:tc>
        <w:tc>
          <w:tcPr>
            <w:tcW w:w="3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188,528</w:t>
            </w:r>
          </w:p>
        </w:tc>
        <w:tc>
          <w:tcPr>
            <w:tcW w:w="2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6,499</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195,027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-265430</wp:posOffset>
            </wp:positionV>
            <wp:extent cx="1460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-265430</wp:posOffset>
            </wp:positionV>
            <wp:extent cx="1714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1460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1460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1714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1714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14"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Operating Leases</w:t>
      </w:r>
    </w:p>
    <w:p>
      <w:pPr>
        <w:spacing w:after="0" w:line="216" w:lineRule="exact"/>
        <w:rPr>
          <w:sz w:val="20"/>
          <w:szCs w:val="20"/>
          <w:color w:val="auto"/>
        </w:rPr>
      </w:pPr>
    </w:p>
    <w:p>
      <w:pPr>
        <w:ind w:left="520" w:right="100"/>
        <w:spacing w:after="0" w:line="245" w:lineRule="auto"/>
        <w:rPr>
          <w:sz w:val="20"/>
          <w:szCs w:val="20"/>
          <w:color w:val="auto"/>
        </w:rPr>
      </w:pPr>
      <w:r>
        <w:rPr>
          <w:rFonts w:ascii="Times New Roman" w:cs="Times New Roman" w:eastAsia="Times New Roman" w:hAnsi="Times New Roman"/>
          <w:sz w:val="18"/>
          <w:szCs w:val="18"/>
          <w:color w:val="auto"/>
        </w:rPr>
        <w:t>The Company entered into related party transactions with respect to its leasing arrangements for certain facilities in Florida, Maryland, Massachusetts and Nevada. Wendy Berger, a director of the Company, is a principal of WBS Equities, LLC, which is the Manager of Mosaic Real Estate, LLC, and owns the facilities leased by the Company. Additionally, Mosaic Real Estate, LLC is indirectly owned in part by Ms. Berger (through the Wendy Berger 1998 Revocable Trust), Benjamin Kovler, the Chief Executive Officer and a director of the Company (through KP Capital, LLC), and Anthony Georgiadis, the Chief Financial Officer and a director of the Company (through Three One Four Holdings, LLC). The terms of these leases range from 7 years to 15 years. For the three months ended March 31, 2022 and 2021, the Company recorded lease expense of $295 thousand in each period, associated with these leasing arrangements.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680" w:hanging="41"/>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141"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and December 31, 2021, notes payable consisted of the following:</w:t>
      </w:r>
    </w:p>
    <w:p>
      <w:pPr>
        <w:spacing w:after="0" w:line="241" w:lineRule="exact"/>
        <w:rPr>
          <w:sz w:val="20"/>
          <w:szCs w:val="20"/>
          <w:color w:val="auto"/>
        </w:rPr>
      </w:pPr>
    </w:p>
    <w:tbl>
      <w:tblPr>
        <w:tblLayout w:type="fixed"/>
        <w:tblInd w:w="960" w:type="dxa"/>
        <w:tblCellMar>
          <w:top w:w="0" w:type="dxa"/>
          <w:left w:w="0" w:type="dxa"/>
          <w:bottom w:w="0" w:type="dxa"/>
          <w:right w:w="0" w:type="dxa"/>
        </w:tblCellMar>
      </w:tblPr>
      <w:tr>
        <w:trPr>
          <w:trHeight w:val="215"/>
        </w:trPr>
        <w:tc>
          <w:tcPr>
            <w:tcW w:w="3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0" w:type="dxa"/>
            <w:vAlign w:val="bottom"/>
          </w:tcPr>
          <w:p>
            <w:pPr>
              <w:spacing w:after="0"/>
              <w:rPr>
                <w:sz w:val="18"/>
                <w:szCs w:val="18"/>
                <w:color w:val="auto"/>
              </w:rPr>
            </w:pPr>
          </w:p>
        </w:tc>
      </w:tr>
      <w:tr>
        <w:trPr>
          <w:trHeight w:val="209"/>
        </w:trPr>
        <w:tc>
          <w:tcPr>
            <w:tcW w:w="3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w:t>
            </w:r>
          </w:p>
        </w:tc>
        <w:tc>
          <w:tcPr>
            <w:tcW w:w="10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0"/>
        </w:trPr>
        <w:tc>
          <w:tcPr>
            <w:tcW w:w="3680" w:type="dxa"/>
            <w:vAlign w:val="bottom"/>
            <w:shd w:val="clear" w:color="auto" w:fill="CFF0FC"/>
          </w:tcPr>
          <w:p>
            <w:pPr>
              <w:ind w:left="20"/>
              <w:spacing w:after="0" w:line="200" w:lineRule="exact"/>
              <w:rPr>
                <w:sz w:val="20"/>
                <w:szCs w:val="20"/>
                <w:color w:val="auto"/>
              </w:rPr>
            </w:pPr>
            <w:r>
              <w:rPr>
                <w:rFonts w:ascii="Times New Roman" w:cs="Times New Roman" w:eastAsia="Times New Roman" w:hAnsi="Times New Roman"/>
                <w:sz w:val="16"/>
                <w:szCs w:val="16"/>
                <w:color w:val="auto"/>
              </w:rPr>
              <w:t xml:space="preserve">Charitable Contributions </w:t>
            </w:r>
            <w:r>
              <w:rPr>
                <w:rFonts w:ascii="Times New Roman" w:cs="Times New Roman" w:eastAsia="Times New Roman" w:hAnsi="Times New Roman"/>
                <w:sz w:val="21"/>
                <w:szCs w:val="21"/>
                <w:color w:val="auto"/>
                <w:vertAlign w:val="superscript"/>
              </w:rPr>
              <w:t>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80" w:type="dxa"/>
            <w:vAlign w:val="bottom"/>
            <w:shd w:val="clear" w:color="auto" w:fill="CFF0FC"/>
          </w:tcPr>
          <w:p>
            <w:pPr>
              <w:spacing w:after="0"/>
              <w:rPr>
                <w:sz w:val="17"/>
                <w:szCs w:val="17"/>
                <w:color w:val="auto"/>
              </w:rPr>
            </w:pPr>
          </w:p>
        </w:tc>
      </w:tr>
      <w:tr>
        <w:trPr>
          <w:trHeight w:val="203"/>
        </w:trPr>
        <w:tc>
          <w:tcPr>
            <w:tcW w:w="368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Private placement debt dated April 30, 2021</w:t>
            </w:r>
            <w:r>
              <w:rPr>
                <w:rFonts w:ascii="Times New Roman" w:cs="Times New Roman" w:eastAsia="Times New Roman" w:hAnsi="Times New Roman"/>
                <w:sz w:val="21"/>
                <w:szCs w:val="21"/>
                <w:color w:val="auto"/>
                <w:vertAlign w:val="superscript"/>
              </w:rPr>
              <w:t>2</w:t>
            </w:r>
          </w:p>
        </w:tc>
        <w:tc>
          <w:tcPr>
            <w:tcW w:w="92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228,690</w:t>
            </w:r>
          </w:p>
        </w:tc>
        <w:tc>
          <w:tcPr>
            <w:tcW w:w="80" w:type="dxa"/>
            <w:vAlign w:val="bottom"/>
          </w:tcPr>
          <w:p>
            <w:pPr>
              <w:spacing w:after="0"/>
              <w:rPr>
                <w:sz w:val="17"/>
                <w:szCs w:val="17"/>
                <w:color w:val="auto"/>
              </w:rPr>
            </w:pPr>
          </w:p>
        </w:tc>
      </w:tr>
      <w:tr>
        <w:trPr>
          <w:trHeight w:val="203"/>
        </w:trPr>
        <w:tc>
          <w:tcPr>
            <w:tcW w:w="3680" w:type="dxa"/>
            <w:vAlign w:val="bottom"/>
            <w:tcBorders>
              <w:bottom w:val="single" w:sz="8" w:color="CFF0FC"/>
            </w:tcBorders>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Mortgage notes</w:t>
            </w:r>
            <w:r>
              <w:rPr>
                <w:rFonts w:ascii="Times New Roman" w:cs="Times New Roman" w:eastAsia="Times New Roman" w:hAnsi="Times New Roman"/>
                <w:sz w:val="21"/>
                <w:szCs w:val="21"/>
                <w:color w:val="auto"/>
                <w:vertAlign w:val="superscript"/>
              </w:rPr>
              <w:t>3</w:t>
            </w:r>
          </w:p>
        </w:tc>
        <w:tc>
          <w:tcPr>
            <w:tcW w:w="920" w:type="dxa"/>
            <w:vAlign w:val="bottom"/>
            <w:tcBorders>
              <w:bottom w:val="single" w:sz="8" w:color="CFF0FC"/>
            </w:tcBorders>
            <w:shd w:val="clear" w:color="auto" w:fill="CFF0FC"/>
          </w:tcPr>
          <w:p>
            <w:pPr>
              <w:spacing w:after="0"/>
              <w:rPr>
                <w:sz w:val="17"/>
                <w:szCs w:val="17"/>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12,080</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notes payable</w:t>
            </w:r>
          </w:p>
        </w:tc>
        <w:tc>
          <w:tcPr>
            <w:tcW w:w="92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239,934</w:t>
            </w:r>
          </w:p>
        </w:tc>
        <w:tc>
          <w:tcPr>
            <w:tcW w:w="80" w:type="dxa"/>
            <w:vAlign w:val="bottom"/>
          </w:tcPr>
          <w:p>
            <w:pPr>
              <w:spacing w:after="0"/>
              <w:rPr>
                <w:sz w:val="17"/>
                <w:szCs w:val="17"/>
                <w:color w:val="auto"/>
              </w:rPr>
            </w:pPr>
          </w:p>
        </w:tc>
      </w:tr>
      <w:tr>
        <w:trPr>
          <w:trHeight w:val="203"/>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current portion of notes payable</w:t>
            </w:r>
          </w:p>
        </w:tc>
        <w:tc>
          <w:tcPr>
            <w:tcW w:w="92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(900 )</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(783 )</w:t>
            </w:r>
          </w:p>
        </w:tc>
      </w:tr>
      <w:tr>
        <w:trPr>
          <w:trHeight w:val="196"/>
        </w:trPr>
        <w:tc>
          <w:tcPr>
            <w:tcW w:w="3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Notes payable, net of current portion</w:t>
            </w:r>
          </w:p>
        </w:tc>
        <w:tc>
          <w:tcPr>
            <w:tcW w:w="9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243,336</w:t>
            </w: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239,151</w:t>
            </w:r>
          </w:p>
        </w:tc>
        <w:tc>
          <w:tcPr>
            <w:tcW w:w="80" w:type="dxa"/>
            <w:vAlign w:val="bottom"/>
            <w:tcBorders>
              <w:top w:val="single" w:sz="8" w:color="CFF0FC"/>
            </w:tcBorders>
          </w:tcPr>
          <w:p>
            <w:pPr>
              <w:spacing w:after="0"/>
              <w:rPr>
                <w:sz w:val="17"/>
                <w:szCs w:val="17"/>
                <w:color w:val="auto"/>
              </w:rPr>
            </w:pPr>
          </w:p>
        </w:tc>
      </w:tr>
      <w:tr>
        <w:trPr>
          <w:trHeight w:val="20"/>
        </w:trPr>
        <w:tc>
          <w:tcPr>
            <w:tcW w:w="3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-427990</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-427990</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-162560</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-162560</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88" w:lineRule="exact"/>
        <w:rPr>
          <w:sz w:val="20"/>
          <w:szCs w:val="20"/>
          <w:color w:val="auto"/>
        </w:rPr>
      </w:pPr>
    </w:p>
    <w:p>
      <w:pPr>
        <w:ind w:left="1020" w:right="40" w:firstLine="6"/>
        <w:spacing w:after="0" w:line="254" w:lineRule="auto"/>
        <w:tabs>
          <w:tab w:leader="none" w:pos="1115" w:val="left"/>
        </w:tabs>
        <w:numPr>
          <w:ilvl w:val="0"/>
          <w:numId w:val="2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6"/>
          <w:szCs w:val="16"/>
          <w:color w:val="auto"/>
        </w:rPr>
        <w:t>In connection with acquisitions completed in 2017 and 2019, the Company is required to make quarterly charitable contributions of $50 thousand through October 2024 and annual charitable contributions of $250 thousand through May 2024, respectively. The net present value of these required payments has been recorded as a liability with interest rates ranging between 2.17% - 7.00%.</w:t>
      </w:r>
    </w:p>
    <w:p>
      <w:pPr>
        <w:spacing w:after="0" w:line="158" w:lineRule="exact"/>
        <w:rPr>
          <w:sz w:val="20"/>
          <w:szCs w:val="20"/>
          <w:color w:val="auto"/>
        </w:rPr>
      </w:pPr>
    </w:p>
    <w:p>
      <w:pPr>
        <w:ind w:left="1020" w:right="80" w:firstLine="6"/>
        <w:spacing w:after="0" w:line="254" w:lineRule="auto"/>
        <w:tabs>
          <w:tab w:leader="none" w:pos="1115" w:val="left"/>
        </w:tabs>
        <w:numPr>
          <w:ilvl w:val="0"/>
          <w:numId w:val="2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6"/>
          <w:szCs w:val="16"/>
          <w:color w:val="auto"/>
        </w:rPr>
        <w:t>The April 30, 2021 private placement debt was issued in an original amount of $249,934 thousand with an interest rate of 7.00%, maturing on April 30, 2024. The debt was issued at a discount, the carrying value of which was $18,968 thousand and $21,244 thousand as of March 31, 2022 and December 31, 2021, respectively.</w:t>
      </w:r>
    </w:p>
    <w:p>
      <w:pPr>
        <w:spacing w:after="0" w:line="158" w:lineRule="exact"/>
        <w:rPr>
          <w:sz w:val="20"/>
          <w:szCs w:val="20"/>
          <w:color w:val="auto"/>
        </w:rPr>
      </w:pPr>
    </w:p>
    <w:p>
      <w:pPr>
        <w:ind w:left="1020" w:firstLine="6"/>
        <w:spacing w:after="0" w:line="252" w:lineRule="auto"/>
        <w:tabs>
          <w:tab w:leader="none" w:pos="1115" w:val="left"/>
        </w:tabs>
        <w:numPr>
          <w:ilvl w:val="1"/>
          <w:numId w:val="2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6"/>
          <w:szCs w:val="16"/>
          <w:color w:val="auto"/>
        </w:rPr>
        <w:t>Mortgage notes in the original amount of $12,597 thousand and $10,437 thousand as of March 31, 2022 and December 31, 2021, respectively, were issued by the Company in connection with various operating properties. These mortgage notes mature between August 20, 2025 and June 5, 2035 and were issued at a discount, the carrying value of which was $159 thousand and $162 thousand, respectively, and are presented net of principal payments of $358 thousand and $269 thousand as of March 31, 2022 and December 31, 2021, respectively.</w:t>
      </w:r>
    </w:p>
    <w:p>
      <w:pPr>
        <w:spacing w:after="0" w:line="163" w:lineRule="exact"/>
        <w:rPr>
          <w:rFonts w:ascii="Times New Roman" w:cs="Times New Roman" w:eastAsia="Times New Roman" w:hAnsi="Times New Roman"/>
          <w:sz w:val="11"/>
          <w:szCs w:val="11"/>
          <w:b w:val="1"/>
          <w:bCs w:val="1"/>
          <w:color w:val="auto"/>
        </w:rPr>
      </w:pPr>
    </w:p>
    <w:p>
      <w:pPr>
        <w:ind w:left="440" w:hanging="432"/>
        <w:spacing w:after="0"/>
        <w:tabs>
          <w:tab w:leader="none" w:pos="4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08" w:lineRule="exact"/>
        <w:rPr>
          <w:sz w:val="20"/>
          <w:szCs w:val="20"/>
          <w:color w:val="auto"/>
        </w:rPr>
      </w:pPr>
    </w:p>
    <w:p>
      <w:pPr>
        <w:ind w:left="520" w:right="40"/>
        <w:spacing w:after="0" w:line="250" w:lineRule="auto"/>
        <w:rPr>
          <w:sz w:val="20"/>
          <w:szCs w:val="20"/>
          <w:color w:val="auto"/>
        </w:rPr>
      </w:pPr>
      <w:r>
        <w:rPr>
          <w:rFonts w:ascii="Times New Roman" w:cs="Times New Roman" w:eastAsia="Times New Roman" w:hAnsi="Times New Roman"/>
          <w:sz w:val="18"/>
          <w:szCs w:val="18"/>
          <w:color w:val="auto"/>
        </w:rPr>
        <w:t>A portion of the April 30, 2021 Notes are held by related parties as well as unrelated third-party lenders at a percentage of approximately 1% and 99%, respectively. The related parties consist of Benjamin Kovler, the Chief Executive Officer and Chairman of the Company (held through KP Capital, LLC and Outsiders Capital, LLC); Andrew Grossman, the Executive Vice President of Capital Markets of the Company (held through AG Funding Group, LLC); Anthony Georgiadis, the Chief Financial Officer and a director of the Corporation (held through Three One Four Holdings, LLC); and Anthony Georgiadis and William Gruver, a director of the Corporation (held through ABG, LLC).</w:t>
      </w:r>
    </w:p>
    <w:p>
      <w:pPr>
        <w:spacing w:after="0" w:line="1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16"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part of the Company’s private placement financing, as well as other financing arrangements, the Company issued warrants to related parties, as well as unrelated third parties, which allow the holders to purchase Subordinate Voting Shares at an exercise price determined at the time of issuance.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number of warrants outstanding as of March 31, 2022 and December 31,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Liability Classified</w:t>
            </w: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Equity Classified</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3"/>
          </w:tcPr>
          <w:p>
            <w:pPr>
              <w:jc w:val="center"/>
              <w:ind w:right="16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4"/>
                <w:szCs w:val="14"/>
                <w:color w:val="auto"/>
              </w:rPr>
            </w:pPr>
          </w:p>
        </w:tc>
        <w:tc>
          <w:tcPr>
            <w:tcW w:w="11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1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60" w:type="dxa"/>
            <w:vAlign w:val="bottom"/>
          </w:tcPr>
          <w:p>
            <w:pPr>
              <w:spacing w:after="0"/>
              <w:rPr>
                <w:sz w:val="15"/>
                <w:szCs w:val="15"/>
                <w:color w:val="auto"/>
              </w:rPr>
            </w:pPr>
          </w:p>
        </w:tc>
        <w:tc>
          <w:tcPr>
            <w:tcW w:w="1140" w:type="dxa"/>
            <w:vAlign w:val="bottom"/>
            <w:gridSpan w:val="3"/>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3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5"/>
                <w:szCs w:val="15"/>
                <w:color w:val="auto"/>
              </w:rPr>
            </w:pPr>
          </w:p>
        </w:tc>
        <w:tc>
          <w:tcPr>
            <w:tcW w:w="12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20" w:type="dxa"/>
            <w:vAlign w:val="bottom"/>
          </w:tcPr>
          <w:p>
            <w:pPr>
              <w:spacing w:after="0"/>
              <w:rPr>
                <w:sz w:val="15"/>
                <w:szCs w:val="15"/>
                <w:color w:val="auto"/>
              </w:rPr>
            </w:pP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5"/>
                <w:szCs w:val="15"/>
                <w:color w:val="auto"/>
              </w:rPr>
            </w:pPr>
          </w:p>
        </w:tc>
        <w:tc>
          <w:tcPr>
            <w:tcW w:w="11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12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60" w:type="dxa"/>
            <w:vAlign w:val="bottom"/>
          </w:tcPr>
          <w:p>
            <w:pPr>
              <w:spacing w:after="0"/>
              <w:rPr>
                <w:sz w:val="18"/>
                <w:szCs w:val="18"/>
                <w:color w:val="auto"/>
              </w:rPr>
            </w:pPr>
          </w:p>
        </w:tc>
        <w:tc>
          <w:tcPr>
            <w:tcW w:w="62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(C$</w:t>
            </w:r>
          </w:p>
        </w:tc>
        <w:tc>
          <w:tcPr>
            <w:tcW w:w="4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(USD)</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2,097,931</w:t>
            </w:r>
          </w:p>
        </w:tc>
        <w:tc>
          <w:tcPr>
            <w:tcW w:w="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w:t>
            </w:r>
          </w:p>
        </w:tc>
        <w:tc>
          <w:tcPr>
            <w:tcW w:w="62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20" w:type="dxa"/>
            <w:vAlign w:val="bottom"/>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2,097,931</w:t>
            </w:r>
          </w:p>
        </w:tc>
        <w:tc>
          <w:tcPr>
            <w:tcW w:w="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w:t>
            </w:r>
          </w:p>
        </w:tc>
        <w:tc>
          <w:tcPr>
            <w:tcW w:w="6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-157480</wp:posOffset>
            </wp:positionV>
            <wp:extent cx="102235" cy="1708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-157480</wp:posOffset>
            </wp:positionV>
            <wp:extent cx="102235" cy="1708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4526915</wp:posOffset>
            </wp:positionH>
            <wp:positionV relativeFrom="paragraph">
              <wp:posOffset>-157480</wp:posOffset>
            </wp:positionV>
            <wp:extent cx="93980" cy="1708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5375910</wp:posOffset>
            </wp:positionH>
            <wp:positionV relativeFrom="paragraph">
              <wp:posOffset>-157480</wp:posOffset>
            </wp:positionV>
            <wp:extent cx="93980" cy="1708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6275705</wp:posOffset>
            </wp:positionH>
            <wp:positionV relativeFrom="paragraph">
              <wp:posOffset>-157480</wp:posOffset>
            </wp:positionV>
            <wp:extent cx="93980" cy="1708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7090410</wp:posOffset>
            </wp:positionH>
            <wp:positionV relativeFrom="paragraph">
              <wp:posOffset>-157480</wp:posOffset>
            </wp:positionV>
            <wp:extent cx="59690" cy="1708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170815"/>
                    </a:xfrm>
                    <a:prstGeom prst="rect">
                      <a:avLst/>
                    </a:prstGeom>
                    <a:noFill/>
                  </pic:spPr>
                </pic:pic>
              </a:graphicData>
            </a:graphic>
          </wp:anchor>
        </w:drawing>
      </w:r>
    </w:p>
    <w:p>
      <w:pPr>
        <w:spacing w:after="0" w:line="16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Liability Classified Warrants Outstanding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fair value of the liability classified warrants at March 31, 2022 and December 31,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120" w:type="dxa"/>
            <w:vAlign w:val="bottom"/>
          </w:tcPr>
          <w:p>
            <w:pPr>
              <w:spacing w:after="0"/>
              <w:rPr>
                <w:sz w:val="13"/>
                <w:szCs w:val="13"/>
                <w:color w:val="auto"/>
              </w:rPr>
            </w:pPr>
          </w:p>
        </w:tc>
        <w:tc>
          <w:tcPr>
            <w:tcW w:w="1520" w:type="dxa"/>
            <w:vAlign w:val="bottom"/>
            <w:gridSpan w:val="2"/>
          </w:tcPr>
          <w:p>
            <w:pPr>
              <w:jc w:val="center"/>
              <w:ind w:right="140"/>
              <w:spacing w:after="0" w:line="159"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39"/>
              <w:spacing w:after="0" w:line="159"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46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Bridge Financing Warrants Issued April 2019</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C$22.90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100,723</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Placement Financing Warrants Issued May 2019</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C$19.39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1,606,533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(6,168 )</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Modification Warrants Issued November 2019</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C$12.04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316,947</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3,442</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(1,161 )</w:t>
            </w:r>
          </w:p>
        </w:tc>
        <w:tc>
          <w:tcPr>
            <w:tcW w:w="0" w:type="dxa"/>
            <w:vAlign w:val="bottom"/>
          </w:tcPr>
          <w:p>
            <w:pPr>
              <w:spacing w:after="0"/>
              <w:rPr>
                <w:sz w:val="1"/>
                <w:szCs w:val="1"/>
                <w:color w:val="auto"/>
              </w:rPr>
            </w:pPr>
          </w:p>
        </w:tc>
      </w:tr>
      <w:tr>
        <w:trPr>
          <w:trHeight w:val="202"/>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Modification Warrants Issued May 2020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C$14.03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73,728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00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2,097,931</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16,948</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24,877</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(7,929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520" w:right="140"/>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recorded a gain of $7,929 thousand and a loss of $5,851 thousand, respectively, on the change in the fair value of the warrant liability within other income (expense) on the unaudited interim condensed consolidated statements of operations.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significant assumptions used in determining the fair value of the warrant liability as of each reporting date (see</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14 - Fair Value Measurements for additional details):</w:t>
      </w:r>
    </w:p>
    <w:p>
      <w:pPr>
        <w:spacing w:after="0" w:line="235" w:lineRule="exact"/>
        <w:rPr>
          <w:sz w:val="20"/>
          <w:szCs w:val="20"/>
          <w:color w:val="auto"/>
        </w:rPr>
      </w:pPr>
    </w:p>
    <w:tbl>
      <w:tblPr>
        <w:tblLayout w:type="fixed"/>
        <w:tblInd w:w="96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34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60" w:type="dxa"/>
            <w:vAlign w:val="bottom"/>
            <w:gridSpan w:val="3"/>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19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2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65.5% - 69.83%</w:t>
            </w:r>
          </w:p>
        </w:tc>
        <w:tc>
          <w:tcPr>
            <w:tcW w:w="34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1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- 74.04%</w:t>
            </w:r>
          </w:p>
        </w:tc>
      </w:tr>
      <w:tr>
        <w:trPr>
          <w:trHeight w:val="20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Remaining Term</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0.53 - 3.15 years</w:t>
            </w:r>
          </w:p>
        </w:tc>
        <w:tc>
          <w:tcPr>
            <w:tcW w:w="340" w:type="dxa"/>
            <w:vAlign w:val="bottom"/>
          </w:tcPr>
          <w:p>
            <w:pPr>
              <w:spacing w:after="0"/>
              <w:rPr>
                <w:sz w:val="17"/>
                <w:szCs w:val="17"/>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0.78 - 3.39 years</w:t>
            </w:r>
          </w:p>
        </w:tc>
      </w:tr>
      <w:tr>
        <w:trPr>
          <w:trHeight w:val="20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Free Rate</w:t>
            </w: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2.17% - 2.28%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- 1.06%</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72" w:right="2720" w:hanging="41"/>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09" w:lineRule="exact"/>
        <w:rPr>
          <w:sz w:val="20"/>
          <w:szCs w:val="20"/>
          <w:color w:val="auto"/>
        </w:rPr>
      </w:pPr>
    </w:p>
    <w:p>
      <w:pPr>
        <w:ind w:left="452" w:hanging="452"/>
        <w:spacing w:after="0"/>
        <w:tabs>
          <w:tab w:leader="none" w:pos="45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i w:val="1"/>
          <w:iCs w:val="1"/>
          <w:color w:val="auto"/>
        </w:rPr>
        <w:t>(Continued)</w:t>
      </w:r>
    </w:p>
    <w:p>
      <w:pPr>
        <w:spacing w:after="0" w:line="319" w:lineRule="exact"/>
        <w:rPr>
          <w:rFonts w:ascii="Times New Roman" w:cs="Times New Roman" w:eastAsia="Times New Roman" w:hAnsi="Times New Roman"/>
          <w:sz w:val="18"/>
          <w:szCs w:val="18"/>
          <w:b w:val="1"/>
          <w:bCs w:val="1"/>
          <w:color w:val="auto"/>
        </w:rPr>
      </w:pPr>
    </w:p>
    <w:p>
      <w:pPr>
        <w:ind w:left="392" w:hanging="392"/>
        <w:spacing w:after="0"/>
        <w:tabs>
          <w:tab w:leader="none" w:pos="392"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Classified Warrants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-262255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8"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following table summarizes the fair value of the equity classified warrants at March 31, 2022 and December 31, 2021:</w:t>
      </w:r>
    </w:p>
    <w:p>
      <w:pPr>
        <w:spacing w:after="0" w:line="255" w:lineRule="exact"/>
        <w:rPr>
          <w:sz w:val="20"/>
          <w:szCs w:val="20"/>
          <w:color w:val="auto"/>
        </w:rPr>
      </w:pPr>
    </w:p>
    <w:tbl>
      <w:tblPr>
        <w:tblLayout w:type="fixed"/>
        <w:tblInd w:w="72"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8"/>
                <w:szCs w:val="18"/>
                <w:color w:val="auto"/>
              </w:rPr>
            </w:pPr>
          </w:p>
        </w:tc>
      </w:tr>
      <w:tr>
        <w:trPr>
          <w:trHeight w:val="186"/>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8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6"/>
                <w:szCs w:val="16"/>
                <w:color w:val="auto"/>
              </w:rPr>
            </w:pPr>
          </w:p>
        </w:tc>
      </w:tr>
      <w:tr>
        <w:trPr>
          <w:trHeight w:val="218"/>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 Included in Contributed Surplus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240" w:type="dxa"/>
            <w:vAlign w:val="bottom"/>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r>
      <w:tr>
        <w:trPr>
          <w:trHeight w:val="196"/>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 w:type="dxa"/>
            <w:vAlign w:val="bottom"/>
          </w:tcPr>
          <w:p>
            <w:pPr>
              <w:spacing w:after="0"/>
              <w:rPr>
                <w:sz w:val="17"/>
                <w:szCs w:val="17"/>
                <w:color w:val="auto"/>
              </w:rPr>
            </w:pPr>
          </w:p>
        </w:tc>
      </w:tr>
      <w:tr>
        <w:trPr>
          <w:trHeight w:val="19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 Warrants Issued June 2020</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40" w:type="dxa"/>
            <w:vAlign w:val="bottom"/>
            <w:shd w:val="clear" w:color="auto" w:fill="CFF0FC"/>
          </w:tcPr>
          <w:p>
            <w:pPr>
              <w:spacing w:after="0"/>
              <w:rPr>
                <w:sz w:val="17"/>
                <w:szCs w:val="17"/>
                <w:color w:val="auto"/>
              </w:rPr>
            </w:pP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Refinance Warrants Issued April 2021</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1,459,044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c>
          <w:tcPr>
            <w:tcW w:w="40" w:type="dxa"/>
            <w:vAlign w:val="bottom"/>
          </w:tcPr>
          <w:p>
            <w:pPr>
              <w:spacing w:after="0"/>
              <w:rPr>
                <w:sz w:val="17"/>
                <w:szCs w:val="17"/>
                <w:color w:val="auto"/>
              </w:rPr>
            </w:pPr>
          </w:p>
        </w:tc>
      </w:tr>
      <w:tr>
        <w:trPr>
          <w:trHeight w:val="202"/>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Private Placement Refinance Warrants Issued October 2021</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2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243,303</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40" w:type="dxa"/>
            <w:vAlign w:val="bottom"/>
            <w:tcBorders>
              <w:bottom w:val="single" w:sz="8" w:color="CFF0FC"/>
            </w:tcBorders>
            <w:shd w:val="clear" w:color="auto" w:fill="CFF0FC"/>
          </w:tcPr>
          <w:p>
            <w:pPr>
              <w:spacing w:after="0"/>
              <w:rPr>
                <w:sz w:val="17"/>
                <w:szCs w:val="17"/>
                <w:color w:val="auto"/>
              </w:rPr>
            </w:pPr>
          </w:p>
        </w:tc>
      </w:tr>
      <w:tr>
        <w:trPr>
          <w:trHeight w:val="196"/>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1,737,347</w:t>
            </w:r>
          </w:p>
        </w:tc>
        <w:tc>
          <w:tcPr>
            <w:tcW w:w="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c>
          <w:tcPr>
            <w:tcW w:w="4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5349240</wp:posOffset>
            </wp:positionH>
            <wp:positionV relativeFrom="paragraph">
              <wp:posOffset>-162560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-162560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-162560</wp:posOffset>
            </wp:positionV>
            <wp:extent cx="342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4" w:lineRule="exact"/>
        <w:rPr>
          <w:sz w:val="20"/>
          <w:szCs w:val="20"/>
          <w:color w:val="auto"/>
        </w:rPr>
      </w:pPr>
    </w:p>
    <w:p>
      <w:pPr>
        <w:ind w:left="512" w:right="540"/>
        <w:spacing w:after="0" w:line="266" w:lineRule="auto"/>
        <w:rPr>
          <w:sz w:val="20"/>
          <w:szCs w:val="20"/>
          <w:color w:val="auto"/>
        </w:rPr>
      </w:pPr>
      <w:r>
        <w:rPr>
          <w:rFonts w:ascii="Times New Roman" w:cs="Times New Roman" w:eastAsia="Times New Roman" w:hAnsi="Times New Roman"/>
          <w:sz w:val="18"/>
          <w:szCs w:val="18"/>
          <w:color w:val="auto"/>
        </w:rPr>
        <w:t>The equity warrants were valued as of the date of issuance using a Black Scholes Option Pricing model. The following table summarizes the significant assumptions used in determining the fair value of the warrants as of each respective issuance date:</w:t>
      </w:r>
    </w:p>
    <w:p>
      <w:pPr>
        <w:spacing w:after="0" w:line="156" w:lineRule="exact"/>
        <w:rPr>
          <w:sz w:val="20"/>
          <w:szCs w:val="20"/>
          <w:color w:val="auto"/>
        </w:rPr>
      </w:pPr>
    </w:p>
    <w:tbl>
      <w:tblPr>
        <w:tblLayout w:type="fixed"/>
        <w:tblInd w:w="1692"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160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Private Placement</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Dispensary</w:t>
            </w: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3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Placement</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6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Refinancing</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Refinancing</w:t>
            </w:r>
          </w:p>
        </w:tc>
        <w:tc>
          <w:tcPr>
            <w:tcW w:w="11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16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Date of Issuance</w:t>
            </w:r>
          </w:p>
        </w:tc>
        <w:tc>
          <w:tcPr>
            <w:tcW w:w="16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October 15, 2021</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April 30, 2021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2020</w:t>
            </w: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Volatility</w:t>
            </w:r>
          </w:p>
        </w:tc>
        <w:tc>
          <w:tcPr>
            <w:tcW w:w="16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73%</w:t>
            </w:r>
          </w:p>
        </w:tc>
        <w:tc>
          <w:tcPr>
            <w:tcW w:w="13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73%</w:t>
            </w:r>
          </w:p>
        </w:tc>
        <w:tc>
          <w:tcPr>
            <w:tcW w:w="118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Estimated Term</w:t>
            </w:r>
          </w:p>
        </w:tc>
        <w:tc>
          <w:tcPr>
            <w:tcW w:w="16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4 years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 Free Rate</w:t>
            </w:r>
          </w:p>
        </w:tc>
        <w:tc>
          <w:tcPr>
            <w:tcW w:w="160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1.12%</w:t>
            </w:r>
          </w:p>
        </w:tc>
        <w:tc>
          <w:tcPr>
            <w:tcW w:w="138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0.74%</w:t>
            </w:r>
          </w:p>
        </w:tc>
        <w:tc>
          <w:tcPr>
            <w:tcW w:w="118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17" w:right="39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57" w:lineRule="exact"/>
        <w:rPr>
          <w:sz w:val="20"/>
          <w:szCs w:val="20"/>
          <w:color w:val="auto"/>
        </w:rPr>
      </w:pPr>
    </w:p>
    <w:p>
      <w:pPr>
        <w:ind w:left="540" w:hanging="532"/>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the following classes of share capital, with each class having no par value:</w:t>
      </w:r>
    </w:p>
    <w:p>
      <w:pPr>
        <w:spacing w:after="0" w:line="208" w:lineRule="exact"/>
        <w:rPr>
          <w:sz w:val="20"/>
          <w:szCs w:val="20"/>
          <w:color w:val="auto"/>
        </w:rPr>
      </w:pPr>
    </w:p>
    <w:p>
      <w:pPr>
        <w:ind w:left="860" w:hanging="343"/>
        <w:spacing w:after="0"/>
        <w:tabs>
          <w:tab w:leader="none" w:pos="8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Subordinate Voting Shares</w:t>
      </w:r>
    </w:p>
    <w:p>
      <w:pPr>
        <w:spacing w:after="0" w:line="108" w:lineRule="exact"/>
        <w:rPr>
          <w:sz w:val="20"/>
          <w:szCs w:val="20"/>
          <w:color w:val="auto"/>
        </w:rPr>
      </w:pPr>
    </w:p>
    <w:p>
      <w:pPr>
        <w:ind w:left="1140" w:right="20"/>
        <w:spacing w:after="0" w:line="246" w:lineRule="auto"/>
        <w:rPr>
          <w:sz w:val="20"/>
          <w:szCs w:val="20"/>
          <w:color w:val="auto"/>
        </w:rPr>
      </w:pPr>
      <w:r>
        <w:rPr>
          <w:rFonts w:ascii="Times New Roman" w:cs="Times New Roman" w:eastAsia="Times New Roman" w:hAnsi="Times New Roman"/>
          <w:sz w:val="18"/>
          <w:szCs w:val="18"/>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three months ended March 31, 2022, the shareholders of the Company converted 5,000 Multiple Voting Shares into 500,000 Subordinate Voting Shares.</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(ii)  Multiple Voting Shares</w:t>
      </w:r>
    </w:p>
    <w:p>
      <w:pPr>
        <w:spacing w:after="0" w:line="108" w:lineRule="exact"/>
        <w:rPr>
          <w:sz w:val="20"/>
          <w:szCs w:val="20"/>
          <w:color w:val="auto"/>
        </w:rPr>
      </w:pPr>
    </w:p>
    <w:p>
      <w:pPr>
        <w:ind w:left="1140" w:right="100"/>
        <w:spacing w:after="0" w:line="246" w:lineRule="auto"/>
        <w:rPr>
          <w:sz w:val="20"/>
          <w:szCs w:val="20"/>
          <w:color w:val="auto"/>
        </w:rPr>
      </w:pPr>
      <w:r>
        <w:rPr>
          <w:rFonts w:ascii="Times New Roman" w:cs="Times New Roman" w:eastAsia="Times New Roman" w:hAnsi="Times New Roman"/>
          <w:sz w:val="18"/>
          <w:szCs w:val="18"/>
          <w:color w:val="auto"/>
        </w:rPr>
        <w:t>Each Multiple Voting Share is entitled to 100 votes per share at shareholder meetings of the Company and is exchangeable for 100 Subordinate Voting Shares. At March 31, 2022, the Company had 38,531 issued and outstanding Multiple Voting Shares, which convert into 3,853,100 Subordinate Voting Shares. The Company is authorized to issue an unlimited number of Multiple Voting Shares. During the three months ended March 31, 2022, the shareholders of the Company converted 5,000 Multiple Voting Shares into 500,000 Subordinate Voting Shares.</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(iii) Super Voting Shares</w:t>
      </w:r>
    </w:p>
    <w:p>
      <w:pPr>
        <w:spacing w:after="0" w:line="108" w:lineRule="exact"/>
        <w:rPr>
          <w:sz w:val="20"/>
          <w:szCs w:val="20"/>
          <w:color w:val="auto"/>
        </w:rPr>
      </w:pPr>
    </w:p>
    <w:p>
      <w:pPr>
        <w:ind w:left="1140"/>
        <w:spacing w:after="0" w:line="246" w:lineRule="auto"/>
        <w:rPr>
          <w:sz w:val="20"/>
          <w:szCs w:val="20"/>
          <w:color w:val="auto"/>
        </w:rPr>
      </w:pPr>
      <w:r>
        <w:rPr>
          <w:rFonts w:ascii="Times New Roman" w:cs="Times New Roman" w:eastAsia="Times New Roman" w:hAnsi="Times New Roman"/>
          <w:sz w:val="18"/>
          <w:szCs w:val="18"/>
          <w:color w:val="auto"/>
        </w:rPr>
        <w:t>Each Super Voting Share is entitled to 1,000 votes per share at shareholder meetings of the Company and is exchangeable for 100 Subordinate Voting Shares or one Multiple Voting Share. At March 31, 2022, the Company had 280,031 issued and outstanding Super Voting Shares which convert into 28,003,100 Subordinate Voting Shares. The Company is authorized to issue an unlimited number of Super Voting Shares. During the three months ended March 31, 2022, the shareholders of the Company converted 5,000 Super Voting Shares into 5,000 Multiple Voting Shares.</w:t>
      </w:r>
    </w:p>
    <w:p>
      <w:pPr>
        <w:spacing w:after="0" w:line="1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Issued and Outstanding</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the issued and outstanding shares by class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Issued and Outstanding</w:t>
            </w:r>
          </w:p>
        </w:tc>
        <w:tc>
          <w:tcPr>
            <w:tcW w:w="19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160"/>
        </w:trPr>
        <w:tc>
          <w:tcPr>
            <w:tcW w:w="4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800" w:type="dxa"/>
            <w:vAlign w:val="bottom"/>
          </w:tcPr>
          <w:p>
            <w:pPr>
              <w:jc w:val="right"/>
              <w:ind w:right="330"/>
              <w:spacing w:after="0" w:line="160" w:lineRule="exact"/>
              <w:rPr>
                <w:sz w:val="20"/>
                <w:szCs w:val="20"/>
                <w:color w:val="auto"/>
              </w:rPr>
            </w:pPr>
            <w:r>
              <w:rPr>
                <w:rFonts w:ascii="Times New Roman" w:cs="Times New Roman" w:eastAsia="Times New Roman" w:hAnsi="Times New Roman"/>
                <w:sz w:val="18"/>
                <w:szCs w:val="18"/>
                <w:b w:val="1"/>
                <w:bCs w:val="1"/>
                <w:color w:val="auto"/>
              </w:rPr>
              <w:t>Subordinate</w:t>
            </w:r>
          </w:p>
        </w:tc>
        <w:tc>
          <w:tcPr>
            <w:tcW w:w="100" w:type="dxa"/>
            <w:vAlign w:val="bottom"/>
          </w:tcPr>
          <w:p>
            <w:pPr>
              <w:spacing w:after="0"/>
              <w:rPr>
                <w:sz w:val="13"/>
                <w:szCs w:val="13"/>
                <w:color w:val="auto"/>
              </w:rPr>
            </w:pPr>
          </w:p>
        </w:tc>
        <w:tc>
          <w:tcPr>
            <w:tcW w:w="19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8"/>
                <w:szCs w:val="18"/>
                <w:b w:val="1"/>
                <w:bCs w:val="1"/>
                <w:color w:val="auto"/>
                <w:w w:val="99"/>
              </w:rPr>
              <w:t>Multiple</w:t>
            </w:r>
          </w:p>
        </w:tc>
        <w:tc>
          <w:tcPr>
            <w:tcW w:w="1900" w:type="dxa"/>
            <w:vAlign w:val="bottom"/>
          </w:tcPr>
          <w:p>
            <w:pPr>
              <w:jc w:val="right"/>
              <w:ind w:right="650"/>
              <w:spacing w:after="0" w:line="160" w:lineRule="exact"/>
              <w:rPr>
                <w:sz w:val="20"/>
                <w:szCs w:val="20"/>
                <w:color w:val="auto"/>
              </w:rPr>
            </w:pPr>
            <w:r>
              <w:rPr>
                <w:rFonts w:ascii="Times New Roman" w:cs="Times New Roman" w:eastAsia="Times New Roman" w:hAnsi="Times New Roman"/>
                <w:sz w:val="18"/>
                <w:szCs w:val="18"/>
                <w:b w:val="1"/>
                <w:bCs w:val="1"/>
                <w:color w:val="auto"/>
              </w:rPr>
              <w:t>Super</w:t>
            </w:r>
          </w:p>
        </w:tc>
        <w:tc>
          <w:tcPr>
            <w:tcW w:w="440" w:type="dxa"/>
            <w:vAlign w:val="bottom"/>
          </w:tcPr>
          <w:p>
            <w:pPr>
              <w:spacing w:after="0"/>
              <w:rPr>
                <w:sz w:val="13"/>
                <w:szCs w:val="13"/>
                <w:color w:val="auto"/>
              </w:rPr>
            </w:pPr>
          </w:p>
        </w:tc>
      </w:tr>
      <w:tr>
        <w:trPr>
          <w:trHeight w:val="184"/>
        </w:trPr>
        <w:tc>
          <w:tcPr>
            <w:tcW w:w="46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800" w:type="dxa"/>
            <w:vAlign w:val="bottom"/>
          </w:tcPr>
          <w:p>
            <w:pPr>
              <w:jc w:val="right"/>
              <w:ind w:right="570"/>
              <w:spacing w:after="0" w:line="184" w:lineRule="exact"/>
              <w:rPr>
                <w:sz w:val="20"/>
                <w:szCs w:val="20"/>
                <w:color w:val="auto"/>
              </w:rPr>
            </w:pPr>
            <w:r>
              <w:rPr>
                <w:rFonts w:ascii="Times New Roman" w:cs="Times New Roman" w:eastAsia="Times New Roman" w:hAnsi="Times New Roman"/>
                <w:sz w:val="18"/>
                <w:szCs w:val="18"/>
                <w:b w:val="1"/>
                <w:bCs w:val="1"/>
                <w:color w:val="auto"/>
              </w:rPr>
              <w:t>Voting</w:t>
            </w:r>
          </w:p>
        </w:tc>
        <w:tc>
          <w:tcPr>
            <w:tcW w:w="100" w:type="dxa"/>
            <w:vAlign w:val="bottom"/>
          </w:tcPr>
          <w:p>
            <w:pPr>
              <w:spacing w:after="0"/>
              <w:rPr>
                <w:sz w:val="16"/>
                <w:szCs w:val="16"/>
                <w:color w:val="auto"/>
              </w:rPr>
            </w:pPr>
          </w:p>
        </w:tc>
        <w:tc>
          <w:tcPr>
            <w:tcW w:w="19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Voting</w:t>
            </w:r>
          </w:p>
        </w:tc>
        <w:tc>
          <w:tcPr>
            <w:tcW w:w="1900" w:type="dxa"/>
            <w:vAlign w:val="bottom"/>
          </w:tcPr>
          <w:p>
            <w:pPr>
              <w:jc w:val="right"/>
              <w:ind w:right="630"/>
              <w:spacing w:after="0" w:line="184" w:lineRule="exact"/>
              <w:rPr>
                <w:sz w:val="20"/>
                <w:szCs w:val="20"/>
                <w:color w:val="auto"/>
              </w:rPr>
            </w:pPr>
            <w:r>
              <w:rPr>
                <w:rFonts w:ascii="Times New Roman" w:cs="Times New Roman" w:eastAsia="Times New Roman" w:hAnsi="Times New Roman"/>
                <w:sz w:val="18"/>
                <w:szCs w:val="18"/>
                <w:b w:val="1"/>
                <w:bCs w:val="1"/>
                <w:color w:val="auto"/>
              </w:rPr>
              <w:t>Voting</w:t>
            </w:r>
          </w:p>
        </w:tc>
        <w:tc>
          <w:tcPr>
            <w:tcW w:w="440" w:type="dxa"/>
            <w:vAlign w:val="bottom"/>
          </w:tcPr>
          <w:p>
            <w:pPr>
              <w:spacing w:after="0"/>
              <w:rPr>
                <w:sz w:val="16"/>
                <w:szCs w:val="16"/>
                <w:color w:val="auto"/>
              </w:rPr>
            </w:pPr>
          </w:p>
        </w:tc>
      </w:tr>
      <w:tr>
        <w:trPr>
          <w:trHeight w:val="238"/>
        </w:trPr>
        <w:tc>
          <w:tcPr>
            <w:tcW w:w="4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8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9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20"/>
                <w:szCs w:val="20"/>
                <w:color w:val="auto"/>
              </w:rPr>
            </w:pPr>
          </w:p>
        </w:tc>
      </w:tr>
      <w:tr>
        <w:trPr>
          <w:trHeight w:val="214"/>
        </w:trPr>
        <w:tc>
          <w:tcPr>
            <w:tcW w:w="460" w:type="dxa"/>
            <w:vAlign w:val="bottom"/>
          </w:tcPr>
          <w:p>
            <w:pPr>
              <w:spacing w:after="0"/>
              <w:rPr>
                <w:sz w:val="18"/>
                <w:szCs w:val="18"/>
                <w:color w:val="auto"/>
              </w:rPr>
            </w:pPr>
          </w:p>
        </w:tc>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201,768,312</w:t>
            </w:r>
          </w:p>
        </w:tc>
        <w:tc>
          <w:tcPr>
            <w:tcW w:w="100" w:type="dxa"/>
            <w:vAlign w:val="bottom"/>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20" w:type="dxa"/>
            <w:vAlign w:val="bottom"/>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285,031</w:t>
            </w:r>
          </w:p>
        </w:tc>
        <w:tc>
          <w:tcPr>
            <w:tcW w:w="440" w:type="dxa"/>
            <w:vAlign w:val="bottom"/>
          </w:tcPr>
          <w:p>
            <w:pPr>
              <w:spacing w:after="0"/>
              <w:rPr>
                <w:sz w:val="18"/>
                <w:szCs w:val="18"/>
                <w:color w:val="auto"/>
              </w:rPr>
            </w:pPr>
          </w:p>
        </w:tc>
      </w:tr>
      <w:tr>
        <w:trPr>
          <w:trHeight w:val="171"/>
        </w:trPr>
        <w:tc>
          <w:tcPr>
            <w:tcW w:w="460" w:type="dxa"/>
            <w:vAlign w:val="bottom"/>
          </w:tcPr>
          <w:p>
            <w:pPr>
              <w:spacing w:after="0"/>
              <w:rPr>
                <w:sz w:val="14"/>
                <w:szCs w:val="14"/>
                <w:color w:val="auto"/>
              </w:rPr>
            </w:pPr>
          </w:p>
        </w:tc>
        <w:tc>
          <w:tcPr>
            <w:tcW w:w="462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shares under business combinations and</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34"/>
        </w:trPr>
        <w:tc>
          <w:tcPr>
            <w:tcW w:w="46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204,036</w:t>
            </w:r>
          </w:p>
        </w:tc>
        <w:tc>
          <w:tcPr>
            <w:tcW w:w="100" w:type="dxa"/>
            <w:vAlign w:val="bottom"/>
          </w:tcPr>
          <w:p>
            <w:pPr>
              <w:spacing w:after="0"/>
              <w:rPr>
                <w:sz w:val="20"/>
                <w:szCs w:val="20"/>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667,080</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171"/>
        </w:trPr>
        <w:tc>
          <w:tcPr>
            <w:tcW w:w="460" w:type="dxa"/>
            <w:vAlign w:val="bottom"/>
          </w:tcPr>
          <w:p>
            <w:pPr>
              <w:spacing w:after="0"/>
              <w:rPr>
                <w:sz w:val="14"/>
                <w:szCs w:val="14"/>
                <w:color w:val="auto"/>
              </w:rPr>
            </w:pPr>
          </w:p>
        </w:tc>
        <w:tc>
          <w:tcPr>
            <w:tcW w:w="462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shares upon exercise of options and</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34"/>
        </w:trPr>
        <w:tc>
          <w:tcPr>
            <w:tcW w:w="46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109,582</w:t>
            </w:r>
          </w:p>
        </w:tc>
        <w:tc>
          <w:tcPr>
            <w:tcW w:w="100" w:type="dxa"/>
            <w:vAlign w:val="bottom"/>
          </w:tcPr>
          <w:p>
            <w:pPr>
              <w:spacing w:after="0"/>
              <w:rPr>
                <w:sz w:val="20"/>
                <w:szCs w:val="20"/>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107,645</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40" w:type="dxa"/>
            <w:vAlign w:val="bottom"/>
          </w:tcPr>
          <w:p>
            <w:pPr>
              <w:spacing w:after="0"/>
              <w:rPr>
                <w:sz w:val="18"/>
                <w:szCs w:val="18"/>
                <w:color w:val="auto"/>
              </w:rPr>
            </w:pPr>
          </w:p>
        </w:tc>
      </w:tr>
      <w:tr>
        <w:trPr>
          <w:trHeight w:val="250"/>
        </w:trPr>
        <w:tc>
          <w:tcPr>
            <w:tcW w:w="460" w:type="dxa"/>
            <w:vAlign w:val="bottom"/>
          </w:tcPr>
          <w:p>
            <w:pPr>
              <w:spacing w:after="0"/>
              <w:rPr>
                <w:sz w:val="21"/>
                <w:szCs w:val="21"/>
                <w:color w:val="auto"/>
              </w:rPr>
            </w:pPr>
          </w:p>
        </w:tc>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203,356,655</w:t>
            </w:r>
          </w:p>
        </w:tc>
        <w:tc>
          <w:tcPr>
            <w:tcW w:w="10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38,531</w:t>
            </w:r>
          </w:p>
        </w:tc>
        <w:tc>
          <w:tcPr>
            <w:tcW w:w="12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280,031</w:t>
            </w:r>
          </w:p>
        </w:tc>
        <w:tc>
          <w:tcPr>
            <w:tcW w:w="440" w:type="dxa"/>
            <w:vAlign w:val="bottom"/>
          </w:tcPr>
          <w:p>
            <w:pPr>
              <w:spacing w:after="0"/>
              <w:rPr>
                <w:sz w:val="21"/>
                <w:szCs w:val="21"/>
                <w:color w:val="auto"/>
              </w:rPr>
            </w:pPr>
          </w:p>
        </w:tc>
      </w:tr>
      <w:tr>
        <w:trPr>
          <w:trHeight w:val="642"/>
        </w:trPr>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-530860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-513715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-530860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-513715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57" w:lineRule="exact"/>
        <w:rPr>
          <w:sz w:val="20"/>
          <w:szCs w:val="20"/>
          <w:color w:val="auto"/>
        </w:rPr>
      </w:pPr>
    </w:p>
    <w:p>
      <w:pPr>
        <w:ind w:left="540" w:hanging="532"/>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p>
      <w:pPr>
        <w:ind w:left="400" w:hanging="392"/>
        <w:spacing w:after="0"/>
        <w:tabs>
          <w:tab w:leader="none" w:pos="4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Issued and Outstanding </w:t>
      </w:r>
      <w:r>
        <w:rPr>
          <w:rFonts w:ascii="Times New Roman" w:cs="Times New Roman" w:eastAsia="Times New Roman" w:hAnsi="Times New Roman"/>
          <w:sz w:val="18"/>
          <w:szCs w:val="18"/>
          <w:i w:val="1"/>
          <w:iCs w:val="1"/>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800" w:hanging="342"/>
        <w:spacing w:after="0"/>
        <w:tabs>
          <w:tab w:leader="none" w:pos="80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Shares Under Business Combinations and Investments</w:t>
      </w:r>
    </w:p>
    <w:p>
      <w:pPr>
        <w:spacing w:after="0" w:line="1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ILDISP, LLC</w:t>
      </w:r>
    </w:p>
    <w:p>
      <w:pPr>
        <w:spacing w:after="0" w:line="106" w:lineRule="exact"/>
        <w:rPr>
          <w:sz w:val="20"/>
          <w:szCs w:val="20"/>
          <w:color w:val="auto"/>
        </w:rPr>
      </w:pPr>
    </w:p>
    <w:p>
      <w:pPr>
        <w:ind w:left="1140" w:right="100"/>
        <w:spacing w:after="0" w:line="250" w:lineRule="auto"/>
        <w:rPr>
          <w:sz w:val="20"/>
          <w:szCs w:val="20"/>
          <w:color w:val="auto"/>
        </w:rPr>
      </w:pPr>
      <w:r>
        <w:rPr>
          <w:rFonts w:ascii="Times New Roman" w:cs="Times New Roman" w:eastAsia="Times New Roman" w:hAnsi="Times New Roman"/>
          <w:sz w:val="18"/>
          <w:szCs w:val="18"/>
          <w:color w:val="auto"/>
        </w:rPr>
        <w:t>On March 1, 2022, the Company issued 204,036 Subordinate Voting Shares with a value of approximately $3,785 thousand, based on a 20 consecutive day volume weighted average price (“VWAP”), in connection with the Company's acquisition of two Illinois-based dispensaries. The shares issued resulted in an increase in share capital and a corresponding increase in the net assets acquired. See Note 4 - Acquisitions for additional details.</w:t>
      </w:r>
    </w:p>
    <w:p>
      <w:pPr>
        <w:spacing w:after="0" w:line="79" w:lineRule="exact"/>
        <w:rPr>
          <w:sz w:val="20"/>
          <w:szCs w:val="20"/>
          <w:color w:val="auto"/>
        </w:rPr>
      </w:pPr>
    </w:p>
    <w:p>
      <w:pPr>
        <w:ind w:left="1140" w:right="7260" w:hanging="682"/>
        <w:spacing w:after="0" w:line="433" w:lineRule="auto"/>
        <w:tabs>
          <w:tab w:leader="none" w:pos="806"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Distribution of Contingent Consideration </w:t>
      </w:r>
      <w:r>
        <w:rPr>
          <w:rFonts w:ascii="Times New Roman" w:cs="Times New Roman" w:eastAsia="Times New Roman" w:hAnsi="Times New Roman"/>
          <w:sz w:val="17"/>
          <w:szCs w:val="17"/>
          <w:i w:val="1"/>
          <w:iCs w:val="1"/>
          <w:color w:val="auto"/>
        </w:rPr>
        <w:t>Dharma Pharmaceuticals, LLC</w:t>
      </w:r>
    </w:p>
    <w:p>
      <w:pPr>
        <w:spacing w:after="0" w:line="14" w:lineRule="exact"/>
        <w:rPr>
          <w:sz w:val="20"/>
          <w:szCs w:val="20"/>
          <w:color w:val="auto"/>
        </w:rPr>
      </w:pPr>
    </w:p>
    <w:p>
      <w:pPr>
        <w:ind w:left="1140"/>
        <w:spacing w:after="0" w:line="247" w:lineRule="auto"/>
        <w:rPr>
          <w:sz w:val="20"/>
          <w:szCs w:val="20"/>
          <w:color w:val="auto"/>
        </w:rPr>
      </w:pPr>
      <w:r>
        <w:rPr>
          <w:rFonts w:ascii="Times New Roman" w:cs="Times New Roman" w:eastAsia="Times New Roman" w:hAnsi="Times New Roman"/>
          <w:sz w:val="18"/>
          <w:szCs w:val="18"/>
          <w:color w:val="auto"/>
        </w:rPr>
        <w:t>In connection with the Company's 2021 acquisition of Dharma Pharmaceuticals, LLC (“Dharma”), the purchase agreement included contingent consideration of up to $65,000 thousand in Subordinate Voting Shares of Green Thumb, dependent upon the successful opening of up to 5 retail dispensaries in the Virginia area within the first three years following the signing of the agreement and the legal sale of adult use cannabis in a retail dispensary by January 1, 2025. On February 25, 2022, the Company issued 667,080 Subordinate Voting Shares to the former owners of Dharma in connection with the successful opening of two retail dispensaries in Virginia. The shares had a fair value of $13,111 thousand at the date of issuance.</w:t>
      </w:r>
    </w:p>
    <w:p>
      <w:pPr>
        <w:spacing w:after="0" w:line="180" w:lineRule="exact"/>
        <w:rPr>
          <w:sz w:val="20"/>
          <w:szCs w:val="20"/>
          <w:color w:val="auto"/>
        </w:rPr>
      </w:pPr>
    </w:p>
    <w:p>
      <w:pPr>
        <w:ind w:left="1140" w:right="260"/>
        <w:spacing w:after="0" w:line="250" w:lineRule="auto"/>
        <w:rPr>
          <w:sz w:val="20"/>
          <w:szCs w:val="20"/>
          <w:color w:val="auto"/>
        </w:rPr>
      </w:pPr>
      <w:r>
        <w:rPr>
          <w:rFonts w:ascii="Times New Roman" w:cs="Times New Roman" w:eastAsia="Times New Roman" w:hAnsi="Times New Roman"/>
          <w:sz w:val="18"/>
          <w:szCs w:val="18"/>
          <w:color w:val="auto"/>
        </w:rPr>
        <w:t>As of March 31, 2022 and December 31, 2021, the estimated fair value of the contingent consideration associated with the acquisition of Dharma, which was valued based on a probability weighting of the potential payments, was $39,137 thousand and $48,665 thousand, respectively. As of March 31, 2022 and December 31, 2021, $10,692 thousand and $20,884 thousand, respectively, was included as a current liability on the Company's unaudited interim condensed consolidated balance sheets.</w:t>
      </w:r>
    </w:p>
    <w:p>
      <w:pPr>
        <w:spacing w:after="0" w:line="6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Stock-Based Compensation</w:t>
      </w:r>
    </w:p>
    <w:p>
      <w:pPr>
        <w:spacing w:after="0" w:line="108" w:lineRule="exact"/>
        <w:rPr>
          <w:sz w:val="20"/>
          <w:szCs w:val="20"/>
          <w:color w:val="auto"/>
        </w:rPr>
      </w:pPr>
    </w:p>
    <w:p>
      <w:pPr>
        <w:ind w:left="520" w:right="160"/>
        <w:spacing w:after="0" w:line="247" w:lineRule="auto"/>
        <w:rPr>
          <w:sz w:val="20"/>
          <w:szCs w:val="20"/>
          <w:color w:val="auto"/>
        </w:rPr>
      </w:pPr>
      <w:r>
        <w:rPr>
          <w:rFonts w:ascii="Times New Roman" w:cs="Times New Roman" w:eastAsia="Times New Roman" w:hAnsi="Times New Roman"/>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72"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In June 2018, the Company established the Green Thumb Industries Inc. 2018 Stock and Incentive Plan, which was amended by Amendment No. 1 thereto (as amended, the “Plan”). The maximum number of Restricted Stock Units (“RSUs”) and options issued under the Plan shall not exceed 10% of the issued and outstanding shares on an as-converted basis.</w:t>
      </w:r>
    </w:p>
    <w:p>
      <w:pPr>
        <w:spacing w:after="0" w:line="61" w:lineRule="exact"/>
        <w:rPr>
          <w:sz w:val="20"/>
          <w:szCs w:val="20"/>
          <w:color w:val="auto"/>
        </w:rPr>
      </w:pPr>
    </w:p>
    <w:p>
      <w:pPr>
        <w:ind w:left="520" w:right="120"/>
        <w:spacing w:after="0" w:line="250" w:lineRule="auto"/>
        <w:rPr>
          <w:sz w:val="20"/>
          <w:szCs w:val="20"/>
          <w:color w:val="auto"/>
        </w:rPr>
      </w:pPr>
      <w:r>
        <w:rPr>
          <w:rFonts w:ascii="Times New Roman" w:cs="Times New Roman" w:eastAsia="Times New Roman" w:hAnsi="Times New Roman"/>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69" w:lineRule="exact"/>
        <w:rPr>
          <w:sz w:val="20"/>
          <w:szCs w:val="20"/>
          <w:color w:val="auto"/>
        </w:rPr>
      </w:pPr>
    </w:p>
    <w:p>
      <w:pPr>
        <w:ind w:left="520" w:right="100"/>
        <w:spacing w:after="0" w:line="258" w:lineRule="auto"/>
        <w:rPr>
          <w:sz w:val="20"/>
          <w:szCs w:val="20"/>
          <w:color w:val="auto"/>
        </w:rPr>
      </w:pPr>
      <w:r>
        <w:rPr>
          <w:rFonts w:ascii="Times New Roman" w:cs="Times New Roman" w:eastAsia="Times New Roman" w:hAnsi="Times New Roman"/>
          <w:sz w:val="18"/>
          <w:szCs w:val="18"/>
          <w:color w:val="auto"/>
        </w:rPr>
        <w:t>Option and RSU awards generally vest over three years, and options typically have a life of five to ten years. Option grants are determined by the Compensation Committee of the Company’s Board of Directors with the option price set at no less than 100% of the fair market value of a share on the date of grant.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780" w:hanging="41"/>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09" w:lineRule="exact"/>
        <w:rPr>
          <w:sz w:val="20"/>
          <w:szCs w:val="20"/>
          <w:color w:val="auto"/>
        </w:rPr>
      </w:pPr>
    </w:p>
    <w:p>
      <w:pPr>
        <w:ind w:left="540" w:hanging="532"/>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is summarized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3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60" w:type="dxa"/>
            <w:vAlign w:val="bottom"/>
          </w:tcPr>
          <w:p>
            <w:pPr>
              <w:spacing w:after="0"/>
              <w:rPr>
                <w:sz w:val="12"/>
                <w:szCs w:val="12"/>
                <w:color w:val="auto"/>
              </w:rPr>
            </w:pPr>
          </w:p>
        </w:tc>
      </w:tr>
      <w:tr>
        <w:trPr>
          <w:trHeight w:val="176"/>
        </w:trPr>
        <w:tc>
          <w:tcPr>
            <w:tcW w:w="3800" w:type="dxa"/>
            <w:vAlign w:val="bottom"/>
          </w:tcPr>
          <w:p>
            <w:pPr>
              <w:spacing w:after="0"/>
              <w:rPr>
                <w:sz w:val="15"/>
                <w:szCs w:val="15"/>
                <w:color w:val="auto"/>
              </w:rPr>
            </w:pPr>
          </w:p>
        </w:tc>
        <w:tc>
          <w:tcPr>
            <w:tcW w:w="23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2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Price C$</w:t>
            </w:r>
          </w:p>
        </w:tc>
        <w:tc>
          <w:tcPr>
            <w:tcW w:w="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tcPr>
          <w:p>
            <w:pPr>
              <w:spacing w:after="0"/>
              <w:rPr>
                <w:sz w:val="15"/>
                <w:szCs w:val="15"/>
                <w:color w:val="auto"/>
              </w:rPr>
            </w:pPr>
          </w:p>
        </w:tc>
      </w:tr>
      <w:tr>
        <w:trPr>
          <w:trHeight w:val="187"/>
        </w:trPr>
        <w:tc>
          <w:tcPr>
            <w:tcW w:w="3800" w:type="dxa"/>
            <w:vAlign w:val="bottom"/>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r>
      <w:tr>
        <w:trPr>
          <w:trHeight w:val="21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5,383,275</w:t>
            </w:r>
          </w:p>
        </w:tc>
        <w:tc>
          <w:tcPr>
            <w:tcW w:w="8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48,803</w:t>
            </w:r>
          </w:p>
        </w:tc>
        <w:tc>
          <w:tcPr>
            <w:tcW w:w="60" w:type="dxa"/>
            <w:vAlign w:val="bottom"/>
            <w:shd w:val="clear" w:color="auto" w:fill="CFF0FC"/>
          </w:tcPr>
          <w:p>
            <w:pPr>
              <w:spacing w:after="0"/>
              <w:rPr>
                <w:sz w:val="18"/>
                <w:szCs w:val="18"/>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131,661</w:t>
            </w:r>
          </w:p>
        </w:tc>
        <w:tc>
          <w:tcPr>
            <w:tcW w:w="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(109,582 )</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60" w:type="dxa"/>
            <w:vAlign w:val="bottom"/>
            <w:shd w:val="clear" w:color="auto" w:fill="CFF0FC"/>
          </w:tcPr>
          <w:p>
            <w:pPr>
              <w:spacing w:after="0"/>
              <w:rPr>
                <w:sz w:val="18"/>
                <w:szCs w:val="18"/>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(64,491 )</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2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5,340,863</w:t>
            </w:r>
          </w:p>
        </w:tc>
        <w:tc>
          <w:tcPr>
            <w:tcW w:w="80" w:type="dxa"/>
            <w:vAlign w:val="bottom"/>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42,848</w:t>
            </w:r>
          </w:p>
        </w:tc>
        <w:tc>
          <w:tcPr>
            <w:tcW w:w="60" w:type="dxa"/>
            <w:vAlign w:val="bottom"/>
            <w:shd w:val="clear" w:color="auto" w:fill="CFF0FC"/>
          </w:tcPr>
          <w:p>
            <w:pPr>
              <w:spacing w:after="0"/>
              <w:rPr>
                <w:sz w:val="18"/>
                <w:szCs w:val="18"/>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4,123,521</w:t>
            </w:r>
          </w:p>
        </w:tc>
        <w:tc>
          <w:tcPr>
            <w:tcW w:w="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of March 31, 2022</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2,748,919</w:t>
            </w:r>
          </w:p>
        </w:tc>
        <w:tc>
          <w:tcPr>
            <w:tcW w:w="8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29,595</w:t>
            </w:r>
          </w:p>
        </w:tc>
        <w:tc>
          <w:tcPr>
            <w:tcW w:w="60" w:type="dxa"/>
            <w:vAlign w:val="bottom"/>
            <w:shd w:val="clear" w:color="auto" w:fill="CFF0FC"/>
          </w:tcPr>
          <w:p>
            <w:pPr>
              <w:spacing w:after="0"/>
              <w:rPr>
                <w:sz w:val="18"/>
                <w:szCs w:val="18"/>
                <w:color w:val="auto"/>
              </w:rPr>
            </w:pPr>
          </w:p>
        </w:tc>
      </w:tr>
    </w:tbl>
    <w:p>
      <w:pPr>
        <w:spacing w:after="0" w:line="333" w:lineRule="exact"/>
        <w:rPr>
          <w:sz w:val="20"/>
          <w:szCs w:val="20"/>
          <w:color w:val="auto"/>
        </w:rPr>
      </w:pPr>
    </w:p>
    <w:p>
      <w:pPr>
        <w:ind w:left="520" w:right="20"/>
        <w:spacing w:after="0" w:line="250"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Company’s closing stock price on March 31, 2022 and December 31, 2021, respectively, and the exercise price, multiplied by the number of in-the-money options) that would have been received by the option holders had all option holders exercised their in-the-money options on March 31, 2022 and December 31, 2021. This amount will change in future periods based on the fair market value of the Company’s Subordinate Voting Shares and the number of options outstanding.</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 and intrinsic value of options exercised for the three months ended</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March 31, 2022 and 2021:</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5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4"/>
        </w:trPr>
        <w:tc>
          <w:tcPr>
            <w:tcW w:w="450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Weighted average grant date fair value (per share) of stock</w:t>
            </w:r>
          </w:p>
        </w:tc>
        <w:tc>
          <w:tcPr>
            <w:tcW w:w="13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4"/>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 units granted (C$)</w:t>
            </w:r>
          </w:p>
        </w:tc>
        <w:tc>
          <w:tcPr>
            <w:tcW w:w="13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shd w:val="clear" w:color="auto" w:fill="CFF0FC"/>
          </w:tcPr>
          <w:p>
            <w:pPr>
              <w:spacing w:after="0"/>
              <w:rPr>
                <w:sz w:val="20"/>
                <w:szCs w:val="20"/>
                <w:color w:val="auto"/>
              </w:rPr>
            </w:pPr>
          </w:p>
        </w:tc>
      </w:tr>
      <w:tr>
        <w:trPr>
          <w:trHeight w:val="169"/>
        </w:trPr>
        <w:tc>
          <w:tcPr>
            <w:tcW w:w="45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Intrinsic value of stock option units exercised, using market</w:t>
            </w: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price at vest date (US$) </w:t>
            </w:r>
            <w:r>
              <w:rPr>
                <w:rFonts w:ascii="Times New Roman" w:cs="Times New Roman" w:eastAsia="Times New Roman" w:hAnsi="Times New Roman"/>
                <w:sz w:val="18"/>
                <w:szCs w:val="18"/>
                <w:i w:val="1"/>
                <w:iCs w:val="1"/>
                <w:color w:val="auto"/>
              </w:rPr>
              <w:t>(in thousands)</w:t>
            </w: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1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80" w:type="dxa"/>
            <w:vAlign w:val="bottom"/>
          </w:tcPr>
          <w:p>
            <w:pPr>
              <w:spacing w:after="0"/>
              <w:rPr>
                <w:sz w:val="20"/>
                <w:szCs w:val="20"/>
                <w:color w:val="auto"/>
              </w:rPr>
            </w:pPr>
          </w:p>
        </w:tc>
      </w:tr>
    </w:tbl>
    <w:p>
      <w:pPr>
        <w:spacing w:after="0" w:line="225"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the options granted during the three months ended March 31, 2022 and the year ended December 31, 2021, using the following ranges of assumptions: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4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480" w:type="dxa"/>
            <w:vAlign w:val="bottom"/>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1.18% - 1.59%</w:t>
            </w:r>
          </w:p>
        </w:tc>
        <w:tc>
          <w:tcPr>
            <w:tcW w:w="2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0.33% - 1.39%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64%</w:t>
            </w:r>
          </w:p>
        </w:tc>
        <w:tc>
          <w:tcPr>
            <w:tcW w:w="2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w:t>
            </w:r>
          </w:p>
        </w:tc>
        <w:tc>
          <w:tcPr>
            <w:tcW w:w="2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3.5 years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3.5 years</w:t>
            </w:r>
          </w:p>
        </w:tc>
      </w:tr>
    </w:tbl>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permitted under ASC 718, the Company has made an accounting policy choice to account for forfeitures when they occur.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57" w:lineRule="exact"/>
        <w:rPr>
          <w:sz w:val="20"/>
          <w:szCs w:val="20"/>
          <w:color w:val="auto"/>
        </w:rPr>
      </w:pPr>
    </w:p>
    <w:p>
      <w:pPr>
        <w:ind w:left="540" w:hanging="532"/>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121" w:lineRule="exact"/>
        <w:rPr>
          <w:sz w:val="20"/>
          <w:szCs w:val="20"/>
          <w:color w:val="auto"/>
        </w:rPr>
      </w:pPr>
    </w:p>
    <w:p>
      <w:pPr>
        <w:ind w:left="520" w:right="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unvested RSU awards as of March 31, 2022 and December 31, 2021 and the changes during the three months ended March 31, 2022:</w:t>
      </w:r>
    </w:p>
    <w:p>
      <w:pPr>
        <w:spacing w:after="0" w:line="197"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0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w:t>
            </w:r>
          </w:p>
        </w:tc>
        <w:tc>
          <w:tcPr>
            <w:tcW w:w="0" w:type="dxa"/>
            <w:vAlign w:val="bottom"/>
          </w:tcPr>
          <w:p>
            <w:pPr>
              <w:spacing w:after="0"/>
              <w:rPr>
                <w:sz w:val="1"/>
                <w:szCs w:val="1"/>
                <w:color w:val="auto"/>
              </w:rPr>
            </w:pPr>
          </w:p>
        </w:tc>
      </w:tr>
      <w:tr>
        <w:trPr>
          <w:trHeight w:val="109"/>
        </w:trPr>
        <w:tc>
          <w:tcPr>
            <w:tcW w:w="46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2620" w:type="dxa"/>
            <w:vAlign w:val="bottom"/>
            <w:vMerge w:val="restart"/>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78"/>
        </w:trPr>
        <w:tc>
          <w:tcPr>
            <w:tcW w:w="4620" w:type="dxa"/>
            <w:vAlign w:val="bottom"/>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2021</w:t>
            </w:r>
          </w:p>
        </w:tc>
        <w:tc>
          <w:tcPr>
            <w:tcW w:w="2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376,127</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39,742</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(107,645)</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March 31, 2022</w:t>
            </w:r>
          </w:p>
        </w:tc>
        <w:tc>
          <w:tcPr>
            <w:tcW w:w="2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306,724</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 of RSUs granted and total fair value of RSUs vested for the three months ended March 31, 2022 and 2021:</w:t>
      </w:r>
    </w:p>
    <w:p>
      <w:pPr>
        <w:spacing w:after="0" w:line="223" w:lineRule="exact"/>
        <w:rPr>
          <w:sz w:val="20"/>
          <w:szCs w:val="20"/>
          <w:color w:val="auto"/>
        </w:rPr>
      </w:pPr>
    </w:p>
    <w:tbl>
      <w:tblPr>
        <w:tblLayout w:type="fixed"/>
        <w:tblInd w:w="96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4040" w:type="dxa"/>
            <w:vAlign w:val="bottom"/>
          </w:tcPr>
          <w:p>
            <w:pPr>
              <w:spacing w:after="0"/>
              <w:rPr>
                <w:sz w:val="16"/>
                <w:szCs w:val="16"/>
                <w:color w:val="auto"/>
              </w:rPr>
            </w:pP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171"/>
        </w:trPr>
        <w:tc>
          <w:tcPr>
            <w:tcW w:w="404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600" w:type="dxa"/>
            <w:vAlign w:val="bottom"/>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234"/>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RSUs granted (C$)</w:t>
            </w:r>
          </w:p>
        </w:tc>
        <w:tc>
          <w:tcPr>
            <w:tcW w:w="6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60" w:type="dxa"/>
            <w:vAlign w:val="bottom"/>
            <w:shd w:val="clear" w:color="auto" w:fill="CFF0FC"/>
          </w:tcPr>
          <w:p>
            <w:pPr>
              <w:spacing w:after="0"/>
              <w:rPr>
                <w:sz w:val="20"/>
                <w:szCs w:val="20"/>
                <w:color w:val="auto"/>
              </w:rPr>
            </w:pPr>
          </w:p>
        </w:tc>
      </w:tr>
      <w:tr>
        <w:trPr>
          <w:trHeight w:val="169"/>
        </w:trPr>
        <w:tc>
          <w:tcPr>
            <w:tcW w:w="40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Intrinsic value of RSUs vested, using market</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price at vest date (US$) </w:t>
            </w:r>
            <w:r>
              <w:rPr>
                <w:rFonts w:ascii="Times New Roman" w:cs="Times New Roman" w:eastAsia="Times New Roman" w:hAnsi="Times New Roman"/>
                <w:sz w:val="18"/>
                <w:szCs w:val="18"/>
                <w:i w:val="1"/>
                <w:iCs w:val="1"/>
                <w:color w:val="auto"/>
              </w:rPr>
              <w:t>(in thousands)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3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60" w:type="dxa"/>
            <w:vAlign w:val="bottom"/>
          </w:tcPr>
          <w:p>
            <w:pPr>
              <w:spacing w:after="0"/>
              <w:rPr>
                <w:sz w:val="20"/>
                <w:szCs w:val="20"/>
                <w:color w:val="auto"/>
              </w:rPr>
            </w:pPr>
          </w:p>
        </w:tc>
      </w:tr>
    </w:tbl>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stock-based compensation expense for the three months ended March 31, 2022 and 2021 was as follows:</w:t>
      </w:r>
    </w:p>
    <w:p>
      <w:pPr>
        <w:spacing w:after="0" w:line="200" w:lineRule="exact"/>
        <w:rPr>
          <w:sz w:val="20"/>
          <w:szCs w:val="20"/>
          <w:color w:val="auto"/>
        </w:rPr>
      </w:pPr>
    </w:p>
    <w:p>
      <w:pPr>
        <w:spacing w:after="0" w:line="235" w:lineRule="exact"/>
        <w:rPr>
          <w:sz w:val="20"/>
          <w:szCs w:val="20"/>
          <w:color w:val="auto"/>
        </w:rPr>
      </w:pPr>
    </w:p>
    <w:tbl>
      <w:tblPr>
        <w:tblLayout w:type="fixed"/>
        <w:tblInd w:w="96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169"/>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(in</w:t>
            </w:r>
          </w:p>
        </w:tc>
        <w:tc>
          <w:tcPr>
            <w:tcW w:w="1740" w:type="dxa"/>
            <w:vAlign w:val="bottom"/>
            <w:tcBorders>
              <w:bottom w:val="single" w:sz="8" w:color="auto"/>
            </w:tcBorders>
            <w:gridSpan w:val="2"/>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720" w:type="dxa"/>
            <w:vAlign w:val="bottom"/>
            <w:tcBorders>
              <w:bottom w:val="single" w:sz="8" w:color="auto"/>
            </w:tcBorders>
          </w:tcPr>
          <w:p>
            <w:pPr>
              <w:spacing w:after="0"/>
              <w:rPr>
                <w:sz w:val="14"/>
                <w:szCs w:val="14"/>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expense</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50"/>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-24765</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As of March 31, 2022, $20,251 thousand of total unrecognized expense related to stock-based compensation awards is expected to be recognized over a weighted-average period of 1.91 years.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income tax expense and effective tax rates for the three months ended March 31, 2022 and 2021:</w:t>
      </w:r>
    </w:p>
    <w:p>
      <w:pPr>
        <w:spacing w:after="0" w:line="241" w:lineRule="exact"/>
        <w:rPr>
          <w:sz w:val="20"/>
          <w:szCs w:val="20"/>
          <w:color w:val="auto"/>
        </w:rPr>
      </w:pPr>
    </w:p>
    <w:tbl>
      <w:tblPr>
        <w:tblLayout w:type="fixed"/>
        <w:tblInd w:w="96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54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r>
      <w:tr>
        <w:trPr>
          <w:trHeight w:val="202"/>
        </w:trPr>
        <w:tc>
          <w:tcPr>
            <w:tcW w:w="3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Pr>
          <w:p>
            <w:pPr>
              <w:spacing w:after="0"/>
              <w:rPr>
                <w:sz w:val="17"/>
                <w:szCs w:val="17"/>
                <w:color w:val="auto"/>
              </w:rPr>
            </w:pPr>
          </w:p>
        </w:tc>
        <w:tc>
          <w:tcPr>
            <w:tcW w:w="17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720" w:type="dxa"/>
            <w:vAlign w:val="bottom"/>
          </w:tcPr>
          <w:p>
            <w:pPr>
              <w:spacing w:after="0"/>
              <w:rPr>
                <w:sz w:val="17"/>
                <w:szCs w:val="17"/>
                <w:color w:val="auto"/>
              </w:rPr>
            </w:pPr>
          </w:p>
        </w:tc>
      </w:tr>
      <w:tr>
        <w:trPr>
          <w:trHeight w:val="196"/>
        </w:trPr>
        <w:tc>
          <w:tcPr>
            <w:tcW w:w="3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w:t>
            </w:r>
          </w:p>
        </w:tc>
        <w:tc>
          <w:tcPr>
            <w:tcW w:w="200" w:type="dxa"/>
            <w:vAlign w:val="bottom"/>
            <w:tcBorders>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720" w:type="dxa"/>
            <w:vAlign w:val="bottom"/>
            <w:tcBorders>
              <w:top w:val="single" w:sz="8" w:color="auto"/>
              <w:bottom w:val="single" w:sz="8" w:color="auto"/>
            </w:tcBorders>
          </w:tcPr>
          <w:p>
            <w:pPr>
              <w:spacing w:after="0"/>
              <w:rPr>
                <w:sz w:val="17"/>
                <w:szCs w:val="17"/>
                <w:color w:val="auto"/>
              </w:rPr>
            </w:pPr>
          </w:p>
        </w:tc>
      </w:tr>
      <w:tr>
        <w:trPr>
          <w:trHeight w:val="19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60,817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42,311</w:t>
            </w:r>
          </w:p>
        </w:tc>
      </w:tr>
      <w:tr>
        <w:trPr>
          <w:trHeight w:val="20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31,131</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30,856</w:t>
            </w:r>
          </w:p>
        </w:tc>
      </w:tr>
      <w:tr>
        <w:trPr>
          <w:trHeight w:val="203"/>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6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w:t>
            </w:r>
          </w:p>
        </w:tc>
      </w:tr>
    </w:tbl>
    <w:p>
      <w:pPr>
        <w:spacing w:after="0" w:line="23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effective tax rates for the three months ended March 31, 2022 and 2021 were based on the Company’s forecasted annualized effective tax rates and were adjusted for discrete items that occurred within the periods presented.</w:t>
      </w:r>
    </w:p>
    <w:p>
      <w:pPr>
        <w:spacing w:after="0" w:line="162" w:lineRule="exact"/>
        <w:rPr>
          <w:sz w:val="20"/>
          <w:szCs w:val="20"/>
          <w:color w:val="auto"/>
        </w:rPr>
      </w:pPr>
    </w:p>
    <w:p>
      <w:pPr>
        <w:jc w:val="both"/>
        <w:ind w:left="520"/>
        <w:spacing w:after="0" w:line="250" w:lineRule="auto"/>
        <w:rPr>
          <w:sz w:val="20"/>
          <w:szCs w:val="20"/>
          <w:color w:val="auto"/>
        </w:rPr>
      </w:pPr>
      <w:r>
        <w:rPr>
          <w:rFonts w:ascii="Times New Roman" w:cs="Times New Roman" w:eastAsia="Times New Roman" w:hAnsi="Times New Roman"/>
          <w:sz w:val="18"/>
          <w:szCs w:val="18"/>
          <w:color w:val="auto"/>
        </w:rPr>
        <w:t>Due to its cannabis operations, the Company is subject to the limitations of the U.S. Internal Revenue Code of 1986, as amended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paid during the three months ended March 31, 2022 and 2021 were $132 thousand and $15,147 thousand, respectively.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780" w:hanging="41"/>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09" w:lineRule="exact"/>
        <w:rPr>
          <w:sz w:val="20"/>
          <w:szCs w:val="20"/>
          <w:color w:val="auto"/>
        </w:rPr>
      </w:pPr>
    </w:p>
    <w:p>
      <w:pPr>
        <w:ind w:left="540" w:hanging="532"/>
        <w:spacing w:after="0"/>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2022 and 2021 other income (expense) was comprised of the following:</w:t>
      </w:r>
    </w:p>
    <w:p>
      <w:pPr>
        <w:spacing w:after="0" w:line="255" w:lineRule="exact"/>
        <w:rPr>
          <w:sz w:val="20"/>
          <w:szCs w:val="20"/>
          <w:color w:val="auto"/>
        </w:rPr>
      </w:pPr>
    </w:p>
    <w:tbl>
      <w:tblPr>
        <w:tblLayout w:type="fixed"/>
        <w:tblInd w:w="960" w:type="dxa"/>
        <w:tblCellMar>
          <w:top w:w="0" w:type="dxa"/>
          <w:left w:w="0" w:type="dxa"/>
          <w:bottom w:w="0" w:type="dxa"/>
          <w:right w:w="0" w:type="dxa"/>
        </w:tblCellMar>
      </w:tblPr>
      <w:tr>
        <w:trPr>
          <w:trHeight w:val="212"/>
        </w:trPr>
        <w:tc>
          <w:tcPr>
            <w:tcW w:w="4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54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r>
      <w:tr>
        <w:trPr>
          <w:trHeight w:val="202"/>
        </w:trPr>
        <w:tc>
          <w:tcPr>
            <w:tcW w:w="4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Pr>
          <w:p>
            <w:pPr>
              <w:spacing w:after="0"/>
              <w:rPr>
                <w:sz w:val="17"/>
                <w:szCs w:val="17"/>
                <w:color w:val="auto"/>
              </w:rPr>
            </w:pPr>
          </w:p>
        </w:tc>
        <w:tc>
          <w:tcPr>
            <w:tcW w:w="17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720" w:type="dxa"/>
            <w:vAlign w:val="bottom"/>
          </w:tcPr>
          <w:p>
            <w:pPr>
              <w:spacing w:after="0"/>
              <w:rPr>
                <w:sz w:val="17"/>
                <w:szCs w:val="17"/>
                <w:color w:val="auto"/>
              </w:rPr>
            </w:pPr>
          </w:p>
        </w:tc>
      </w:tr>
      <w:tr>
        <w:trPr>
          <w:trHeight w:val="196"/>
        </w:trPr>
        <w:tc>
          <w:tcPr>
            <w:tcW w:w="4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w:t>
            </w:r>
          </w:p>
        </w:tc>
        <w:tc>
          <w:tcPr>
            <w:tcW w:w="200" w:type="dxa"/>
            <w:vAlign w:val="bottom"/>
            <w:tcBorders>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720" w:type="dxa"/>
            <w:vAlign w:val="bottom"/>
            <w:tcBorders>
              <w:top w:val="single" w:sz="8" w:color="auto"/>
              <w:bottom w:val="single" w:sz="8" w:color="auto"/>
            </w:tcBorders>
          </w:tcPr>
          <w:p>
            <w:pPr>
              <w:spacing w:after="0"/>
              <w:rPr>
                <w:sz w:val="17"/>
                <w:szCs w:val="17"/>
                <w:color w:val="auto"/>
              </w:rPr>
            </w:pPr>
          </w:p>
        </w:tc>
      </w:tr>
      <w:tr>
        <w:trPr>
          <w:trHeight w:val="19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adjustments on equity investments</w:t>
            </w:r>
          </w:p>
        </w:tc>
        <w:tc>
          <w:tcPr>
            <w:tcW w:w="9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0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adjustments on equity method investments</w:t>
            </w: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14,119</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adjustments on warrants issued</w:t>
            </w:r>
          </w:p>
        </w:tc>
        <w:tc>
          <w:tcPr>
            <w:tcW w:w="9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7,929</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(5,851)</w:t>
            </w:r>
          </w:p>
        </w:tc>
      </w:tr>
      <w:tr>
        <w:trPr>
          <w:trHeight w:val="20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from equity method investments</w:t>
            </w: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03"/>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0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196"/>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Income (Expense)</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11,435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(5,150)</w:t>
            </w:r>
          </w:p>
        </w:tc>
      </w:tr>
      <w:tr>
        <w:trPr>
          <w:trHeight w:val="20"/>
        </w:trPr>
        <w:tc>
          <w:tcPr>
            <w:tcW w:w="4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-162560</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40" w:hanging="532"/>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7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 of operations.</w:t>
      </w:r>
    </w:p>
    <w:p>
      <w:pPr>
        <w:spacing w:after="0" w:line="69" w:lineRule="exact"/>
        <w:rPr>
          <w:sz w:val="20"/>
          <w:szCs w:val="20"/>
          <w:color w:val="auto"/>
        </w:rPr>
      </w:pPr>
    </w:p>
    <w:p>
      <w:pPr>
        <w:ind w:left="400" w:hanging="392"/>
        <w:spacing w:after="0"/>
        <w:tabs>
          <w:tab w:leader="none" w:pos="4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520" w:right="100"/>
        <w:spacing w:after="0" w:line="250"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The Company may be subject to regulatory fines, penalties, or restrictions in the future as cannabis and other regulations continue to evolve and are subject to differing interpretations.</w:t>
      </w:r>
    </w:p>
    <w:p>
      <w:pPr>
        <w:spacing w:after="0" w:line="6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Claims and Litigation</w:t>
      </w:r>
    </w:p>
    <w:p>
      <w:pPr>
        <w:spacing w:after="0" w:line="108" w:lineRule="exact"/>
        <w:rPr>
          <w:sz w:val="20"/>
          <w:szCs w:val="20"/>
          <w:color w:val="auto"/>
        </w:rPr>
      </w:pPr>
    </w:p>
    <w:p>
      <w:pPr>
        <w:ind w:left="520"/>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At March 31, 2022 and December 31, 2021,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7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Construction Commitments</w:t>
      </w:r>
    </w:p>
    <w:p>
      <w:pPr>
        <w:spacing w:after="0" w:line="108" w:lineRule="exact"/>
        <w:rPr>
          <w:sz w:val="20"/>
          <w:szCs w:val="20"/>
          <w:color w:val="auto"/>
        </w:rPr>
      </w:pPr>
    </w:p>
    <w:p>
      <w:pPr>
        <w:ind w:left="520" w:right="660"/>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held approximately $75,271 thousand of open construction commitments to contractors on work being performed.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57"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82"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10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102" w:lineRule="exact"/>
        <w:rPr>
          <w:sz w:val="20"/>
          <w:szCs w:val="20"/>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08" w:lineRule="exact"/>
        <w:rPr>
          <w:sz w:val="20"/>
          <w:szCs w:val="20"/>
          <w:color w:val="auto"/>
        </w:rPr>
      </w:pPr>
    </w:p>
    <w:p>
      <w:pPr>
        <w:ind w:left="520" w:right="6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40" w:lineRule="exact"/>
        <w:rPr>
          <w:sz w:val="20"/>
          <w:szCs w:val="20"/>
          <w:color w:val="auto"/>
        </w:rPr>
      </w:pPr>
    </w:p>
    <w:p>
      <w:pPr>
        <w:jc w:val="both"/>
        <w:ind w:left="520" w:right="20"/>
        <w:spacing w:after="0" w:line="250" w:lineRule="auto"/>
        <w:rPr>
          <w:sz w:val="20"/>
          <w:szCs w:val="20"/>
          <w:color w:val="auto"/>
        </w:rPr>
      </w:pPr>
      <w:r>
        <w:rPr>
          <w:rFonts w:ascii="Times New Roman" w:cs="Times New Roman" w:eastAsia="Times New Roman" w:hAnsi="Times New Roman"/>
          <w:sz w:val="18"/>
          <w:szCs w:val="18"/>
          <w:color w:val="auto"/>
        </w:rPr>
        <w:t>For the Company's long-term notes payable (which consist of charitable contributions, private placement debt and mortgage notes), for which there were no quoted market prices or active trading markets, it was not practicable to estimate the fair value of these financial instruments. The carrying amount of notes payable at March 31, 2022 and December 31, 2021 was $244,236 thousand and $239,934 thousand, which includes $900 thousand and $783 thousand, respectively, of short-term debt due within one year.</w:t>
      </w:r>
    </w:p>
    <w:p>
      <w:pPr>
        <w:spacing w:after="0" w:line="69" w:lineRule="exact"/>
        <w:rPr>
          <w:sz w:val="20"/>
          <w:szCs w:val="20"/>
          <w:color w:val="auto"/>
        </w:rPr>
      </w:pPr>
    </w:p>
    <w:p>
      <w:pPr>
        <w:ind w:left="520" w:right="580"/>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174,539</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860" w:type="dxa"/>
            <w:vAlign w:val="bottom"/>
            <w:gridSpan w:val="5"/>
            <w:shd w:val="clear" w:color="auto" w:fill="CFF0FC"/>
          </w:tcPr>
          <w:p>
            <w:pPr>
              <w:ind w:left="120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174,539</w:t>
            </w:r>
          </w:p>
        </w:tc>
        <w:tc>
          <w:tcPr>
            <w:tcW w:w="80" w:type="dxa"/>
            <w:vAlign w:val="bottom"/>
            <w:tcBorders>
              <w:right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35,784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5"/>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90,731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60" w:type="dxa"/>
            <w:vAlign w:val="bottom"/>
            <w:gridSpan w:val="5"/>
            <w:shd w:val="clear" w:color="auto" w:fill="CFF0FC"/>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(55,359 )</w:t>
            </w:r>
          </w:p>
        </w:tc>
        <w:tc>
          <w:tcPr>
            <w:tcW w:w="140" w:type="dxa"/>
            <w:vAlign w:val="bottom"/>
            <w:shd w:val="clear" w:color="auto" w:fill="CFF0FC"/>
          </w:tcPr>
          <w:p>
            <w:pPr>
              <w:spacing w:after="0"/>
              <w:rPr>
                <w:sz w:val="17"/>
                <w:szCs w:val="17"/>
                <w:color w:val="auto"/>
              </w:rPr>
            </w:pPr>
          </w:p>
        </w:tc>
        <w:tc>
          <w:tcPr>
            <w:tcW w:w="1440" w:type="dxa"/>
            <w:vAlign w:val="bottom"/>
            <w:tcBorders>
              <w:righ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(55,359 )</w:t>
            </w: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5"/>
          </w:tcPr>
          <w:p>
            <w:pPr>
              <w:jc w:val="center"/>
              <w:ind w:left="639"/>
              <w:spacing w:after="0" w:line="193" w:lineRule="exact"/>
              <w:rPr>
                <w:sz w:val="20"/>
                <w:szCs w:val="20"/>
                <w:color w:val="auto"/>
              </w:rPr>
            </w:pPr>
            <w:r>
              <w:rPr>
                <w:rFonts w:ascii="Calibri" w:cs="Calibri" w:eastAsia="Calibri" w:hAnsi="Calibri"/>
                <w:sz w:val="16"/>
                <w:szCs w:val="16"/>
                <w:color w:val="auto"/>
                <w:w w:val="96"/>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(16,948 )</w:t>
            </w:r>
          </w:p>
        </w:tc>
        <w:tc>
          <w:tcPr>
            <w:tcW w:w="14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(16,948 )</w:t>
            </w:r>
          </w:p>
        </w:tc>
        <w:tc>
          <w:tcPr>
            <w:tcW w:w="60" w:type="dxa"/>
            <w:vAlign w:val="bottom"/>
          </w:tcPr>
          <w:p>
            <w:pPr>
              <w:spacing w:after="0"/>
              <w:rPr>
                <w:sz w:val="17"/>
                <w:szCs w:val="17"/>
                <w:color w:val="auto"/>
              </w:rPr>
            </w:pPr>
          </w:p>
        </w:tc>
      </w:tr>
      <w:tr>
        <w:trPr>
          <w:trHeight w:val="236"/>
        </w:trPr>
        <w:tc>
          <w:tcPr>
            <w:tcW w:w="60" w:type="dxa"/>
            <w:vAlign w:val="bottom"/>
          </w:tcPr>
          <w:p>
            <w:pPr>
              <w:spacing w:after="0"/>
              <w:rPr>
                <w:sz w:val="20"/>
                <w:szCs w:val="20"/>
                <w:color w:val="auto"/>
              </w:rPr>
            </w:pPr>
          </w:p>
        </w:tc>
        <w:tc>
          <w:tcPr>
            <w:tcW w:w="35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210,323</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gridSpan w:val="2"/>
            <w:shd w:val="clear" w:color="auto" w:fill="CFF0FC"/>
          </w:tcPr>
          <w:p>
            <w:pPr>
              <w:ind w:left="12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(17,360</w:t>
            </w:r>
          </w:p>
        </w:tc>
        <w:tc>
          <w:tcPr>
            <w:tcW w:w="24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 $</w:t>
            </w:r>
          </w:p>
        </w:tc>
        <w:tc>
          <w:tcPr>
            <w:tcW w:w="13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192,963</w:t>
            </w:r>
          </w:p>
        </w:tc>
        <w:tc>
          <w:tcPr>
            <w:tcW w:w="80" w:type="dxa"/>
            <w:vAlign w:val="bottom"/>
            <w:tcBorders>
              <w:bottom w:val="single" w:sz="8" w:color="CFF0FC"/>
              <w:right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433"/>
        </w:trPr>
        <w:tc>
          <w:tcPr>
            <w:tcW w:w="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2"/>
        </w:trPr>
        <w:tc>
          <w:tcPr>
            <w:tcW w:w="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5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gridSpan w:val="3"/>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230,420</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860" w:type="dxa"/>
            <w:vAlign w:val="bottom"/>
            <w:gridSpan w:val="5"/>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230,420</w:t>
            </w:r>
          </w:p>
        </w:tc>
        <w:tc>
          <w:tcPr>
            <w:tcW w:w="60" w:type="dxa"/>
            <w:vAlign w:val="bottom"/>
            <w:shd w:val="clear" w:color="auto" w:fill="CFF0FC"/>
          </w:tcPr>
          <w:p>
            <w:pPr>
              <w:spacing w:after="0"/>
              <w:rPr>
                <w:sz w:val="17"/>
                <w:szCs w:val="17"/>
                <w:color w:val="auto"/>
              </w:rPr>
            </w:pPr>
          </w:p>
        </w:tc>
      </w:tr>
      <w:tr>
        <w:trPr>
          <w:trHeight w:val="20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44,117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5"/>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50,785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94,902</w:t>
            </w:r>
          </w:p>
        </w:tc>
        <w:tc>
          <w:tcPr>
            <w:tcW w:w="60" w:type="dxa"/>
            <w:vAlign w:val="bottom"/>
          </w:tcPr>
          <w:p>
            <w:pPr>
              <w:spacing w:after="0"/>
              <w:rPr>
                <w:sz w:val="17"/>
                <w:szCs w:val="17"/>
                <w:color w:val="auto"/>
              </w:rPr>
            </w:pPr>
          </w:p>
        </w:tc>
      </w:tr>
      <w:tr>
        <w:trPr>
          <w:trHeight w:val="203"/>
        </w:trPr>
        <w:tc>
          <w:tcPr>
            <w:tcW w:w="3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60" w:type="dxa"/>
            <w:vAlign w:val="bottom"/>
            <w:gridSpan w:val="5"/>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(83,865 )</w:t>
            </w:r>
          </w:p>
        </w:tc>
        <w:tc>
          <w:tcPr>
            <w:tcW w:w="140" w:type="dxa"/>
            <w:vAlign w:val="bottom"/>
            <w:shd w:val="clear" w:color="auto" w:fill="CFF0FC"/>
          </w:tcPr>
          <w:p>
            <w:pPr>
              <w:spacing w:after="0"/>
              <w:rPr>
                <w:sz w:val="17"/>
                <w:szCs w:val="17"/>
                <w:color w:val="auto"/>
              </w:rPr>
            </w:pPr>
          </w:p>
        </w:tc>
        <w:tc>
          <w:tcPr>
            <w:tcW w:w="15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(83,865 )</w:t>
            </w:r>
          </w:p>
        </w:tc>
      </w:tr>
      <w:tr>
        <w:trPr>
          <w:trHeight w:val="22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gridSpan w:val="5"/>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(24,877 )</w:t>
            </w:r>
          </w:p>
        </w:tc>
        <w:tc>
          <w:tcPr>
            <w:tcW w:w="140" w:type="dxa"/>
            <w:vAlign w:val="bottom"/>
          </w:tcPr>
          <w:p>
            <w:pPr>
              <w:spacing w:after="0"/>
              <w:rPr>
                <w:sz w:val="19"/>
                <w:szCs w:val="19"/>
                <w:color w:val="auto"/>
              </w:rPr>
            </w:pPr>
          </w:p>
        </w:tc>
        <w:tc>
          <w:tcPr>
            <w:tcW w:w="15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(24,877 )</w:t>
            </w:r>
          </w:p>
        </w:tc>
      </w:tr>
      <w:tr>
        <w:trPr>
          <w:trHeight w:val="230"/>
        </w:trPr>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5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274,537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CFF0FC"/>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(57,957</w:t>
            </w: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 $</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216,580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-1285240</wp:posOffset>
            </wp:positionV>
            <wp:extent cx="431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-1268095</wp:posOffset>
            </wp:positionV>
            <wp:extent cx="431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-1285240</wp:posOffset>
            </wp:positionV>
            <wp:extent cx="1028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-1268095</wp:posOffset>
            </wp:positionV>
            <wp:extent cx="1028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-1285240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-1268095</wp:posOffset>
            </wp:positionV>
            <wp:extent cx="514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-1285240</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-1268095</wp:posOffset>
            </wp:positionV>
            <wp:extent cx="51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-161925</wp:posOffset>
            </wp:positionV>
            <wp:extent cx="43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431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431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-161925</wp:posOffset>
            </wp:positionV>
            <wp:extent cx="431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-24765</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left="520" w:right="100"/>
        <w:spacing w:after="0" w:line="246" w:lineRule="auto"/>
        <w:rPr>
          <w:sz w:val="20"/>
          <w:szCs w:val="20"/>
          <w:color w:val="auto"/>
        </w:rPr>
      </w:pPr>
      <w:r>
        <w:rPr>
          <w:rFonts w:ascii="Times New Roman" w:cs="Times New Roman" w:eastAsia="Times New Roman" w:hAnsi="Times New Roman"/>
          <w:sz w:val="18"/>
          <w:szCs w:val="18"/>
          <w:color w:val="auto"/>
        </w:rPr>
        <w:t>During the three months ended March 31, 2022, the Company remeasured its contingent consideration arrangements associated with its 2021 acquisitions of Mobley Pain Management and Wellness Center LLC and Canwell Processing LLC (collectively “Summit”) and GreenStar Herbals Inc. (“GreenStar”) using Monte Carlo simulation models. The remeasurement resulted in a net gain of $18,979 thousand which was driven by a change in Management's estimates and projections of the acquired entities ability to achieve the performance targets as agreed to in the 2021 acquisition agreements along with the change in fair value of the shares to be issued.</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6" w:name="page27"/>
    <w:bookmarkEnd w:id="2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16"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00" w:hanging="392"/>
        <w:spacing w:after="0"/>
        <w:tabs>
          <w:tab w:leader="none" w:pos="4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Continued</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The amount was recorded, net, within selling, general, and administrative expenses on the unaudited interim condensed consolidated statement of operations. Significant assumptions used in the Company's March 31, 2022 remeasurement include Green Thumb's stock price as of March 31, 2022 and projected EBITDA and revenue targets as of such period then ended.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57"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The following table presents the summarized financial information about the Company’s consolidated variable interest entities (“VIEs”) which are included in the unaudited interim condensed consolidated balance sheet as of March 31, 2022 and the consolidated balance sheet as of December 31, 2021. All of these entities were determined to be VIEs as the Company possesses the power to direct activities through management services agreements (“MSAs”):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40" w:type="dxa"/>
            <w:vAlign w:val="bottom"/>
            <w:tcBorders>
              <w:bottom w:val="single" w:sz="8" w:color="auto"/>
            </w:tcBorders>
            <w:gridSpan w:val="5"/>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60" w:type="dxa"/>
            <w:vAlign w:val="bottom"/>
          </w:tcPr>
          <w:p>
            <w:pPr>
              <w:spacing w:after="0"/>
              <w:rPr>
                <w:sz w:val="18"/>
                <w:szCs w:val="18"/>
                <w:color w:val="auto"/>
              </w:rPr>
            </w:pPr>
          </w:p>
        </w:tc>
      </w:tr>
      <w:tr>
        <w:trPr>
          <w:trHeight w:val="145"/>
        </w:trPr>
        <w:tc>
          <w:tcPr>
            <w:tcW w:w="4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6"/>
        </w:trPr>
        <w:tc>
          <w:tcPr>
            <w:tcW w:w="4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center"/>
              <w:ind w:left="239"/>
              <w:spacing w:after="0" w:line="175" w:lineRule="exact"/>
              <w:rPr>
                <w:sz w:val="20"/>
                <w:szCs w:val="20"/>
                <w:color w:val="auto"/>
              </w:rPr>
            </w:pPr>
            <w:r>
              <w:rPr>
                <w:rFonts w:ascii="Times New Roman" w:cs="Times New Roman" w:eastAsia="Times New Roman" w:hAnsi="Times New Roman"/>
                <w:sz w:val="16"/>
                <w:szCs w:val="16"/>
                <w:b w:val="1"/>
                <w:bCs w:val="1"/>
                <w:color w:val="auto"/>
                <w:w w:val="97"/>
              </w:rPr>
              <w:t>ILDISP,</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Non-material</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460"/>
              <w:spacing w:after="0" w:line="175" w:lineRule="exact"/>
              <w:rPr>
                <w:sz w:val="20"/>
                <w:szCs w:val="20"/>
                <w:color w:val="auto"/>
              </w:rPr>
            </w:pPr>
            <w:r>
              <w:rPr>
                <w:rFonts w:ascii="Times New Roman" w:cs="Times New Roman" w:eastAsia="Times New Roman" w:hAnsi="Times New Roman"/>
                <w:sz w:val="16"/>
                <w:szCs w:val="16"/>
                <w:b w:val="1"/>
                <w:bCs w:val="1"/>
                <w:color w:val="auto"/>
                <w:w w:val="97"/>
              </w:rPr>
              <w:t>ILDISP,</w:t>
            </w:r>
          </w:p>
        </w:tc>
        <w:tc>
          <w:tcPr>
            <w:tcW w:w="200" w:type="dxa"/>
            <w:vAlign w:val="bottom"/>
          </w:tcPr>
          <w:p>
            <w:pPr>
              <w:spacing w:after="0"/>
              <w:rPr>
                <w:sz w:val="15"/>
                <w:szCs w:val="15"/>
                <w:color w:val="auto"/>
              </w:rPr>
            </w:pPr>
          </w:p>
        </w:tc>
        <w:tc>
          <w:tcPr>
            <w:tcW w:w="1420" w:type="dxa"/>
            <w:vAlign w:val="bottom"/>
          </w:tcPr>
          <w:p>
            <w:pPr>
              <w:jc w:val="right"/>
              <w:ind w:right="419"/>
              <w:spacing w:after="0" w:line="175" w:lineRule="exact"/>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5"/>
                <w:szCs w:val="15"/>
                <w:color w:val="auto"/>
              </w:rPr>
            </w:pPr>
          </w:p>
        </w:tc>
      </w:tr>
      <w:tr>
        <w:trPr>
          <w:trHeight w:val="214"/>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w w:val="97"/>
              </w:rPr>
              <w:t>LLC</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VIEs</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LLC</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Non-material VIEs</w:t>
            </w:r>
          </w:p>
        </w:tc>
        <w:tc>
          <w:tcPr>
            <w:tcW w:w="60" w:type="dxa"/>
            <w:vAlign w:val="bottom"/>
          </w:tcPr>
          <w:p>
            <w:pPr>
              <w:spacing w:after="0"/>
              <w:rPr>
                <w:sz w:val="18"/>
                <w:szCs w:val="18"/>
                <w:color w:val="auto"/>
              </w:rPr>
            </w:pPr>
          </w:p>
        </w:tc>
      </w:tr>
      <w:tr>
        <w:trPr>
          <w:trHeight w:val="198"/>
        </w:trPr>
        <w:tc>
          <w:tcPr>
            <w:tcW w:w="4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Current assets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spacing w:after="0"/>
              <w:rPr>
                <w:sz w:val="17"/>
                <w:szCs w:val="17"/>
                <w:color w:val="auto"/>
              </w:rPr>
            </w:pPr>
          </w:p>
        </w:tc>
        <w:tc>
          <w:tcPr>
            <w:tcW w:w="7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60" w:type="dxa"/>
            <w:vAlign w:val="bottom"/>
            <w:shd w:val="clear" w:color="auto" w:fill="CFF0FC"/>
          </w:tcPr>
          <w:p>
            <w:pPr>
              <w:spacing w:after="0"/>
              <w:rPr>
                <w:sz w:val="17"/>
                <w:szCs w:val="17"/>
                <w:color w:val="auto"/>
              </w:rPr>
            </w:pPr>
          </w:p>
        </w:tc>
      </w:tr>
      <w:tr>
        <w:trPr>
          <w:trHeight w:val="203"/>
        </w:trPr>
        <w:tc>
          <w:tcPr>
            <w:tcW w:w="4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Non-current assets</w:t>
            </w: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60" w:type="dxa"/>
            <w:vAlign w:val="bottom"/>
          </w:tcPr>
          <w:p>
            <w:pPr>
              <w:spacing w:after="0"/>
              <w:rPr>
                <w:sz w:val="17"/>
                <w:szCs w:val="17"/>
                <w:color w:val="auto"/>
              </w:rPr>
            </w:pPr>
          </w:p>
        </w:tc>
      </w:tr>
      <w:tr>
        <w:trPr>
          <w:trHeight w:val="203"/>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Current liabilities</w:t>
            </w:r>
          </w:p>
        </w:tc>
        <w:tc>
          <w:tcPr>
            <w:tcW w:w="8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7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10,719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60" w:type="dxa"/>
            <w:vAlign w:val="bottom"/>
            <w:shd w:val="clear" w:color="auto" w:fill="CFF0FC"/>
          </w:tcPr>
          <w:p>
            <w:pPr>
              <w:spacing w:after="0"/>
              <w:rPr>
                <w:sz w:val="17"/>
                <w:szCs w:val="17"/>
                <w:color w:val="auto"/>
              </w:rPr>
            </w:pPr>
          </w:p>
        </w:tc>
      </w:tr>
      <w:tr>
        <w:trPr>
          <w:trHeight w:val="203"/>
        </w:trPr>
        <w:tc>
          <w:tcPr>
            <w:tcW w:w="4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Non-current liabilities</w:t>
            </w: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60" w:type="dxa"/>
            <w:vAlign w:val="bottom"/>
          </w:tcPr>
          <w:p>
            <w:pPr>
              <w:spacing w:after="0"/>
              <w:rPr>
                <w:sz w:val="17"/>
                <w:szCs w:val="17"/>
                <w:color w:val="auto"/>
              </w:rPr>
            </w:pPr>
          </w:p>
        </w:tc>
      </w:tr>
      <w:tr>
        <w:trPr>
          <w:trHeight w:val="203"/>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8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7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(1,862 )</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60" w:type="dxa"/>
            <w:vAlign w:val="bottom"/>
            <w:shd w:val="clear" w:color="auto" w:fill="CFF0FC"/>
          </w:tcPr>
          <w:p>
            <w:pPr>
              <w:spacing w:after="0"/>
              <w:rPr>
                <w:sz w:val="17"/>
                <w:szCs w:val="17"/>
                <w:color w:val="auto"/>
              </w:rPr>
            </w:pPr>
          </w:p>
        </w:tc>
      </w:tr>
      <w:tr>
        <w:trPr>
          <w:trHeight w:val="210"/>
        </w:trPr>
        <w:tc>
          <w:tcPr>
            <w:tcW w:w="4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attributable to Green Thumb Industries Inc.</w:t>
            </w: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(1,862 )</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60" w:type="dxa"/>
            <w:vAlign w:val="bottom"/>
          </w:tcPr>
          <w:p>
            <w:pPr>
              <w:spacing w:after="0"/>
              <w:rPr>
                <w:sz w:val="18"/>
                <w:szCs w:val="18"/>
                <w:color w:val="auto"/>
              </w:rPr>
            </w:pPr>
          </w:p>
        </w:tc>
      </w:tr>
    </w:tbl>
    <w:p>
      <w:pPr>
        <w:spacing w:after="0" w:line="21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On March 1, 2022, the Company acquired the remaining 50% minority interest in ILDISP, LLC, for $11,857 thousand in cash and the issuance of 128,218 shares of Green Thumb, which had a fair value of $2,379 thousand. As a result, the remaining equity associated with the noncontrolling interest was closed to accumulated surplus (deficit) of Green Thumb as of March 1, 2022. See Note 4 - Acquisitions for details.</w:t>
      </w:r>
    </w:p>
    <w:p>
      <w:pPr>
        <w:spacing w:after="0" w:line="16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about the Company’s VIEs which are included in the unaudited interim condensed consolidated statements of operations for the three months ended March 31, 2022 and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4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920" w:type="dxa"/>
            <w:vAlign w:val="bottom"/>
            <w:tcBorders>
              <w:bottom w:val="single" w:sz="8" w:color="auto"/>
            </w:tcBorders>
            <w:gridSpan w:val="5"/>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60" w:type="dxa"/>
            <w:vAlign w:val="bottom"/>
          </w:tcPr>
          <w:p>
            <w:pPr>
              <w:spacing w:after="0"/>
              <w:rPr>
                <w:sz w:val="17"/>
                <w:szCs w:val="17"/>
                <w:color w:val="auto"/>
              </w:rPr>
            </w:pPr>
          </w:p>
        </w:tc>
      </w:tr>
      <w:tr>
        <w:trPr>
          <w:trHeight w:val="153"/>
        </w:trPr>
        <w:tc>
          <w:tcPr>
            <w:tcW w:w="4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4"/>
        </w:trPr>
        <w:tc>
          <w:tcPr>
            <w:tcW w:w="4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center"/>
              <w:ind w:left="279"/>
              <w:spacing w:after="0" w:line="165" w:lineRule="exact"/>
              <w:rPr>
                <w:sz w:val="20"/>
                <w:szCs w:val="20"/>
                <w:color w:val="auto"/>
              </w:rPr>
            </w:pPr>
            <w:r>
              <w:rPr>
                <w:rFonts w:ascii="Times New Roman" w:cs="Times New Roman" w:eastAsia="Times New Roman" w:hAnsi="Times New Roman"/>
                <w:sz w:val="16"/>
                <w:szCs w:val="16"/>
                <w:b w:val="1"/>
                <w:bCs w:val="1"/>
                <w:color w:val="auto"/>
              </w:rPr>
              <w:t>ILDISP,</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Non-material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259"/>
              <w:spacing w:after="0" w:line="165" w:lineRule="exact"/>
              <w:rPr>
                <w:sz w:val="20"/>
                <w:szCs w:val="20"/>
                <w:color w:val="auto"/>
              </w:rPr>
            </w:pPr>
            <w:r>
              <w:rPr>
                <w:rFonts w:ascii="Times New Roman" w:cs="Times New Roman" w:eastAsia="Times New Roman" w:hAnsi="Times New Roman"/>
                <w:sz w:val="16"/>
                <w:szCs w:val="16"/>
                <w:b w:val="1"/>
                <w:bCs w:val="1"/>
                <w:color w:val="auto"/>
              </w:rPr>
              <w:t>ILDISP,</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ind w:right="419"/>
              <w:spacing w:after="0" w:line="165" w:lineRule="exact"/>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4"/>
                <w:szCs w:val="14"/>
                <w:color w:val="auto"/>
              </w:rPr>
            </w:pPr>
          </w:p>
        </w:tc>
      </w:tr>
      <w:tr>
        <w:trPr>
          <w:trHeight w:val="216"/>
        </w:trPr>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LLC</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VIEs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LLC</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Non-material VIEs</w:t>
            </w:r>
          </w:p>
        </w:tc>
        <w:tc>
          <w:tcPr>
            <w:tcW w:w="60" w:type="dxa"/>
            <w:vAlign w:val="bottom"/>
          </w:tcPr>
          <w:p>
            <w:pPr>
              <w:spacing w:after="0"/>
              <w:rPr>
                <w:sz w:val="18"/>
                <w:szCs w:val="18"/>
                <w:color w:val="auto"/>
              </w:rPr>
            </w:pPr>
          </w:p>
        </w:tc>
      </w:tr>
      <w:tr>
        <w:trPr>
          <w:trHeight w:val="196"/>
        </w:trPr>
        <w:tc>
          <w:tcPr>
            <w:tcW w:w="4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74"/>
              </w:rPr>
              <w:t>thousands)</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3,543</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60" w:type="dxa"/>
            <w:vAlign w:val="bottom"/>
            <w:shd w:val="clear" w:color="auto" w:fill="CFF0FC"/>
          </w:tcPr>
          <w:p>
            <w:pPr>
              <w:spacing w:after="0"/>
              <w:rPr>
                <w:sz w:val="17"/>
                <w:szCs w:val="17"/>
                <w:color w:val="auto"/>
              </w:rPr>
            </w:pPr>
          </w:p>
        </w:tc>
      </w:tr>
      <w:tr>
        <w:trPr>
          <w:trHeight w:val="20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60" w:type="dxa"/>
            <w:vAlign w:val="bottom"/>
          </w:tcPr>
          <w:p>
            <w:pPr>
              <w:spacing w:after="0"/>
              <w:rPr>
                <w:sz w:val="17"/>
                <w:szCs w:val="17"/>
                <w:color w:val="auto"/>
              </w:rPr>
            </w:pPr>
          </w:p>
        </w:tc>
      </w:tr>
      <w:tr>
        <w:trPr>
          <w:trHeight w:val="203"/>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Green Thumb Industries Inc.</w:t>
            </w:r>
          </w:p>
        </w:tc>
        <w:tc>
          <w:tcPr>
            <w:tcW w:w="7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719</w:t>
            </w:r>
          </w:p>
        </w:tc>
        <w:tc>
          <w:tcPr>
            <w:tcW w:w="60" w:type="dxa"/>
            <w:vAlign w:val="bottom"/>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-162560</wp:posOffset>
            </wp:positionV>
            <wp:extent cx="768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-162560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-162560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-162560</wp:posOffset>
            </wp:positionV>
            <wp:extent cx="431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VIE included in the Other Non-material VIEs is Bluepoint Wellness of Westport, LLC. As of March 31, 2021, VIEs included in the Other Non-material VIEs are Bluepoint Wellness of Westport, LLC and Meshow, LLC.</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57"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presents revenues by type for the three months ended March 31, 2022 and 2021:</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320" w:type="dxa"/>
            <w:vAlign w:val="bottom"/>
            <w:tcBorders>
              <w:bottom w:val="single" w:sz="8" w:color="auto"/>
            </w:tcBorders>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720" w:type="dxa"/>
            <w:vAlign w:val="bottom"/>
            <w:tcBorders>
              <w:bottom w:val="single" w:sz="8" w:color="auto"/>
            </w:tcBorders>
          </w:tcPr>
          <w:p>
            <w:pPr>
              <w:spacing w:after="0"/>
              <w:rPr>
                <w:sz w:val="20"/>
                <w:szCs w:val="20"/>
                <w:color w:val="auto"/>
              </w:rPr>
            </w:pPr>
          </w:p>
        </w:tc>
      </w:tr>
      <w:tr>
        <w:trPr>
          <w:trHeight w:val="209"/>
        </w:trPr>
        <w:tc>
          <w:tcPr>
            <w:tcW w:w="3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20" w:type="dxa"/>
            <w:vAlign w:val="bottom"/>
            <w:tcBorders>
              <w:bottom w:val="single" w:sz="8" w:color="auto"/>
            </w:tcBorders>
          </w:tcPr>
          <w:p>
            <w:pPr>
              <w:spacing w:after="0"/>
              <w:rPr>
                <w:sz w:val="18"/>
                <w:szCs w:val="18"/>
                <w:color w:val="auto"/>
              </w:rPr>
            </w:pPr>
          </w:p>
        </w:tc>
      </w:tr>
      <w:tr>
        <w:trPr>
          <w:trHeight w:val="209"/>
        </w:trPr>
        <w:tc>
          <w:tcPr>
            <w:tcW w:w="3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20" w:type="dxa"/>
            <w:vAlign w:val="bottom"/>
            <w:tcBorders>
              <w:bottom w:val="single" w:sz="8" w:color="auto"/>
            </w:tcBorders>
          </w:tcPr>
          <w:p>
            <w:pPr>
              <w:spacing w:after="0"/>
              <w:rPr>
                <w:sz w:val="18"/>
                <w:szCs w:val="18"/>
                <w:color w:val="auto"/>
              </w:rPr>
            </w:pPr>
          </w:p>
        </w:tc>
      </w:tr>
      <w:tr>
        <w:trPr>
          <w:trHeight w:val="210"/>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Revenues, Net of Discounts</w:t>
            </w:r>
          </w:p>
        </w:tc>
        <w:tc>
          <w:tcPr>
            <w:tcW w:w="1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104,077</w:t>
            </w:r>
          </w:p>
        </w:tc>
      </w:tr>
      <w:tr>
        <w:trPr>
          <w:trHeight w:val="21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172,586</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130,109</w:t>
            </w: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(50,398)</w:t>
            </w:r>
          </w:p>
        </w:tc>
        <w:tc>
          <w:tcPr>
            <w:tcW w:w="2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(39,755)</w:t>
            </w:r>
          </w:p>
        </w:tc>
      </w:tr>
      <w:tr>
        <w:trPr>
          <w:trHeight w:val="250"/>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1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242,600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194,431</w:t>
            </w:r>
          </w:p>
        </w:tc>
      </w:tr>
      <w:tr>
        <w:trPr>
          <w:trHeight w:val="197"/>
        </w:trPr>
        <w:tc>
          <w:tcPr>
            <w:tcW w:w="3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8,001</w:t>
            </w: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w:t>
            </w:r>
          </w:p>
        </w:tc>
      </w:tr>
      <w:tr>
        <w:trPr>
          <w:trHeight w:val="216"/>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22,990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14,994</w:t>
            </w:r>
          </w:p>
        </w:tc>
      </w:tr>
      <w:tr>
        <w:trPr>
          <w:trHeight w:val="20"/>
        </w:trPr>
        <w:tc>
          <w:tcPr>
            <w:tcW w:w="3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38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Income Taxes</w:t>
            </w:r>
          </w:p>
        </w:tc>
        <w:tc>
          <w:tcPr>
            <w:tcW w:w="1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17,287</w:t>
            </w:r>
          </w:p>
        </w:tc>
      </w:tr>
      <w:tr>
        <w:trPr>
          <w:trHeight w:val="21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13,569</w:t>
            </w: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Taxes</w:t>
            </w:r>
          </w:p>
        </w:tc>
        <w:tc>
          <w:tcPr>
            <w:tcW w:w="1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31,131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-1464945</wp:posOffset>
            </wp:positionV>
            <wp:extent cx="1460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-1447800</wp:posOffset>
            </wp:positionV>
            <wp:extent cx="1460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-890905</wp:posOffset>
            </wp:positionV>
            <wp:extent cx="1460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14605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1460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18" w:lineRule="exact"/>
        <w:rPr>
          <w:sz w:val="20"/>
          <w:szCs w:val="20"/>
          <w:color w:val="auto"/>
        </w:rPr>
      </w:pPr>
    </w:p>
    <w:p>
      <w:pPr>
        <w:jc w:val="both"/>
        <w:ind w:right="580"/>
        <w:spacing w:after="0" w:line="250" w:lineRule="auto"/>
        <w:rPr>
          <w:sz w:val="20"/>
          <w:szCs w:val="20"/>
          <w:color w:val="auto"/>
        </w:rPr>
      </w:pPr>
      <w:r>
        <w:rPr>
          <w:rFonts w:ascii="Times New Roman" w:cs="Times New Roman" w:eastAsia="Times New Roman" w:hAnsi="Times New Roman"/>
          <w:sz w:val="18"/>
          <w:szCs w:val="18"/>
          <w:color w:val="auto"/>
        </w:rPr>
        <w:t>Goodwill assigned to the Consumer Packaged Goods segment as of March 31, 2022 and December 31, 2021 was $357,871 thousand and $358,038 thousand, respectively. Intangible assets, net assigned to the Consumer Packaged Goods segment as of March 31, 2022 and December 31, 2021 was $310,688 thousand and $317,454 thousand, respectively.</w:t>
      </w:r>
    </w:p>
    <w:p>
      <w:pPr>
        <w:spacing w:after="0" w:line="190"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auto"/>
        </w:rPr>
        <w:t>Goodwill assigned to the Retail segment as of March 31, 2022 and December 31, 2021 was $282,924 thousand and $274,811 thousand, respectively. Intangible assets, net assigned to the Retail segment as of March 31, 2022 and December 31, 2021 was $364,004 thousand and $358,037 thousand, respectively.</w:t>
      </w:r>
    </w:p>
    <w:p>
      <w:pPr>
        <w:spacing w:after="0" w:line="19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Company’s assets are aggregated into two reportable segments (Retail and Consumer Packaged Goods). For the purposes of testing goodwill, Green Thumb has identified 30 reporting units. The Company determined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 licenses each market holds. All revenues are derived from sales occurring in the United States and all assets are located in the United States.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 DISCUSSION AND ANALYSIS OF FINANCIAL CONDITION AND RESULTS OF OPERATION</w:t>
      </w:r>
    </w:p>
    <w:p>
      <w:pPr>
        <w:spacing w:after="0" w:line="12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This management discussion and analysis (“MD&amp;A”) of the financial condition and results of operations of Green Thumb Industries Inc. (the “Company” or “Green Thumb”) is for the three months ended March 31, 2022 and 2021. It is supplemental to, and should be read in conjunction with, the Company’s unaudited interim condensed consolidated financial statements as of March 31, 2022 and the consolidated financial statements for the year ended December 31, 2021 included in the Company’s Annual Report on Form 10-K for the year ended December 31, 2021 filed with the U.S. Securities and Exchange Commission on March 1, 2021 (the “2021 Form 10-K”) and the accompanying notes for each respective period. The Company’s financial statements are prepared in accordance with accounting principles generally accepted in the United States (“GAAP”). Financial information presented in this MD&amp;A is presented in United States dollars (“$” or “US$”), unless otherwise indicated.</w:t>
      </w:r>
    </w:p>
    <w:p>
      <w:pPr>
        <w:spacing w:after="0" w:line="181"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II, Item 1A, “Risk Factors of the 2021 Form 10-K.” As a result of many factors, the Company’s actual results may differ materially from those anticipated in these forward-looking statements and information.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COVID-19 Considerations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2020, the World Health Organization categorized coronavirus disease 2019 (together with its variants “COVID-19”) as a pandemic.</w:t>
      </w:r>
    </w:p>
    <w:p>
      <w:pPr>
        <w:spacing w:after="0" w:line="2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 in the face of this pandemic and other events.</w:t>
      </w:r>
    </w:p>
    <w:p>
      <w:pPr>
        <w:spacing w:after="0" w:line="19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Company’s priority during the COVID-19 pandemic is protecting the health and safety of its employees and its customers, following the recommended actions of government and health authorities. In the future, the pandemic may cause reduced demand for the Company’s products and services if, for example, the pandemic results in a recessionary economic environment or potential new restrictions on business operations or the movement of individuals.</w:t>
      </w:r>
    </w:p>
    <w:p>
      <w:pPr>
        <w:spacing w:after="0" w:line="177" w:lineRule="exact"/>
        <w:rPr>
          <w:sz w:val="20"/>
          <w:szCs w:val="20"/>
          <w:color w:val="auto"/>
        </w:rPr>
      </w:pPr>
    </w:p>
    <w:p>
      <w:pPr>
        <w:ind w:right="120" w:firstLine="554"/>
        <w:spacing w:after="0" w:line="258" w:lineRule="auto"/>
        <w:rPr>
          <w:sz w:val="20"/>
          <w:szCs w:val="20"/>
          <w:color w:val="auto"/>
        </w:rPr>
      </w:pPr>
      <w:r>
        <w:rPr>
          <w:rFonts w:ascii="Times New Roman" w:cs="Times New Roman" w:eastAsia="Times New Roman" w:hAnsi="Times New Roman"/>
          <w:sz w:val="18"/>
          <w:szCs w:val="18"/>
          <w:color w:val="auto"/>
        </w:rPr>
        <w:t>During the first three months of 2022, the Company’s revenue, gross profit and operating income were not negatively impacted by COVID-19 and the Company generally maintained the consistency of its operations. However, the effects of COVID-19 may impact its business operations for reasons including the potential quarantine of Green Thumb employees or those of its supply chain partners.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12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March 31, 2022, Green Thumb has operations in 15 U.S. markets, employs approximately 4,000 people and serves hundreds of thousands of patients and customers annually.</w:t>
      </w:r>
    </w:p>
    <w:p>
      <w:pPr>
        <w:spacing w:after="0" w:line="190"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Green Thumb’s core business is manufacturing, distributing and marketing a portfolio of owned cannabis consumer packaged goods brands (which we refer to as our Consumer Packaged Goods business), including Beboe, Dogwalkers, Dr. Solomon’s, Good Green, incredibles and RYTHM. The Company distributes and markets these products primarily to third-party licensed retail cannabis stores across the United States as well as to Green Thumb-owned retail stores (which we refer to as our Retail business).</w:t>
      </w:r>
    </w:p>
    <w:p>
      <w:pPr>
        <w:spacing w:after="0" w:line="177" w:lineRule="exact"/>
        <w:rPr>
          <w:sz w:val="20"/>
          <w:szCs w:val="20"/>
          <w:color w:val="auto"/>
        </w:rPr>
      </w:pPr>
    </w:p>
    <w:p>
      <w:pPr>
        <w:ind w:right="340" w:firstLine="509"/>
        <w:spacing w:after="0" w:line="246" w:lineRule="auto"/>
        <w:rPr>
          <w:sz w:val="20"/>
          <w:szCs w:val="20"/>
          <w:color w:val="auto"/>
        </w:rPr>
      </w:pPr>
      <w:r>
        <w:rPr>
          <w:rFonts w:ascii="Times New Roman" w:cs="Times New Roman" w:eastAsia="Times New Roman" w:hAnsi="Times New Roman"/>
          <w:sz w:val="18"/>
          <w:szCs w:val="18"/>
          <w:color w:val="auto"/>
        </w:rPr>
        <w:t>The Company’s Consumer Packaged Goods portfolio is primarily generated from plant material that Green Thumb grows and processes itself, which we use to produce our consumer packaged goods in 17 manufacturing facilities. This portfolio consists of stock keeping units (“SKUs”) across a range of cannabis product categories, including flower, pre-rolls, concentrates, vape, capsules, tinctures, edibles, topicals and other cannabis-related products (none of which product categories are individually material to the Company). These Consumer Packaged Goods products are sold in retail locations throughout the U.S. including at Green Thumb's own RISE and other dispensaries.</w:t>
      </w:r>
    </w:p>
    <w:p>
      <w:pPr>
        <w:spacing w:after="0" w:line="18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Green Thumb owns and operates a national cannabis retail chain called RISE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Green Thumb owns stores under other names, primarily where naming is subject to licensing or similar restrictions. The income from Green Thumb’s retail stores is primarily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dispensaries currently are located in ten of the states in which we operate. As of March 31, 2022, the Company had 76 open and operating retail locations. The Company’s new store opening plans will remain fluid depending on market conditions, obtaining local licensing, construction and other permissions and are subject to the Company’s capital allocation plans and the evolving situation with respect to the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Company’s selected consolidated financial results for the periods, and as of the dates, indicated. The (i) unaudited interim condensed consolidated statements of operations for the three months ended March 31, 2022 and 2021 and (ii) unaudited interim condensed consolidated balance sheet as of March 31, 2022 and December 31, 2021 have been derived from, and should be read in conjunction with, the unaudited interim condensed consolidated financial statements and accompanying notes presented in Item 1 of this Report.</w:t>
      </w:r>
    </w:p>
    <w:p>
      <w:pPr>
        <w:spacing w:after="0" w:line="3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Company’s unaudited interim condensed consolidated financial statements have been prepared in accordance with U.S. GAAP and on a going-concern basis that contemplates continuity of operations and realization of assets and liquidation of liabilities in the ordinary course of business.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60" w:type="dxa"/>
            <w:vAlign w:val="bottom"/>
            <w:tcBorders>
              <w:bottom w:val="single" w:sz="8" w:color="auto"/>
            </w:tcBorders>
            <w:gridSpan w:val="3"/>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106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6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720" w:type="dxa"/>
            <w:vAlign w:val="bottom"/>
            <w:tcBorders>
              <w:bottom w:val="single" w:sz="8" w:color="auto"/>
            </w:tcBorders>
            <w:gridSpan w:val="5"/>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Revenues, net of discounts</w:t>
            </w: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242,600</w:t>
            </w:r>
          </w:p>
        </w:tc>
        <w:tc>
          <w:tcPr>
            <w:tcW w:w="2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194,431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48,169</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 net</w:t>
            </w:r>
          </w:p>
        </w:tc>
        <w:tc>
          <w:tcPr>
            <w:tcW w:w="82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(119,660)</w:t>
            </w:r>
          </w:p>
        </w:tc>
        <w:tc>
          <w:tcPr>
            <w:tcW w:w="20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(83,566)</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(36,094)</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6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82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122,940</w:t>
            </w:r>
          </w:p>
        </w:tc>
        <w:tc>
          <w:tcPr>
            <w:tcW w:w="200" w:type="dxa"/>
            <w:vAlign w:val="bottom"/>
            <w:shd w:val="clear" w:color="auto" w:fill="CFF0FC"/>
          </w:tcPr>
          <w:p>
            <w:pPr>
              <w:spacing w:after="0"/>
              <w:rPr>
                <w:sz w:val="14"/>
                <w:szCs w:val="14"/>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110,865</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12,075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6"/>
        </w:trPr>
        <w:tc>
          <w:tcPr>
            <w:tcW w:w="4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Expenses</w:t>
            </w:r>
          </w:p>
        </w:tc>
        <w:tc>
          <w:tcPr>
            <w:tcW w:w="82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68,388</w:t>
            </w:r>
          </w:p>
        </w:tc>
        <w:tc>
          <w:tcPr>
            <w:tcW w:w="20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59,331</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9,057</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82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54,552</w:t>
            </w:r>
          </w:p>
        </w:tc>
        <w:tc>
          <w:tcPr>
            <w:tcW w:w="200" w:type="dxa"/>
            <w:vAlign w:val="bottom"/>
            <w:shd w:val="clear" w:color="auto" w:fill="CFF0FC"/>
          </w:tcPr>
          <w:p>
            <w:pPr>
              <w:spacing w:after="0"/>
              <w:rPr>
                <w:sz w:val="14"/>
                <w:szCs w:val="14"/>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51,534</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3,018</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6"/>
        </w:trPr>
        <w:tc>
          <w:tcPr>
            <w:tcW w:w="4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82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6,265</w:t>
            </w:r>
          </w:p>
        </w:tc>
        <w:tc>
          <w:tcPr>
            <w:tcW w:w="20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(9,223)</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15,488</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6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 And Non-Controlling Interest</w:t>
            </w:r>
          </w:p>
        </w:tc>
        <w:tc>
          <w:tcPr>
            <w:tcW w:w="82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60,817</w:t>
            </w:r>
          </w:p>
        </w:tc>
        <w:tc>
          <w:tcPr>
            <w:tcW w:w="200" w:type="dxa"/>
            <w:vAlign w:val="bottom"/>
            <w:shd w:val="clear" w:color="auto" w:fill="CFF0FC"/>
          </w:tcPr>
          <w:p>
            <w:pPr>
              <w:spacing w:after="0"/>
              <w:rPr>
                <w:sz w:val="14"/>
                <w:szCs w:val="14"/>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42,311</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18,506</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2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20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30,856</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275</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Before Non-Controlling Interest</w:t>
            </w:r>
          </w:p>
        </w:tc>
        <w:tc>
          <w:tcPr>
            <w:tcW w:w="82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29,686</w:t>
            </w:r>
          </w:p>
        </w:tc>
        <w:tc>
          <w:tcPr>
            <w:tcW w:w="200" w:type="dxa"/>
            <w:vAlign w:val="bottom"/>
            <w:shd w:val="clear" w:color="auto" w:fill="CFF0FC"/>
          </w:tcPr>
          <w:p>
            <w:pPr>
              <w:spacing w:after="0"/>
              <w:rPr>
                <w:sz w:val="14"/>
                <w:szCs w:val="14"/>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11,455</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18,231</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76"/>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82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20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(339)</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Attributable To Green Thumb Industries Inc.</w:t>
            </w:r>
          </w:p>
        </w:tc>
        <w:tc>
          <w:tcPr>
            <w:tcW w:w="82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28,939</w:t>
            </w:r>
          </w:p>
        </w:tc>
        <w:tc>
          <w:tcPr>
            <w:tcW w:w="20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10,369</w:t>
            </w: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18,570</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56"/>
        </w:trPr>
        <w:tc>
          <w:tcPr>
            <w:tcW w:w="49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 basic</w:t>
            </w:r>
          </w:p>
        </w:tc>
        <w:tc>
          <w:tcPr>
            <w:tcW w:w="8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0.12</w:t>
            </w:r>
          </w:p>
        </w:tc>
        <w:tc>
          <w:tcPr>
            <w:tcW w:w="2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0.05</w:t>
            </w:r>
          </w:p>
        </w:tc>
        <w:tc>
          <w:tcPr>
            <w:tcW w:w="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0.07</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 diluted</w:t>
            </w:r>
          </w:p>
        </w:tc>
        <w:tc>
          <w:tcPr>
            <w:tcW w:w="82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0.12</w:t>
            </w:r>
          </w:p>
        </w:tc>
        <w:tc>
          <w:tcPr>
            <w:tcW w:w="20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0.05</w:t>
            </w: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0.07</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56"/>
        </w:trPr>
        <w:tc>
          <w:tcPr>
            <w:tcW w:w="49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Weighted average number of shares outstanding – basic</w:t>
            </w:r>
          </w:p>
        </w:tc>
        <w:tc>
          <w:tcPr>
            <w:tcW w:w="820" w:type="dxa"/>
            <w:vAlign w:val="bottom"/>
          </w:tcPr>
          <w:p>
            <w:pPr>
              <w:spacing w:after="0"/>
              <w:rPr>
                <w:sz w:val="13"/>
                <w:szCs w:val="13"/>
                <w:color w:val="auto"/>
              </w:rPr>
            </w:pPr>
          </w:p>
        </w:tc>
        <w:tc>
          <w:tcPr>
            <w:tcW w:w="1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235,838,947</w:t>
            </w:r>
          </w:p>
        </w:tc>
        <w:tc>
          <w:tcPr>
            <w:tcW w:w="200" w:type="dxa"/>
            <w:vAlign w:val="bottom"/>
          </w:tcPr>
          <w:p>
            <w:pPr>
              <w:spacing w:after="0"/>
              <w:rPr>
                <w:sz w:val="13"/>
                <w:szCs w:val="13"/>
                <w:color w:val="auto"/>
              </w:rPr>
            </w:pPr>
          </w:p>
        </w:tc>
        <w:tc>
          <w:tcPr>
            <w:tcW w:w="1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216,210,429</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Weighted average number of shares outstanding –diluted</w:t>
            </w:r>
          </w:p>
        </w:tc>
        <w:tc>
          <w:tcPr>
            <w:tcW w:w="82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238,225,420</w:t>
            </w:r>
          </w:p>
        </w:tc>
        <w:tc>
          <w:tcPr>
            <w:tcW w:w="20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221,616,157</w:t>
            </w:r>
          </w:p>
        </w:tc>
        <w:tc>
          <w:tcPr>
            <w:tcW w:w="2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-574040</wp:posOffset>
            </wp:positionV>
            <wp:extent cx="12890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-556895</wp:posOffset>
            </wp:positionV>
            <wp:extent cx="12890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-574040</wp:posOffset>
            </wp:positionV>
            <wp:extent cx="12890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-556895</wp:posOffset>
            </wp:positionV>
            <wp:extent cx="1289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-299720</wp:posOffset>
            </wp:positionV>
            <wp:extent cx="1289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-282575</wp:posOffset>
            </wp:positionV>
            <wp:extent cx="1289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-299720</wp:posOffset>
            </wp:positionV>
            <wp:extent cx="1289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-282575</wp:posOffset>
            </wp:positionV>
            <wp:extent cx="1289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-25400</wp:posOffset>
            </wp:positionV>
            <wp:extent cx="1289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12890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1289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89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21" w:lineRule="exact"/>
        <w:rPr>
          <w:sz w:val="20"/>
          <w:szCs w:val="20"/>
          <w:color w:val="auto"/>
        </w:rPr>
      </w:pPr>
    </w:p>
    <w:tbl>
      <w:tblPr>
        <w:tblLayout w:type="fixed"/>
        <w:tblInd w:w="220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40" w:type="dxa"/>
            <w:vAlign w:val="bottom"/>
          </w:tcPr>
          <w:p>
            <w:pPr>
              <w:spacing w:after="0"/>
              <w:rPr>
                <w:sz w:val="18"/>
                <w:szCs w:val="18"/>
                <w:color w:val="auto"/>
              </w:rPr>
            </w:pPr>
          </w:p>
        </w:tc>
        <w:tc>
          <w:tcPr>
            <w:tcW w:w="1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9"/>
        </w:trPr>
        <w:tc>
          <w:tcPr>
            <w:tcW w:w="3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w:t>
            </w:r>
          </w:p>
        </w:tc>
        <w:tc>
          <w:tcPr>
            <w:tcW w:w="1860" w:type="dxa"/>
            <w:vAlign w:val="bottom"/>
            <w:tcBorders>
              <w:bottom w:val="single" w:sz="8" w:color="auto"/>
            </w:tcBorders>
            <w:gridSpan w:val="2"/>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w w:val="88"/>
              </w:rPr>
              <w:t>thousands)</w:t>
            </w:r>
          </w:p>
        </w:tc>
      </w:tr>
      <w:tr>
        <w:trPr>
          <w:trHeight w:val="19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2,397,122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2,385,851</w:t>
            </w: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562,977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561,994</w:t>
            </w:r>
          </w:p>
        </w:tc>
      </w:tr>
    </w:tbl>
    <w:p>
      <w:pPr>
        <w:spacing w:after="0" w:line="294" w:lineRule="exact"/>
        <w:rPr>
          <w:sz w:val="20"/>
          <w:szCs w:val="20"/>
          <w:color w:val="auto"/>
        </w:rPr>
      </w:pPr>
    </w:p>
    <w:p>
      <w:pPr>
        <w:ind w:right="4220"/>
        <w:spacing w:after="0" w:line="3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March 31, 2022 Compared to the Three Months Ended March 31, 2021 </w:t>
      </w:r>
      <w:r>
        <w:rPr>
          <w:rFonts w:ascii="Times New Roman" w:cs="Times New Roman" w:eastAsia="Times New Roman" w:hAnsi="Times New Roman"/>
          <w:sz w:val="18"/>
          <w:szCs w:val="18"/>
          <w:i w:val="1"/>
          <w:iCs w:val="1"/>
          <w:color w:val="auto"/>
        </w:rPr>
        <w:t>Revenues, net of Discounts</w:t>
      </w:r>
    </w:p>
    <w:p>
      <w:pPr>
        <w:spacing w:after="0" w:line="1"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Revenue for the three months ended March 31, 2022 was $242,600 thousand, up 25% from $194,431 thousand for the three months ended March 31, 2021, driven by contributions from both Retail and Consumer Packaged Goods, largely due to continued growth in Illinois. Key performance drivers for the Retail business for the quarter are: increased store traffic to Green Thumb’s open and operating retail stores, particularly in Illinois, and new store openings including acquired stores, particularly in Illinois, Maryland, Massachusetts, Minnesota, Rhode Island and Virginia. The Company generated revenue from 76 Retail locations during the quarter compared to 56 in the same quarter of the prior year. During the three months ended March 31, 2022, the Company opened two new stores in Virginia and acquired one in Illinois. Since March 31, 2021, the Company acquired one retail store in Illinois, one in Maryland, four in Massachusetts, one in Rhode Island, one in Virginia, five in Minnesota and opened seven new Retail locations in Massachusetts, Nevada, Pennsylvania, New Jersey and Virginia that contributed to the increase in Retail revenues.</w:t>
      </w:r>
    </w:p>
    <w:p>
      <w:pPr>
        <w:spacing w:after="0" w:line="20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key driver for the Consumer Packaged Goods increase in revenues was the sale of Green Thumb’s branded product portfolio to third-party retailers produced in the Company’s existing Consumer Packaged Goods cultivation and processing facilities primarily in Illinois due to increased scale and efficiency. The Company also acquired cultivation and processing facilities in Massachusetts, Minnesota and Virginia since March 31, 2021, which all contributed to the increase in Consumer Packaged Goods revenues. Consumer Packaged Goods revenues made up 29% of total revenues during the three months ended March 31, 2022 as compared to 33%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44"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and costs related to the internal cultivation and production of cannabis. Cost of goods sold for the three months ended March 31, 2022 was</w:t>
      </w:r>
    </w:p>
    <w:p>
      <w:pPr>
        <w:spacing w:after="0"/>
        <w:rPr>
          <w:sz w:val="20"/>
          <w:szCs w:val="20"/>
          <w:color w:val="auto"/>
        </w:rPr>
      </w:pPr>
      <w:r>
        <w:rPr>
          <w:rFonts w:ascii="Times New Roman" w:cs="Times New Roman" w:eastAsia="Times New Roman" w:hAnsi="Times New Roman"/>
          <w:sz w:val="18"/>
          <w:szCs w:val="18"/>
          <w:color w:val="auto"/>
        </w:rPr>
        <w:t>$119,660 thousand, up 43% from $83,566 thousand for the three months ended March 31, 2021, driven by increased volume in open and operating retail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stores, new and acquired retail store openings in Maryland, Massachusetts, Minnesota, New Jersey, Pennsylvania, Rhode Island and Virginia, and</w:t>
      </w:r>
    </w:p>
    <w:p>
      <w:pPr>
        <w:spacing w:after="0"/>
        <w:rPr>
          <w:sz w:val="20"/>
          <w:szCs w:val="20"/>
          <w:color w:val="auto"/>
        </w:rPr>
      </w:pPr>
      <w:r>
        <w:rPr>
          <w:rFonts w:ascii="Times New Roman" w:cs="Times New Roman" w:eastAsia="Times New Roman" w:hAnsi="Times New Roman"/>
          <w:sz w:val="18"/>
          <w:szCs w:val="18"/>
          <w:color w:val="auto"/>
        </w:rPr>
        <w:t>expansion of the consumer products sales primarily in Illinois as described above.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Gross profit for the three months ended March 31, 2022 was $122,940 thousand, representing a gross margin on the sale of branded cannabis flower and processed and packaged products including concentrates, edibles, topicals and other cannabis products, of 51%. This is compared to gross profit for the three months ended March 31, 2021 of $110,865 thousand, or a 57% gross margin. The increase in gross profit (dollars) was directly attributable to the revenue increase as described above.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06"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Total expenses for the three months ended March 31, 2022 were $68,388 thousand, or 28% of revenues, net of discounts, resulting in an increase of $9,057 thousand. Total expenses for the three months ended March 31, 2021 were $59,331 thousand or 31% of revenues, net of discounts. The increase in total expenses was attributable to Retail salaries and benefits, depreciation expense and other operational and facility expenses mainly as a result of the Company’s addition of new and acquired retail dispensaries over the prior year period. In addition, an increase in intangible amortization expense and corporate staff salaries also contributed to the overall increase in total expenses. The reduction in expenses as a percent of revenue was attributable to measures deployed to control variable expenses as well as inherent operating leverage caused by the significant increase in revenue.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10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three months ended March 31, 2022 was $6,265 thousand, a change of $15,488 thousand, primarily due to fair value adjustment associated with the Company's acquisition of ILDISP during the three months ended March 31, 2022.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10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three months ended March 31, 2022 was $60,817 thousand, an increase of $18,506 thousand compared to the three months ended March 31, 2021.</w:t>
      </w:r>
    </w:p>
    <w:p>
      <w:pPr>
        <w:spacing w:after="0" w:line="148"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$4,651 thousand and $4,031 thousand in the three months ended March 31, 2022 and 2021, respectively, and other nonoperating (income) expenses, of $(15,154) thousand and $797 thousand in the three months ended March 31, 2022 and 2021, respectively, adjusted operating earnings before interest, depreciation, and amortization (“EBITDA”) was $67,039 thousand and $71,356 thousand, respectively.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0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three months ended March 31, 2022, federal and state income tax expense totaled $31,131 thousand compared to expense of $30,856 thousand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 by Segment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revenues net of sales discounts by segment for the three months ended March 31, 2022 and 2021:</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3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1"/>
                <w:szCs w:val="11"/>
                <w:color w:val="auto"/>
              </w:rPr>
            </w:pPr>
          </w:p>
        </w:tc>
        <w:tc>
          <w:tcPr>
            <w:tcW w:w="1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900" w:type="dxa"/>
            <w:vAlign w:val="bottom"/>
          </w:tcPr>
          <w:p>
            <w:pPr>
              <w:spacing w:after="0"/>
              <w:rPr>
                <w:sz w:val="9"/>
                <w:szCs w:val="9"/>
                <w:color w:val="auto"/>
              </w:rPr>
            </w:pPr>
          </w:p>
        </w:tc>
        <w:tc>
          <w:tcPr>
            <w:tcW w:w="30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78"/>
        </w:trPr>
        <w:tc>
          <w:tcPr>
            <w:tcW w:w="39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Packaged Goods</w:t>
            </w:r>
          </w:p>
        </w:tc>
        <w:tc>
          <w:tcPr>
            <w:tcW w:w="2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spacing w:after="0"/>
              <w:rPr>
                <w:sz w:val="14"/>
                <w:szCs w:val="14"/>
                <w:color w:val="auto"/>
              </w:rPr>
            </w:pP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120,412</w:t>
            </w:r>
          </w:p>
        </w:tc>
        <w:tc>
          <w:tcPr>
            <w:tcW w:w="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4"/>
                <w:szCs w:val="14"/>
                <w:color w:val="auto"/>
              </w:rPr>
            </w:pP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104,077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center"/>
              <w:ind w:left="268"/>
              <w:spacing w:after="0"/>
              <w:rPr>
                <w:sz w:val="20"/>
                <w:szCs w:val="20"/>
                <w:color w:val="auto"/>
              </w:rPr>
            </w:pPr>
            <w:r>
              <w:rPr>
                <w:rFonts w:ascii="Times New Roman" w:cs="Times New Roman" w:eastAsia="Times New Roman" w:hAnsi="Times New Roman"/>
                <w:sz w:val="14"/>
                <w:szCs w:val="14"/>
                <w:color w:val="auto"/>
                <w:w w:val="98"/>
              </w:rPr>
              <w:t>16,335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2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172,586</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130,109</w:t>
            </w:r>
          </w:p>
        </w:tc>
        <w:tc>
          <w:tcPr>
            <w:tcW w:w="220" w:type="dxa"/>
            <w:vAlign w:val="bottom"/>
          </w:tcPr>
          <w:p>
            <w:pPr>
              <w:spacing w:after="0"/>
              <w:rPr>
                <w:sz w:val="15"/>
                <w:szCs w:val="15"/>
                <w:color w:val="auto"/>
              </w:rPr>
            </w:pPr>
          </w:p>
        </w:tc>
        <w:tc>
          <w:tcPr>
            <w:tcW w:w="96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w w:val="98"/>
              </w:rPr>
              <w:t>42,477</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6"/>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Intersegment Eliminations</w:t>
            </w:r>
          </w:p>
        </w:tc>
        <w:tc>
          <w:tcPr>
            <w:tcW w:w="20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(50,398)</w:t>
            </w:r>
          </w:p>
        </w:tc>
        <w:tc>
          <w:tcPr>
            <w:tcW w:w="2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(39,755)</w:t>
            </w:r>
          </w:p>
        </w:tc>
        <w:tc>
          <w:tcPr>
            <w:tcW w:w="2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center"/>
              <w:ind w:left="248"/>
              <w:spacing w:after="0"/>
              <w:rPr>
                <w:sz w:val="20"/>
                <w:szCs w:val="20"/>
                <w:color w:val="auto"/>
              </w:rPr>
            </w:pPr>
            <w:r>
              <w:rPr>
                <w:rFonts w:ascii="Times New Roman" w:cs="Times New Roman" w:eastAsia="Times New Roman" w:hAnsi="Times New Roman"/>
                <w:sz w:val="14"/>
                <w:szCs w:val="14"/>
                <w:color w:val="auto"/>
              </w:rPr>
              <w:t>(10,643)</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Net of Discounts</w:t>
            </w:r>
          </w:p>
        </w:tc>
        <w:tc>
          <w:tcPr>
            <w:tcW w:w="20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242,600</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194,431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8"/>
              </w:rPr>
              <w:t>48,169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-144780</wp:posOffset>
            </wp:positionV>
            <wp:extent cx="1460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-144780</wp:posOffset>
            </wp:positionV>
            <wp:extent cx="137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2022 Compared with the Three Months Ended March 31, 2021</w:t>
      </w:r>
    </w:p>
    <w:p>
      <w:pPr>
        <w:spacing w:after="0" w:line="12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Revenues, net of discounts, for the Retail segment were $172,586 thousand, an increase of $42,477 thousand or 33%, compared to the three months ended March 31, 2021. The increase in Retail revenues, net of discounts, was primarily driven by increased store traffic to Green Thumb’s open and operating retail stores, particularly in Illinois, as well as acquired stores in Illinois, Maryland, Massachusetts, Minnesota, Rhode Island and Virginia.</w:t>
      </w:r>
    </w:p>
    <w:p>
      <w:pPr>
        <w:spacing w:after="0" w:line="190" w:lineRule="exact"/>
        <w:rPr>
          <w:sz w:val="20"/>
          <w:szCs w:val="20"/>
          <w:color w:val="auto"/>
        </w:rPr>
      </w:pPr>
    </w:p>
    <w:p>
      <w:pPr>
        <w:ind w:right="420" w:firstLine="509"/>
        <w:spacing w:after="0" w:line="245"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$120,412 thousand, an increase of $16,335 thousand or 16%, compared to the three months ended March 31, 2021. The increase in Consumer Packaged Goods revenues, net of discounts, was primarily driven by increased sales volume in established markets such as Illinois, as well as sales of products produced at acquired cultivation and processing facilities in Massachusetts, Minnesota and Virginia since March 31, 2021.</w:t>
      </w:r>
    </w:p>
    <w:p>
      <w:pPr>
        <w:spacing w:after="0" w:line="19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Drivers of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6"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Company derives its revenue from two revenue streams: a Consumer Packaged Goods business in which it manufactures, sells and distributes its portfolio of Consumer Packaged Goods brands including Beboe, Dogwalkers, Dr. Solomon’s, Good Green, incredibles, and RYTHM, primarily to third-party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spacing w:after="0" w:line="19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revenue was contributed from Consumer Packaged Goods and Retail sales across California, Colorado, Connecticut, Florida, Illinois, Maryland, Massachusetts, Minnesota, Nevada, New Jersey, New York, Ohio, Pennsylvania, Rhode Island and Virginia.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384"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the Company continued to be focused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increase in the newer locations as business continues to grow.</w:t>
      </w:r>
    </w:p>
    <w:p>
      <w:pPr>
        <w:spacing w:after="0" w:line="16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The Company expects to continue to invest considerably in this area to support aggressive expansion plans and to support the business by attracting and retaining top-tier talent. Furthermore, the Company anticipates an increase in stock-based compensation expenses related to recruiting and hiring talent, along with legal and professional fees associated with being a publicly traded company in Canada and registered with the U.S. Securities and Exchange Commission.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0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the U.S.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7"/>
          <w:szCs w:val="17"/>
          <w:color w:val="auto"/>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w:t>
      </w:r>
    </w:p>
    <w:p>
      <w:pPr>
        <w:spacing w:after="0"/>
        <w:rPr>
          <w:sz w:val="20"/>
          <w:szCs w:val="20"/>
          <w:color w:val="auto"/>
        </w:rPr>
      </w:pPr>
      <w:r>
        <w:rPr>
          <w:rFonts w:ascii="Times New Roman" w:cs="Times New Roman" w:eastAsia="Times New Roman" w:hAnsi="Times New Roman"/>
          <w:sz w:val="18"/>
          <w:szCs w:val="18"/>
          <w:color w:val="auto"/>
        </w:rPr>
        <w:t>superior to, as a substitute for or as an alternative to, and should be considered in conjunction with, the GAAP financial measures presented.</w:t>
      </w:r>
    </w:p>
    <w:p>
      <w:pPr>
        <w:spacing w:after="0" w:line="38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8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tcBorders>
              <w:bottom w:val="single" w:sz="8" w:color="auto"/>
            </w:tcBorders>
            <w:gridSpan w:val="2"/>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Net Income Before Non-Controlling Interest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29,686</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11,455</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5"/>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7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6,070</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4,123</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30,856</w:t>
            </w:r>
          </w:p>
        </w:tc>
        <w:tc>
          <w:tcPr>
            <w:tcW w:w="0" w:type="dxa"/>
            <w:vAlign w:val="bottom"/>
          </w:tcPr>
          <w:p>
            <w:pPr>
              <w:spacing w:after="0"/>
              <w:rPr>
                <w:sz w:val="1"/>
                <w:szCs w:val="1"/>
                <w:color w:val="auto"/>
              </w:rPr>
            </w:pPr>
          </w:p>
        </w:tc>
      </w:tr>
      <w:tr>
        <w:trPr>
          <w:trHeight w:val="175"/>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7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(11,435)</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5,150</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22,990</w:t>
            </w:r>
          </w:p>
        </w:tc>
        <w:tc>
          <w:tcPr>
            <w:tcW w:w="2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14,994</w:t>
            </w:r>
          </w:p>
        </w:tc>
        <w:tc>
          <w:tcPr>
            <w:tcW w:w="0" w:type="dxa"/>
            <w:vAlign w:val="bottom"/>
          </w:tcPr>
          <w:p>
            <w:pPr>
              <w:spacing w:after="0"/>
              <w:rPr>
                <w:sz w:val="1"/>
                <w:szCs w:val="1"/>
                <w:color w:val="auto"/>
              </w:rPr>
            </w:pPr>
          </w:p>
        </w:tc>
      </w:tr>
      <w:tr>
        <w:trPr>
          <w:trHeight w:val="131"/>
        </w:trPr>
        <w:tc>
          <w:tcPr>
            <w:tcW w:w="43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Earnings before interest, taxes, depreciation and</w:t>
            </w:r>
          </w:p>
        </w:tc>
        <w:tc>
          <w:tcPr>
            <w:tcW w:w="7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77,542</w:t>
            </w:r>
          </w:p>
        </w:tc>
        <w:tc>
          <w:tcPr>
            <w:tcW w:w="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66,528</w:t>
            </w:r>
          </w:p>
        </w:tc>
        <w:tc>
          <w:tcPr>
            <w:tcW w:w="0" w:type="dxa"/>
            <w:vAlign w:val="bottom"/>
          </w:tcPr>
          <w:p>
            <w:pPr>
              <w:spacing w:after="0"/>
              <w:rPr>
                <w:sz w:val="1"/>
                <w:szCs w:val="1"/>
                <w:color w:val="auto"/>
              </w:rPr>
            </w:pPr>
          </w:p>
        </w:tc>
      </w:tr>
      <w:tr>
        <w:trPr>
          <w:trHeight w:val="186"/>
        </w:trPr>
        <w:tc>
          <w:tcPr>
            <w:tcW w:w="4300" w:type="dxa"/>
            <w:vAlign w:val="bottom"/>
            <w:tcBorders>
              <w:bottom w:val="single" w:sz="8" w:color="CFF0FC"/>
            </w:tcBorders>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amortization (EBITDA) (non-GAAP measure)</w:t>
            </w:r>
          </w:p>
        </w:tc>
        <w:tc>
          <w:tcPr>
            <w:tcW w:w="760" w:type="dxa"/>
            <w:vAlign w:val="bottom"/>
            <w:tcBorders>
              <w:bottom w:val="single" w:sz="8" w:color="CFF0FC"/>
            </w:tcBorders>
            <w:vMerge w:val="continue"/>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126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30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4"/>
                <w:szCs w:val="14"/>
                <w:color w:val="auto"/>
              </w:rPr>
              <w:t>Stock-based compensation, non-cash</w:t>
            </w:r>
          </w:p>
        </w:tc>
        <w:tc>
          <w:tcPr>
            <w:tcW w:w="760" w:type="dxa"/>
            <w:vAlign w:val="bottom"/>
            <w:tcBorders>
              <w:top w:val="single" w:sz="8" w:color="CFF0FC"/>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4,651</w:t>
            </w:r>
          </w:p>
        </w:tc>
        <w:tc>
          <w:tcPr>
            <w:tcW w:w="220" w:type="dxa"/>
            <w:vAlign w:val="bottom"/>
            <w:tcBorders>
              <w:top w:val="single" w:sz="8" w:color="CFF0FC"/>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4,031</w:t>
            </w:r>
          </w:p>
        </w:tc>
        <w:tc>
          <w:tcPr>
            <w:tcW w:w="0" w:type="dxa"/>
            <w:vAlign w:val="bottom"/>
          </w:tcPr>
          <w:p>
            <w:pPr>
              <w:spacing w:after="0"/>
              <w:rPr>
                <w:sz w:val="1"/>
                <w:szCs w:val="1"/>
                <w:color w:val="auto"/>
              </w:rPr>
            </w:pPr>
          </w:p>
        </w:tc>
      </w:tr>
      <w:tr>
        <w:trPr>
          <w:trHeight w:val="17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transaction and other non-operating (income) costs</w:t>
            </w:r>
          </w:p>
        </w:tc>
        <w:tc>
          <w:tcPr>
            <w:tcW w:w="76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(15,154)</w:t>
            </w:r>
          </w:p>
        </w:tc>
        <w:tc>
          <w:tcPr>
            <w:tcW w:w="22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169"/>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Operating EBITDA (non-GAAP measure)</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67,039</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71,356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-393700</wp:posOffset>
            </wp:positionV>
            <wp:extent cx="1371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-376555</wp:posOffset>
            </wp:positionV>
            <wp:extent cx="137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-144780</wp:posOffset>
            </wp:positionV>
            <wp:extent cx="137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6"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Financing Activities During the Period, and Capital Resources</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As of March 31, 2022, and December 31, 2021 the Company had total current liabilities of $179,184 thousand and $204,379 thousand, respectively, and cash and cash equivalents of $174,539 thousand and $230,420 thousand, respectively to meet its current obligations. The Company had working capital of $149,176 thousand as of March 31, 2022, a decrease of $(10,675) thousand as compared to December 31, 2021. This decrease in working capital was primarily driven by cash consideration exchanged as part of the Company's March 1, 2022 acquisition of ILDISP, LLC.</w:t>
      </w:r>
    </w:p>
    <w:p>
      <w:pPr>
        <w:spacing w:after="0" w:line="69"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 is an early-stage growth company, generating cash from revenues deploying its capital reserves to acquire and develop assets capable of producing additional revenues and earnings over both the immediate and long term. Capital reserves are primarily being utilized for capital expenditures, facility improvements, strategic investment opportunities, product development and marketing, as well as customer, supplier, and investor and industry relations.</w:t>
      </w:r>
    </w:p>
    <w:p>
      <w:pPr>
        <w:spacing w:after="0" w:line="380"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While our revenue, gross profit and operating income were not materially impacted by COVID-19 and we maintained the consistency of our operations during the first three months of 2022, the effects of COVID-19 may impact our business operations for reasons including the potential quarantine of our employees or those of our supply chain partners. 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 Investing and Financing Activities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three months ended March 31, 2022 and 2021, were as follows:</w:t>
      </w:r>
    </w:p>
    <w:p>
      <w:pPr>
        <w:spacing w:after="0" w:line="255" w:lineRule="exact"/>
        <w:rPr>
          <w:sz w:val="20"/>
          <w:szCs w:val="20"/>
          <w:color w:val="auto"/>
        </w:rPr>
      </w:pPr>
    </w:p>
    <w:tbl>
      <w:tblPr>
        <w:tblLayout w:type="fixed"/>
        <w:tblInd w:w="108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4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4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00" w:type="dxa"/>
            <w:vAlign w:val="bottom"/>
            <w:tcBorders>
              <w:bottom w:val="single" w:sz="8" w:color="auto"/>
            </w:tcBorders>
            <w:gridSpan w:val="2"/>
          </w:tcPr>
          <w:p>
            <w:pPr>
              <w:jc w:val="center"/>
              <w:ind w:left="11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20" w:type="dxa"/>
            <w:vAlign w:val="bottom"/>
            <w:tcBorders>
              <w:bottom w:val="single" w:sz="8" w:color="auto"/>
            </w:tcBorders>
          </w:tcPr>
          <w:p>
            <w:pPr>
              <w:spacing w:after="0"/>
              <w:rPr>
                <w:sz w:val="17"/>
                <w:szCs w:val="17"/>
                <w:color w:val="auto"/>
              </w:rPr>
            </w:pPr>
          </w:p>
        </w:tc>
      </w:tr>
      <w:tr>
        <w:trPr>
          <w:trHeight w:val="19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55,376</w:t>
            </w:r>
          </w:p>
        </w:tc>
        <w:tc>
          <w:tcPr>
            <w:tcW w:w="840" w:type="dxa"/>
            <w:vAlign w:val="bottom"/>
            <w:shd w:val="clear" w:color="auto" w:fill="CFF0FC"/>
          </w:tcPr>
          <w:p>
            <w:pPr>
              <w:jc w:val="center"/>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39,656</w:t>
            </w: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(100,401)</w:t>
            </w:r>
          </w:p>
        </w:tc>
        <w:tc>
          <w:tcPr>
            <w:tcW w:w="84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(7,241)</w:t>
            </w:r>
          </w:p>
        </w:tc>
      </w:tr>
      <w:tr>
        <w:trPr>
          <w:trHeight w:val="20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(10,856)</w:t>
            </w:r>
          </w:p>
        </w:tc>
        <w:tc>
          <w:tcPr>
            <w:tcW w:w="840" w:type="dxa"/>
            <w:vAlign w:val="bottom"/>
            <w:shd w:val="clear" w:color="auto" w:fill="CFF0FC"/>
          </w:tcPr>
          <w:p>
            <w:pPr>
              <w:jc w:val="center"/>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159,726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jc w:val="both"/>
        <w:ind w:right="46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2022,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108"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Refer to the discussion of recently adopted/issued accounting pronouncements under Part I, Item 1, Notes to Unaudited Interim Condensed Consolidated Financial Statements, Note 1—Overview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10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from the information provided in “Management’s Discussion and Analysis of Financial Condition and Results of Operations,” included in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6" w:name="page37"/>
    <w:bookmarkEnd w:id="36"/>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 disclosures as set forth in Part II Item 7A of our 2021 Form 10-K.</w:t>
      </w:r>
    </w:p>
    <w:p>
      <w:pPr>
        <w:spacing w:after="0" w:line="200" w:lineRule="exact"/>
        <w:rPr>
          <w:sz w:val="20"/>
          <w:szCs w:val="20"/>
          <w:color w:val="auto"/>
        </w:rPr>
      </w:pPr>
    </w:p>
    <w:p>
      <w:pPr>
        <w:spacing w:after="0" w:line="31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Company's management carried out an evaluation under the supervision and with the participation of the Company's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management identified a material weakness in our internal control over financial reporting which was also disclosed in our Annual Report on the Form 10-K. As a result of this material weakness, management concluded that our disclosure controls and procedures were not effective as of March 31, 2022.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and Status for Material Weakness</w:t>
      </w:r>
    </w:p>
    <w:p>
      <w:pPr>
        <w:spacing w:after="0" w:line="12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In response to the identified material weakness, our management, with the oversight of the Audit Committee, have developed a plan to remediate the material weakness, including designing and implementing improved processes and internal controls with the intent of ensuring proper application of relevant accounting guidance. The Company took steps during the first quarter of 2022 to enhance the control environment and will continue to evaluate these controls over the remainder of the year.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Except as noted above, there have been no changes in the Company's internal control over financial reporting during the first quarter of 2022 that have materially affected, or are reasonably likely to materially affect, our internal control over financial reporting.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Control Systems</w:t>
      </w:r>
    </w:p>
    <w:p>
      <w:pPr>
        <w:spacing w:after="0" w:line="3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Because of the inherent limitations in all control systems, no evaluation of controls can provide absolute assurance that all control issues and instances of fraud, if any, will be or have been detected. These inherent limitations include the realities that judgments in decision making can by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7" w:name="page38"/>
    <w:bookmarkEnd w:id="3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our results of operations or financial condition.</w:t>
      </w:r>
    </w:p>
    <w:p>
      <w:pPr>
        <w:spacing w:after="0" w:line="36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2021 Form 10-K.</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Subordinate Voting Shares</w:t>
      </w:r>
    </w:p>
    <w:p>
      <w:pPr>
        <w:spacing w:after="0" w:line="21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February 25, 2022, the Company issued 667,080 Subordinate Voting Shares as contingent consideration associated with the Company's July 2021 acquisition of Dharma Pharmaceuticals, LLC.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 2022, the Company issued 204,036 Subordinate Voting Shares associated with acquisition of ILDISP, LLC.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21, 2022, the Company converted 5,000 Multiple Voting Shares into 500,000 Subordinate Voting Shares.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Multiple Voting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21, 2022, the Company converted 5,000 Multiple Voting Shares into 500,000 Subordinate Voting Shares.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21, 2022, the Company converted 5,000 Super Voting Shares into 5,000 Multiple Voting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Super Voting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21, 2022, the Company converted 5,000 Super Voting Shares into 5,000 Multiple Voting Shares.</w:t>
      </w: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20" w:right="5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1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exhibits are filed with this report:</w:t>
            </w:r>
          </w:p>
        </w:tc>
        <w:tc>
          <w:tcPr>
            <w:tcW w:w="0" w:type="dxa"/>
            <w:vAlign w:val="bottom"/>
          </w:tcPr>
          <w:p>
            <w:pPr>
              <w:spacing w:after="0"/>
              <w:rPr>
                <w:sz w:val="1"/>
                <w:szCs w:val="1"/>
                <w:color w:val="auto"/>
              </w:rPr>
            </w:pPr>
          </w:p>
        </w:tc>
      </w:tr>
      <w:tr>
        <w:trPr>
          <w:trHeight w:val="405"/>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Executive Annual Bonus Plan</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Options Agreement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RSU Agreement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CERTIFICATE OF CHIEF EXECUTIVE OFFICER</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60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CERTIFICATE OF CHIEF FINANCIAL OFFICER</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814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6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EE"/>
            </w:tcBorders>
            <w:gridSpan w:val="3"/>
            <w:shd w:val="clear" w:color="auto" w:fill="0000FF"/>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9860" w:type="dxa"/>
            <w:vAlign w:val="bottom"/>
            <w:gridSpan w:val="6"/>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6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EE"/>
            </w:tcBorders>
            <w:gridSpan w:val="3"/>
            <w:shd w:val="clear" w:color="auto" w:fill="0000FF"/>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2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2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2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2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right="4940" w:hanging="5519"/>
        <w:spacing w:after="0" w:line="939" w:lineRule="auto"/>
        <w:tabs>
          <w:tab w:leader="none" w:pos="12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Inline XBRL File)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44" w:right="439" w:bottom="1440" w:gutter="0" w:footer="0" w:header="0"/>
        </w:sectPr>
      </w:pPr>
    </w:p>
    <w:bookmarkStart w:id="39" w:name="page40"/>
    <w:bookmarkEnd w:id="39"/>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requirements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wp:posOffset>
            </wp:positionV>
            <wp:extent cx="28289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28289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Anthony Georgiadis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20" w:right="6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jc w:val="center"/>
        <w:ind w:right="380"/>
        <w:spacing w:after="0" w:line="218" w:lineRule="auto"/>
        <w:rPr>
          <w:sz w:val="20"/>
          <w:szCs w:val="20"/>
          <w:color w:val="auto"/>
        </w:rPr>
      </w:pPr>
      <w:r>
        <w:rPr>
          <w:rFonts w:ascii="Calibri" w:cs="Calibri" w:eastAsia="Calibri" w:hAnsi="Calibri"/>
          <w:sz w:val="20"/>
          <w:szCs w:val="20"/>
          <w:color w:val="auto"/>
        </w:rPr>
        <w:t>Green Thumb Industries Inc.</w:t>
      </w:r>
    </w:p>
    <w:p>
      <w:pPr>
        <w:jc w:val="center"/>
        <w:ind w:right="380"/>
        <w:spacing w:after="0" w:line="225" w:lineRule="auto"/>
        <w:rPr>
          <w:sz w:val="20"/>
          <w:szCs w:val="20"/>
          <w:color w:val="auto"/>
        </w:rPr>
      </w:pPr>
      <w:r>
        <w:rPr>
          <w:rFonts w:ascii="Calibri" w:cs="Calibri" w:eastAsia="Calibri" w:hAnsi="Calibri"/>
          <w:sz w:val="20"/>
          <w:szCs w:val="20"/>
          <w:color w:val="auto"/>
        </w:rPr>
        <w:t>[YEAR] Bonus Plan</w:t>
      </w:r>
    </w:p>
    <w:p>
      <w:pPr>
        <w:spacing w:after="0" w:line="212" w:lineRule="exact"/>
        <w:rPr>
          <w:sz w:val="20"/>
          <w:szCs w:val="20"/>
          <w:color w:val="auto"/>
        </w:rPr>
      </w:pPr>
    </w:p>
    <w:p>
      <w:pPr>
        <w:jc w:val="both"/>
        <w:ind w:left="380" w:hanging="378"/>
        <w:spacing w:after="0" w:line="226" w:lineRule="auto"/>
        <w:tabs>
          <w:tab w:leader="none" w:pos="380" w:val="left"/>
        </w:tabs>
        <w:numPr>
          <w:ilvl w:val="0"/>
          <w:numId w:val="49"/>
        </w:numPr>
        <w:rPr>
          <w:rFonts w:ascii="Calibri" w:cs="Calibri" w:eastAsia="Calibri" w:hAnsi="Calibri"/>
          <w:sz w:val="20"/>
          <w:szCs w:val="20"/>
          <w:u w:val="single" w:color="auto"/>
          <w:color w:val="auto"/>
        </w:rPr>
      </w:pPr>
      <w:r>
        <w:rPr>
          <w:rFonts w:ascii="Calibri" w:cs="Calibri" w:eastAsia="Calibri" w:hAnsi="Calibri"/>
          <w:sz w:val="20"/>
          <w:szCs w:val="20"/>
          <w:u w:val="single" w:color="auto"/>
          <w:color w:val="auto"/>
        </w:rPr>
        <w:t>Purpose</w:t>
      </w:r>
      <w:r>
        <w:rPr>
          <w:rFonts w:ascii="Calibri" w:cs="Calibri" w:eastAsia="Calibri" w:hAnsi="Calibri"/>
          <w:sz w:val="20"/>
          <w:szCs w:val="20"/>
          <w:color w:val="auto"/>
        </w:rPr>
        <w:t>. The objectve of the Green Thumb Industries Inc. [YEAR] Bonus Plan (the “Plan”) is to incentvize performance during calendar year [YEAR] of the executve ofcers and other employees of Green Thumb Industries Inc. and its subsidiaries (the “Company”) who have been designated by the Compensaton Commitee of the Company’s Board of Directors (the “Compensaton Commitee”) to partcipate in the Plan. The Plan is intended to provide partcipants with an opportunity to earn bonuses for [YEAR] based, in part, on the extent to which specifed performance goals have been achieved.</w:t>
      </w:r>
    </w:p>
    <w:p>
      <w:pPr>
        <w:spacing w:after="0" w:line="214" w:lineRule="exact"/>
        <w:rPr>
          <w:rFonts w:ascii="Calibri" w:cs="Calibri" w:eastAsia="Calibri" w:hAnsi="Calibri"/>
          <w:sz w:val="20"/>
          <w:szCs w:val="20"/>
          <w:u w:val="single" w:color="auto"/>
          <w:color w:val="auto"/>
        </w:rPr>
      </w:pPr>
    </w:p>
    <w:p>
      <w:pPr>
        <w:ind w:left="380" w:hanging="378"/>
        <w:spacing w:after="0" w:line="228" w:lineRule="auto"/>
        <w:tabs>
          <w:tab w:leader="none" w:pos="380" w:val="left"/>
        </w:tabs>
        <w:numPr>
          <w:ilvl w:val="0"/>
          <w:numId w:val="49"/>
        </w:numPr>
        <w:rPr>
          <w:rFonts w:ascii="Calibri" w:cs="Calibri" w:eastAsia="Calibri" w:hAnsi="Calibri"/>
          <w:sz w:val="20"/>
          <w:szCs w:val="20"/>
          <w:u w:val="single" w:color="auto"/>
          <w:color w:val="auto"/>
        </w:rPr>
      </w:pPr>
      <w:r>
        <w:rPr>
          <w:rFonts w:ascii="Calibri" w:cs="Calibri" w:eastAsia="Calibri" w:hAnsi="Calibri"/>
          <w:sz w:val="20"/>
          <w:szCs w:val="20"/>
          <w:u w:val="single" w:color="auto"/>
          <w:color w:val="auto"/>
        </w:rPr>
        <w:t>Duraton of Plan</w:t>
      </w:r>
      <w:r>
        <w:rPr>
          <w:rFonts w:ascii="Calibri" w:cs="Calibri" w:eastAsia="Calibri" w:hAnsi="Calibri"/>
          <w:sz w:val="20"/>
          <w:szCs w:val="20"/>
          <w:color w:val="auto"/>
        </w:rPr>
        <w:t>. The Plan will be in efect for calendar year [YEAR] and through the payout date regarding any bonus earned under the Plan.</w:t>
      </w:r>
    </w:p>
    <w:p>
      <w:pPr>
        <w:spacing w:after="0" w:line="386" w:lineRule="exact"/>
        <w:rPr>
          <w:rFonts w:ascii="Calibri" w:cs="Calibri" w:eastAsia="Calibri" w:hAnsi="Calibri"/>
          <w:sz w:val="20"/>
          <w:szCs w:val="20"/>
          <w:u w:val="single" w:color="auto"/>
          <w:color w:val="auto"/>
        </w:rPr>
      </w:pPr>
    </w:p>
    <w:p>
      <w:pPr>
        <w:jc w:val="both"/>
        <w:ind w:left="380" w:hanging="378"/>
        <w:spacing w:after="0" w:line="224" w:lineRule="auto"/>
        <w:tabs>
          <w:tab w:leader="none" w:pos="380" w:val="left"/>
        </w:tabs>
        <w:numPr>
          <w:ilvl w:val="0"/>
          <w:numId w:val="49"/>
        </w:numPr>
        <w:rPr>
          <w:rFonts w:ascii="Calibri" w:cs="Calibri" w:eastAsia="Calibri" w:hAnsi="Calibri"/>
          <w:sz w:val="20"/>
          <w:szCs w:val="20"/>
          <w:u w:val="single" w:color="auto"/>
          <w:color w:val="auto"/>
        </w:rPr>
      </w:pPr>
      <w:r>
        <w:rPr>
          <w:rFonts w:ascii="Calibri" w:cs="Calibri" w:eastAsia="Calibri" w:hAnsi="Calibri"/>
          <w:sz w:val="20"/>
          <w:szCs w:val="20"/>
          <w:u w:val="single" w:color="auto"/>
          <w:color w:val="auto"/>
        </w:rPr>
        <w:t>Eligibility to Partcipate</w:t>
      </w:r>
      <w:r>
        <w:rPr>
          <w:rFonts w:ascii="Calibri" w:cs="Calibri" w:eastAsia="Calibri" w:hAnsi="Calibri"/>
          <w:sz w:val="20"/>
          <w:szCs w:val="20"/>
          <w:color w:val="auto"/>
        </w:rPr>
        <w:t>. Each of the Company’s executve ofcers (as defned under Secton 16(b) of the Securites Exchange Act of 1934) is eligible to partcipate in the Plan, however, the executve ofcer must be designated in writng by the Compensaton Commitee. At the Company’s discreton, other employees of the Company and its subsidiaries may also be designated as partcipants. Each person so designated to partcipate under this Secton 3 is deemed a “Partcipant”. Notwithstanding the foregoing, a Partcipant must remain employed by the Company as of December 31, [YEAR] to earn a bonus hereunder. The Compensaton Commitee may, however, in its sole discreton, provide a partal bonus to a Partcipant that commenced employment afer the frst day of January [YEAR].</w:t>
      </w:r>
    </w:p>
    <w:p>
      <w:pPr>
        <w:spacing w:after="0" w:line="389" w:lineRule="exact"/>
        <w:rPr>
          <w:rFonts w:ascii="Calibri" w:cs="Calibri" w:eastAsia="Calibri" w:hAnsi="Calibri"/>
          <w:sz w:val="20"/>
          <w:szCs w:val="20"/>
          <w:u w:val="single" w:color="auto"/>
          <w:color w:val="auto"/>
        </w:rPr>
      </w:pPr>
    </w:p>
    <w:p>
      <w:pPr>
        <w:jc w:val="both"/>
        <w:ind w:left="380" w:hanging="378"/>
        <w:spacing w:after="0" w:line="237" w:lineRule="auto"/>
        <w:tabs>
          <w:tab w:leader="none" w:pos="380" w:val="left"/>
        </w:tabs>
        <w:numPr>
          <w:ilvl w:val="0"/>
          <w:numId w:val="49"/>
        </w:numPr>
        <w:rPr>
          <w:rFonts w:ascii="Calibri" w:cs="Calibri" w:eastAsia="Calibri" w:hAnsi="Calibri"/>
          <w:sz w:val="20"/>
          <w:szCs w:val="20"/>
          <w:u w:val="single" w:color="auto"/>
          <w:color w:val="auto"/>
        </w:rPr>
      </w:pPr>
      <w:r>
        <w:rPr>
          <w:rFonts w:ascii="Calibri" w:cs="Calibri" w:eastAsia="Calibri" w:hAnsi="Calibri"/>
          <w:sz w:val="20"/>
          <w:szCs w:val="20"/>
          <w:u w:val="single" w:color="auto"/>
          <w:color w:val="auto"/>
        </w:rPr>
        <w:t>Target Levels for Bonuses/Calculatons</w:t>
      </w:r>
      <w:r>
        <w:rPr>
          <w:rFonts w:ascii="Calibri" w:cs="Calibri" w:eastAsia="Calibri" w:hAnsi="Calibri"/>
          <w:sz w:val="20"/>
          <w:szCs w:val="20"/>
          <w:color w:val="auto"/>
        </w:rPr>
        <w:t>. The Compensaton Commitee will approve the annual Company performance goal and targets as soon as practcable in the frst quarter of [YEAR] based on the Company’s operatng plan. The Compensaton Commitee will also approve a range of potental bonus award amounts for threshold, target and stretch performance. Based upon the Compensaton Commitee’s periodic review of Company performance (provided by management), the Company will book an accrual based on the achievement of performance against the target levels. The Commitee’s approved achievement levels will be set forth in Appendix A hereto. The Compensaton Commitee may adjust up or down the performance target and ranges for potental bonus awards under the Plan or, alternatvely, may adjust the calculaton of the actual results, in each case to refect items outside of the Partcipants’ control as the Compensaton Commitee deems necessary or appropriate to adequately reward and incentvize Partcipants. Such items may include certain extraordinary or special items including, but not limited to: change in accountng policy; gain/loss on dispositon of assets or business; charge for goodwill impairment; extraordinary corporate events such as mergers or acquisitons; extraordinary legal/regulatory setlements; extraordinary market conditons; efects of natural or man-made disasters (e.g. 9/11); hyperinfaton (e.g.&gt;15%); change in statutory tax rates/regulatons; and other extraordinary, unusual or infrequently occurring items. The fnal determinaton of achievement of the performance goals, potental bonus award ranges, the certfcaton of achievement of the target and the annual accrual shall be approved by the Compensaton Commitee prior to payout. The performance goal or performance goals achieved by the Company for the purposes of the Plan may difer from achievement of the performance goal refected in the Company’s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210820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4" w:right="339" w:bottom="1440" w:gutter="0" w:footer="0" w:header="0"/>
        </w:sectPr>
      </w:pPr>
    </w:p>
    <w:bookmarkStart w:id="41" w:name="page42"/>
    <w:bookmarkEnd w:id="41"/>
    <w:p>
      <w:pPr>
        <w:jc w:val="both"/>
        <w:ind w:left="380" w:hanging="378"/>
        <w:spacing w:after="0" w:line="226" w:lineRule="auto"/>
        <w:tabs>
          <w:tab w:leader="none" w:pos="380" w:val="left"/>
        </w:tabs>
        <w:numPr>
          <w:ilvl w:val="0"/>
          <w:numId w:val="50"/>
        </w:numPr>
        <w:rPr>
          <w:rFonts w:ascii="Calibri" w:cs="Calibri" w:eastAsia="Calibri" w:hAnsi="Calibri"/>
          <w:sz w:val="20"/>
          <w:szCs w:val="20"/>
          <w:u w:val="single" w:color="auto"/>
          <w:color w:val="auto"/>
        </w:rPr>
      </w:pPr>
      <w:r>
        <w:rPr>
          <w:rFonts w:ascii="Calibri" w:cs="Calibri" w:eastAsia="Calibri" w:hAnsi="Calibri"/>
          <w:sz w:val="20"/>
          <w:szCs w:val="20"/>
          <w:u w:val="single" w:color="auto"/>
          <w:color w:val="auto"/>
        </w:rPr>
        <w:t>Performance Goals</w:t>
      </w:r>
      <w:r>
        <w:rPr>
          <w:rFonts w:ascii="Calibri" w:cs="Calibri" w:eastAsia="Calibri" w:hAnsi="Calibri"/>
          <w:sz w:val="20"/>
          <w:szCs w:val="20"/>
          <w:color w:val="auto"/>
        </w:rPr>
        <w:t>. Each Partcipant will be assigned a target bonus level by the Compensaton Commitee, stated as a percentage of his or her base salary. Each Partcipant’s ability to earn the target bonus award is dependent on the Company’s atainment of the annual performance targets. A Partcipant may earn more or less than his or her target bonus award based upon his or her individual performance.</w:t>
      </w:r>
    </w:p>
    <w:p>
      <w:pPr>
        <w:spacing w:after="0" w:line="376" w:lineRule="exact"/>
        <w:rPr>
          <w:rFonts w:ascii="Calibri" w:cs="Calibri" w:eastAsia="Calibri" w:hAnsi="Calibri"/>
          <w:sz w:val="20"/>
          <w:szCs w:val="20"/>
          <w:u w:val="single" w:color="auto"/>
          <w:color w:val="auto"/>
        </w:rPr>
      </w:pPr>
    </w:p>
    <w:p>
      <w:pPr>
        <w:jc w:val="both"/>
        <w:ind w:left="380" w:hanging="378"/>
        <w:spacing w:after="0" w:line="224" w:lineRule="auto"/>
        <w:tabs>
          <w:tab w:leader="none" w:pos="380" w:val="left"/>
        </w:tabs>
        <w:numPr>
          <w:ilvl w:val="0"/>
          <w:numId w:val="50"/>
        </w:numPr>
        <w:rPr>
          <w:rFonts w:ascii="Calibri" w:cs="Calibri" w:eastAsia="Calibri" w:hAnsi="Calibri"/>
          <w:sz w:val="20"/>
          <w:szCs w:val="20"/>
          <w:u w:val="single" w:color="auto"/>
          <w:color w:val="auto"/>
        </w:rPr>
      </w:pPr>
      <w:r>
        <w:rPr>
          <w:rFonts w:ascii="Calibri" w:cs="Calibri" w:eastAsia="Calibri" w:hAnsi="Calibri"/>
          <w:sz w:val="20"/>
          <w:szCs w:val="20"/>
          <w:u w:val="single" w:color="auto"/>
          <w:color w:val="auto"/>
        </w:rPr>
        <w:t>Award Payments</w:t>
      </w:r>
      <w:r>
        <w:rPr>
          <w:rFonts w:ascii="Calibri" w:cs="Calibri" w:eastAsia="Calibri" w:hAnsi="Calibri"/>
          <w:sz w:val="20"/>
          <w:szCs w:val="20"/>
          <w:color w:val="auto"/>
        </w:rPr>
        <w:t>. All bonus awards under the Plan will be paid out following the completon of the [YEAR] calendar year. All awards will be payable, to the extent earned (i) for the amount up to each applicable partcipant’s target award, in cash; and (ii) for any amount in excess of each partcipant’s target (if amount over target is $10,000 or greater), in fully-vested restricted stock units under the Green Thumb Industries Inc. 2018 Stock and Incentve Plan, as amended (the “Plan”), on an award date to be determined by the Compensaton Commitee when the fnal approval of each award is certfed, with the number of restricted stock units determined based on the grant date fair value as calculated under the Plan. Notwithstanding the foregoing, at the Compensaton Commitee’s discreton, a partcipant may elect to receive their awards entrely in equity.</w:t>
      </w:r>
    </w:p>
    <w:p>
      <w:pPr>
        <w:spacing w:after="0" w:line="227" w:lineRule="exact"/>
        <w:rPr>
          <w:rFonts w:ascii="Calibri" w:cs="Calibri" w:eastAsia="Calibri" w:hAnsi="Calibri"/>
          <w:sz w:val="20"/>
          <w:szCs w:val="20"/>
          <w:u w:val="single" w:color="auto"/>
          <w:color w:val="auto"/>
        </w:rPr>
      </w:pPr>
    </w:p>
    <w:p>
      <w:pPr>
        <w:jc w:val="both"/>
        <w:ind w:left="380" w:hanging="378"/>
        <w:spacing w:after="0" w:line="227" w:lineRule="auto"/>
        <w:tabs>
          <w:tab w:leader="none" w:pos="380" w:val="left"/>
        </w:tabs>
        <w:numPr>
          <w:ilvl w:val="0"/>
          <w:numId w:val="50"/>
        </w:numPr>
        <w:rPr>
          <w:rFonts w:ascii="Calibri" w:cs="Calibri" w:eastAsia="Calibri" w:hAnsi="Calibri"/>
          <w:sz w:val="20"/>
          <w:szCs w:val="20"/>
          <w:u w:val="single" w:color="auto"/>
          <w:color w:val="auto"/>
        </w:rPr>
      </w:pPr>
      <w:r>
        <w:rPr>
          <w:rFonts w:ascii="Calibri" w:cs="Calibri" w:eastAsia="Calibri" w:hAnsi="Calibri"/>
          <w:sz w:val="20"/>
          <w:szCs w:val="20"/>
          <w:u w:val="single" w:color="auto"/>
          <w:color w:val="auto"/>
        </w:rPr>
        <w:t>Terminaton of Employment</w:t>
      </w:r>
      <w:r>
        <w:rPr>
          <w:rFonts w:ascii="Calibri" w:cs="Calibri" w:eastAsia="Calibri" w:hAnsi="Calibri"/>
          <w:sz w:val="20"/>
          <w:szCs w:val="20"/>
          <w:color w:val="auto"/>
        </w:rPr>
        <w:t>. If a Partcipant ceases employment with the Company prior to December 31, [YEAR], subject to legal requirements, that Partcipant will not be enttled to a bonus award under this Plan. Eligibility for, or actual partcipaton in, the Plan does not enttle an individual to contnued employment with the Company.</w:t>
      </w:r>
    </w:p>
    <w:p>
      <w:pPr>
        <w:spacing w:after="0" w:line="387" w:lineRule="exact"/>
        <w:rPr>
          <w:rFonts w:ascii="Calibri" w:cs="Calibri" w:eastAsia="Calibri" w:hAnsi="Calibri"/>
          <w:sz w:val="20"/>
          <w:szCs w:val="20"/>
          <w:u w:val="single" w:color="auto"/>
          <w:color w:val="auto"/>
        </w:rPr>
      </w:pPr>
    </w:p>
    <w:p>
      <w:pPr>
        <w:ind w:left="380" w:hanging="378"/>
        <w:spacing w:after="0" w:line="221" w:lineRule="auto"/>
        <w:tabs>
          <w:tab w:leader="none" w:pos="380" w:val="left"/>
        </w:tabs>
        <w:numPr>
          <w:ilvl w:val="0"/>
          <w:numId w:val="50"/>
        </w:numPr>
        <w:rPr>
          <w:rFonts w:ascii="Calibri" w:cs="Calibri" w:eastAsia="Calibri" w:hAnsi="Calibri"/>
          <w:sz w:val="20"/>
          <w:szCs w:val="20"/>
          <w:u w:val="single" w:color="auto"/>
          <w:color w:val="auto"/>
        </w:rPr>
      </w:pPr>
      <w:r>
        <w:rPr>
          <w:rFonts w:ascii="Calibri" w:cs="Calibri" w:eastAsia="Calibri" w:hAnsi="Calibri"/>
          <w:sz w:val="20"/>
          <w:szCs w:val="20"/>
          <w:u w:val="single" w:color="auto"/>
          <w:color w:val="auto"/>
        </w:rPr>
        <w:t>Amendments</w:t>
      </w:r>
      <w:r>
        <w:rPr>
          <w:rFonts w:ascii="Calibri" w:cs="Calibri" w:eastAsia="Calibri" w:hAnsi="Calibri"/>
          <w:sz w:val="20"/>
          <w:szCs w:val="20"/>
          <w:color w:val="auto"/>
        </w:rPr>
        <w:t>. The Compensaton Commitee may, at any tme and from tme to tme, make any and all adjustments to the Plan as it deems necessary or appropriate, and it may terminate the Plan at any tme.</w:t>
      </w:r>
    </w:p>
    <w:p>
      <w:pPr>
        <w:spacing w:after="0" w:line="387" w:lineRule="exact"/>
        <w:rPr>
          <w:rFonts w:ascii="Calibri" w:cs="Calibri" w:eastAsia="Calibri" w:hAnsi="Calibri"/>
          <w:sz w:val="20"/>
          <w:szCs w:val="20"/>
          <w:u w:val="single" w:color="auto"/>
          <w:color w:val="auto"/>
        </w:rPr>
      </w:pPr>
    </w:p>
    <w:p>
      <w:pPr>
        <w:jc w:val="both"/>
        <w:ind w:left="380" w:hanging="378"/>
        <w:spacing w:after="0"/>
        <w:tabs>
          <w:tab w:leader="none" w:pos="380" w:val="left"/>
        </w:tabs>
        <w:numPr>
          <w:ilvl w:val="0"/>
          <w:numId w:val="50"/>
        </w:numPr>
        <w:rPr>
          <w:rFonts w:ascii="Calibri" w:cs="Calibri" w:eastAsia="Calibri" w:hAnsi="Calibri"/>
          <w:sz w:val="20"/>
          <w:szCs w:val="20"/>
          <w:u w:val="single" w:color="auto"/>
          <w:color w:val="auto"/>
        </w:rPr>
      </w:pPr>
      <w:r>
        <w:rPr>
          <w:rFonts w:ascii="Calibri" w:cs="Calibri" w:eastAsia="Calibri" w:hAnsi="Calibri"/>
          <w:sz w:val="20"/>
          <w:szCs w:val="20"/>
          <w:u w:val="single" w:color="auto"/>
          <w:color w:val="auto"/>
        </w:rPr>
        <w:t>Administraton</w:t>
      </w:r>
      <w:r>
        <w:rPr>
          <w:rFonts w:ascii="Calibri" w:cs="Calibri" w:eastAsia="Calibri" w:hAnsi="Calibri"/>
          <w:sz w:val="20"/>
          <w:szCs w:val="20"/>
          <w:color w:val="auto"/>
        </w:rPr>
        <w:t>. The Plan will be administered by the Compensaton Commitee, which is responsible for: (a) determining the annual performance goals and the specifc target under each such performance goal; (b) certfying the Company’s achievement with respect to the performance target following completon of the [YEAR] calendar year; and (c) approving the Company’s accrual under the Plan. The Compensaton Commitee has full authority, in its sole discreton, to take any acton with respect to the Plan including, but not limited to: (i) determining all maters relatng to bonus awards, including eligibility criteria, performance criteria, the achievement of performance criteria and terms, conditons, restrictons and limitatons of any award; (ii) construing and interpretng the Plan and any document evidencing bonus awards granted under the Plan; (iii) making any other determinatons deemed necessary or appropriate. The Compensaton Commitee’s interpretaton, constructon and administraton of the Plan and each of its determinatons hereunder, will be fnal, conclusive and binding on all persons for all purposes.</w:t>
      </w:r>
    </w:p>
    <w:p>
      <w:pPr>
        <w:spacing w:after="0" w:line="300" w:lineRule="exact"/>
        <w:rPr>
          <w:rFonts w:ascii="Calibri" w:cs="Calibri" w:eastAsia="Calibri" w:hAnsi="Calibri"/>
          <w:sz w:val="20"/>
          <w:szCs w:val="20"/>
          <w:u w:val="single" w:color="auto"/>
          <w:color w:val="auto"/>
        </w:rPr>
      </w:pPr>
    </w:p>
    <w:p>
      <w:pPr>
        <w:jc w:val="both"/>
        <w:ind w:left="380" w:hanging="378"/>
        <w:spacing w:after="0" w:line="226" w:lineRule="auto"/>
        <w:tabs>
          <w:tab w:leader="none" w:pos="380" w:val="left"/>
        </w:tabs>
        <w:numPr>
          <w:ilvl w:val="0"/>
          <w:numId w:val="50"/>
        </w:numPr>
        <w:rPr>
          <w:rFonts w:ascii="Calibri" w:cs="Calibri" w:eastAsia="Calibri" w:hAnsi="Calibri"/>
          <w:sz w:val="20"/>
          <w:szCs w:val="20"/>
          <w:u w:val="single" w:color="auto"/>
          <w:color w:val="auto"/>
        </w:rPr>
      </w:pPr>
      <w:r>
        <w:rPr>
          <w:rFonts w:ascii="Calibri" w:cs="Calibri" w:eastAsia="Calibri" w:hAnsi="Calibri"/>
          <w:sz w:val="20"/>
          <w:szCs w:val="20"/>
          <w:u w:val="single" w:color="auto"/>
          <w:color w:val="auto"/>
        </w:rPr>
        <w:t>Governing Law</w:t>
      </w:r>
      <w:r>
        <w:rPr>
          <w:rFonts w:ascii="Calibri" w:cs="Calibri" w:eastAsia="Calibri" w:hAnsi="Calibri"/>
          <w:sz w:val="20"/>
          <w:szCs w:val="20"/>
          <w:color w:val="auto"/>
        </w:rPr>
        <w:t>. The Plan and each bonus award hereunder, and all determinatons made and actons taken pursuant hereto, to the extent not otherwise governed by the U.S. Internal Revenue Code of 1986, as amended, or the laws of the United States, shall be governed by the laws of the State of Illinois and construed in accordance therewith without giving efect to principles of conficts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-739140</wp:posOffset>
            </wp:positionV>
            <wp:extent cx="869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6995" cy="8255"/>
                    </a:xfrm>
                    <a:prstGeom prst="rect">
                      <a:avLst/>
                    </a:prstGeom>
                    <a:noFill/>
                  </pic:spPr>
                </pic:pic>
              </a:graphicData>
            </a:graphic>
          </wp:anchor>
        </w:drawing>
      </w:r>
    </w:p>
    <w:p>
      <w:pPr>
        <w:jc w:val="center"/>
        <w:ind w:right="380"/>
        <w:spacing w:after="0" w:line="228" w:lineRule="auto"/>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214630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34" w:right="339" w:bottom="1440" w:gutter="0" w:footer="0" w:header="0"/>
        </w:sectPr>
      </w:pPr>
    </w:p>
    <w:bookmarkStart w:id="42" w:name="page43"/>
    <w:bookmarkEnd w:id="42"/>
    <w:p>
      <w:pPr>
        <w:jc w:val="center"/>
        <w:ind w:right="-360"/>
        <w:spacing w:after="0"/>
        <w:rPr>
          <w:sz w:val="20"/>
          <w:szCs w:val="20"/>
          <w:color w:val="auto"/>
        </w:rPr>
      </w:pPr>
      <w:r>
        <w:rPr>
          <w:rFonts w:ascii="Calibri" w:cs="Calibri" w:eastAsia="Calibri" w:hAnsi="Calibri"/>
          <w:sz w:val="20"/>
          <w:szCs w:val="20"/>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222250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86"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5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GREEN THUMB INDUSTRIES INC. 2018 STOCK AND</w:t>
      </w:r>
    </w:p>
    <w:p>
      <w:pPr>
        <w:spacing w:after="0" w:line="2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INCENTIVE PLAN NOTICE OF STOCK OPTION GRANT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You have been granted the following option to purchase Subordinate Voting Shares of Green Thumb Industries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2220" w:type="dxa"/>
            <w:vAlign w:val="bottom"/>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p>
        </w:tc>
      </w:tr>
      <w:tr>
        <w:trPr>
          <w:trHeight w:val="196"/>
        </w:trPr>
        <w:tc>
          <w:tcPr>
            <w:tcW w:w="3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Number of Shares Granted:</w:t>
            </w:r>
          </w:p>
        </w:tc>
        <w:tc>
          <w:tcPr>
            <w:tcW w:w="2220" w:type="dxa"/>
            <w:vAlign w:val="bottom"/>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r>
      <w:tr>
        <w:trPr>
          <w:trHeight w:val="164"/>
        </w:trPr>
        <w:tc>
          <w:tcPr>
            <w:tcW w:w="39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Type of Option:</w:t>
            </w:r>
          </w:p>
        </w:tc>
        <w:tc>
          <w:tcPr>
            <w:tcW w:w="2220" w:type="dxa"/>
            <w:vAlign w:val="bottom"/>
          </w:tcPr>
          <w:p>
            <w:pPr>
              <w:spacing w:after="0"/>
              <w:rPr>
                <w:sz w:val="14"/>
                <w:szCs w:val="14"/>
                <w:color w:val="auto"/>
              </w:rPr>
            </w:pPr>
          </w:p>
        </w:tc>
        <w:tc>
          <w:tcPr>
            <w:tcW w:w="51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Non-Qualified Stock Option</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732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CDN$</w:t>
            </w:r>
          </w:p>
        </w:tc>
      </w:tr>
      <w:tr>
        <w:trPr>
          <w:trHeight w:val="196"/>
        </w:trPr>
        <w:tc>
          <w:tcPr>
            <w:tcW w:w="3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Date of Grant:</w:t>
            </w:r>
          </w:p>
        </w:tc>
        <w:tc>
          <w:tcPr>
            <w:tcW w:w="2220" w:type="dxa"/>
            <w:vAlign w:val="bottom"/>
          </w:tcPr>
          <w:p>
            <w:pPr>
              <w:spacing w:after="0"/>
              <w:rPr>
                <w:sz w:val="17"/>
                <w:szCs w:val="17"/>
                <w:color w:val="auto"/>
              </w:rPr>
            </w:pPr>
          </w:p>
        </w:tc>
        <w:tc>
          <w:tcPr>
            <w:tcW w:w="5100" w:type="dxa"/>
            <w:vAlign w:val="bottom"/>
            <w:tcBorders>
              <w:top w:val="single" w:sz="8" w:color="auto"/>
              <w:bottom w:val="single" w:sz="8" w:color="auto"/>
            </w:tcBorders>
          </w:tcPr>
          <w:p>
            <w:pPr>
              <w:spacing w:after="0"/>
              <w:rPr>
                <w:sz w:val="17"/>
                <w:szCs w:val="17"/>
                <w:color w:val="auto"/>
              </w:rPr>
            </w:pPr>
          </w:p>
        </w:tc>
      </w:tr>
      <w:tr>
        <w:trPr>
          <w:trHeight w:val="196"/>
        </w:trPr>
        <w:tc>
          <w:tcPr>
            <w:tcW w:w="3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Vesting Terms:</w:t>
            </w:r>
          </w:p>
        </w:tc>
        <w:tc>
          <w:tcPr>
            <w:tcW w:w="2220" w:type="dxa"/>
            <w:vAlign w:val="bottom"/>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r>
      <w:tr>
        <w:trPr>
          <w:trHeight w:val="196"/>
        </w:trPr>
        <w:tc>
          <w:tcPr>
            <w:tcW w:w="3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Expiration Date:</w:t>
            </w:r>
          </w:p>
        </w:tc>
        <w:tc>
          <w:tcPr>
            <w:tcW w:w="2220" w:type="dxa"/>
            <w:vAlign w:val="bottom"/>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r>
    </w:tbl>
    <w:p>
      <w:pPr>
        <w:spacing w:after="0" w:line="360" w:lineRule="exact"/>
        <w:rPr>
          <w:sz w:val="20"/>
          <w:szCs w:val="20"/>
          <w:color w:val="auto"/>
        </w:rPr>
      </w:pPr>
    </w:p>
    <w:p>
      <w:pPr>
        <w:ind w:left="100" w:right="460"/>
        <w:spacing w:after="0" w:line="258" w:lineRule="auto"/>
        <w:rPr>
          <w:sz w:val="20"/>
          <w:szCs w:val="20"/>
          <w:color w:val="auto"/>
        </w:rPr>
      </w:pPr>
      <w:r>
        <w:rPr>
          <w:rFonts w:ascii="Times New Roman" w:cs="Times New Roman" w:eastAsia="Times New Roman" w:hAnsi="Times New Roman"/>
          <w:sz w:val="18"/>
          <w:szCs w:val="18"/>
          <w:color w:val="auto"/>
        </w:rPr>
        <w:t>By your signature and the signature of the Company’s representative below, you and the Company agree that this option is granted under and governed by the terms and conditions of the Company’s 2018 Stock and Incentive Plan, as amended and the attached Stock Option Agreement, both of which are made a part of this document.</w:t>
      </w:r>
    </w:p>
    <w:p>
      <w:pPr>
        <w:spacing w:after="0" w:line="345" w:lineRule="exact"/>
        <w:rPr>
          <w:sz w:val="20"/>
          <w:szCs w:val="20"/>
          <w:color w:val="auto"/>
        </w:rPr>
      </w:pPr>
    </w:p>
    <w:p>
      <w:pPr>
        <w:spacing w:after="0"/>
        <w:tabs>
          <w:tab w:leader="none" w:pos="6020" w:val="left"/>
        </w:tabs>
        <w:rPr>
          <w:sz w:val="20"/>
          <w:szCs w:val="20"/>
          <w:color w:val="auto"/>
        </w:rPr>
      </w:pPr>
      <w:r>
        <w:rPr>
          <w:rFonts w:ascii="Times New Roman" w:cs="Times New Roman" w:eastAsia="Times New Roman" w:hAnsi="Times New Roman"/>
          <w:sz w:val="18"/>
          <w:szCs w:val="18"/>
          <w:color w:val="auto"/>
        </w:rPr>
        <w:t>OPTIONEE:</w:t>
      </w:r>
      <w:r>
        <w:rPr>
          <w:sz w:val="20"/>
          <w:szCs w:val="20"/>
          <w:color w:val="auto"/>
        </w:rPr>
        <w:tab/>
      </w:r>
      <w:r>
        <w:rPr>
          <w:rFonts w:ascii="Times New Roman" w:cs="Times New Roman" w:eastAsia="Times New Roman" w:hAnsi="Times New Roman"/>
          <w:sz w:val="18"/>
          <w:szCs w:val="18"/>
          <w:color w:val="auto"/>
        </w:rPr>
        <w:t>GREEN THUMB INDUSTRIES INC.</w:t>
      </w:r>
    </w:p>
    <w:p>
      <w:pPr>
        <w:spacing w:after="0" w:line="2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By:</w:t>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GREEN THUMB INDUSTRIES INC. 2018 STOCK AND</w:t>
      </w:r>
    </w:p>
    <w:p>
      <w:pPr>
        <w:spacing w:after="0" w:line="2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INCENTIVE PLAN STOCK OPTION AGREEMENT</w:t>
      </w:r>
    </w:p>
    <w:p>
      <w:pPr>
        <w:spacing w:after="0" w:line="3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212" w:lineRule="exact"/>
        <w:rPr>
          <w:sz w:val="20"/>
          <w:szCs w:val="20"/>
          <w:color w:val="auto"/>
        </w:rPr>
      </w:pPr>
    </w:p>
    <w:p>
      <w:pPr>
        <w:ind w:left="100" w:right="560" w:firstLine="741"/>
        <w:spacing w:after="0" w:line="260" w:lineRule="auto"/>
        <w:tabs>
          <w:tab w:leader="none" w:pos="157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and this Agreement, the Company grants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Optionee on the Date of Grant the option to purchase at the Exercise Price the number of Shares set forth in the Notice of Stock Option Grant. This option is intended to be a Non-Qualified Stock Option (NSO), as provided in the Notice of Stock Option Grant.</w:t>
      </w:r>
    </w:p>
    <w:p>
      <w:pPr>
        <w:spacing w:after="0" w:line="164" w:lineRule="exact"/>
        <w:rPr>
          <w:rFonts w:ascii="Times New Roman" w:cs="Times New Roman" w:eastAsia="Times New Roman" w:hAnsi="Times New Roman"/>
          <w:sz w:val="18"/>
          <w:szCs w:val="18"/>
          <w:color w:val="auto"/>
        </w:rPr>
      </w:pPr>
    </w:p>
    <w:p>
      <w:pPr>
        <w:ind w:left="100" w:right="260" w:firstLine="741"/>
        <w:spacing w:after="0" w:line="260" w:lineRule="auto"/>
        <w:tabs>
          <w:tab w:leader="none" w:pos="158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2018 Stock and Incentive Plan, as amended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 of which the Optionee acknowledges having received. The provisions of the Plan are incorporated into this Agreement by this reference. Capitalized terms are defined in Section 9 of this Agreement, unless otherwise defined elsewhere herein or in Section 2 of the Plan.</w:t>
      </w:r>
    </w:p>
    <w:p>
      <w:pPr>
        <w:spacing w:after="0" w:line="1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2. RIGHT TO EXERCISE.</w:t>
      </w:r>
    </w:p>
    <w:p>
      <w:pPr>
        <w:spacing w:after="0" w:line="198" w:lineRule="exact"/>
        <w:rPr>
          <w:sz w:val="20"/>
          <w:szCs w:val="20"/>
          <w:color w:val="auto"/>
        </w:rPr>
      </w:pPr>
    </w:p>
    <w:p>
      <w:pPr>
        <w:ind w:left="100" w:right="640" w:firstLine="741"/>
        <w:spacing w:after="0" w:line="286" w:lineRule="auto"/>
        <w:tabs>
          <w:tab w:leader="none" w:pos="157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General</w:t>
      </w:r>
      <w:r>
        <w:rPr>
          <w:rFonts w:ascii="Times New Roman" w:cs="Times New Roman" w:eastAsia="Times New Roman" w:hAnsi="Times New Roman"/>
          <w:sz w:val="18"/>
          <w:szCs w:val="18"/>
          <w:color w:val="auto"/>
        </w:rPr>
        <w:t>. Except as set forth below and subject to any other conditions of this Agreement, all or part of this option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prior to its expiration at the time or times set forth in the Notice of Stock Option Grant.</w:t>
      </w:r>
    </w:p>
    <w:p>
      <w:pPr>
        <w:spacing w:after="0" w:line="141" w:lineRule="exact"/>
        <w:rPr>
          <w:rFonts w:ascii="Times New Roman" w:cs="Times New Roman" w:eastAsia="Times New Roman" w:hAnsi="Times New Roman"/>
          <w:sz w:val="18"/>
          <w:szCs w:val="18"/>
          <w:color w:val="auto"/>
        </w:rPr>
      </w:pPr>
    </w:p>
    <w:p>
      <w:pPr>
        <w:ind w:left="100" w:right="340" w:firstLine="741"/>
        <w:spacing w:after="0" w:line="252" w:lineRule="auto"/>
        <w:tabs>
          <w:tab w:leader="none" w:pos="15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If within 12 months following a Change in Control, the Company terminates the Optionee’s service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reasons other than for Cause, then the option shall become immediately exercisable in full on the date of such termination, and the Optionee may exercise all or part of this option at any time before its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179070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SECTION 3. NO TRANSFER OR ASSIGNMENT OF OPTION.</w:t>
      </w:r>
    </w:p>
    <w:p>
      <w:pPr>
        <w:spacing w:after="0" w:line="216" w:lineRule="exact"/>
        <w:rPr>
          <w:sz w:val="20"/>
          <w:szCs w:val="20"/>
          <w:color w:val="auto"/>
        </w:rPr>
      </w:pPr>
    </w:p>
    <w:p>
      <w:pPr>
        <w:ind w:left="120" w:right="140" w:firstLine="749"/>
        <w:spacing w:after="0" w:line="296" w:lineRule="auto"/>
        <w:rPr>
          <w:sz w:val="20"/>
          <w:szCs w:val="20"/>
          <w:color w:val="auto"/>
        </w:rPr>
      </w:pPr>
      <w:r>
        <w:rPr>
          <w:rFonts w:ascii="Times New Roman" w:cs="Times New Roman" w:eastAsia="Times New Roman" w:hAnsi="Times New Roman"/>
          <w:sz w:val="17"/>
          <w:szCs w:val="17"/>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EXERCISE PROCEDURES.</w:t>
      </w:r>
    </w:p>
    <w:p>
      <w:pPr>
        <w:spacing w:after="0" w:line="212" w:lineRule="exact"/>
        <w:rPr>
          <w:sz w:val="20"/>
          <w:szCs w:val="20"/>
          <w:color w:val="auto"/>
        </w:rPr>
      </w:pPr>
    </w:p>
    <w:p>
      <w:pPr>
        <w:ind w:left="120" w:right="160" w:firstLine="741"/>
        <w:spacing w:after="0" w:line="262" w:lineRule="auto"/>
        <w:tabs>
          <w:tab w:leader="none" w:pos="1603"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 of Exercise</w:t>
      </w:r>
      <w:r>
        <w:rPr>
          <w:rFonts w:ascii="Times New Roman" w:cs="Times New Roman" w:eastAsia="Times New Roman" w:hAnsi="Times New Roman"/>
          <w:sz w:val="17"/>
          <w:szCs w:val="17"/>
          <w:color w:val="auto"/>
        </w:rPr>
        <w:t>. The Optionee or the Optionee’s representative may exercise this option by giving written notice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which notice may be electronic and/or delivered through the Company’s share plan portal. The notice shall specify the election to exercise this option, the number of Shares for which it is being exercised and the form of payment. The notice shall be signed by the person exercising this option.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of this Agreement for the full amount of the Purchase Price.</w:t>
      </w:r>
    </w:p>
    <w:p>
      <w:pPr>
        <w:spacing w:after="0" w:line="164" w:lineRule="exact"/>
        <w:rPr>
          <w:rFonts w:ascii="Times New Roman" w:cs="Times New Roman" w:eastAsia="Times New Roman" w:hAnsi="Times New Roman"/>
          <w:sz w:val="17"/>
          <w:szCs w:val="17"/>
          <w:color w:val="auto"/>
        </w:rPr>
      </w:pPr>
    </w:p>
    <w:p>
      <w:pPr>
        <w:ind w:left="120" w:right="20" w:firstLine="741"/>
        <w:spacing w:after="0" w:line="243" w:lineRule="auto"/>
        <w:tabs>
          <w:tab w:leader="none" w:pos="16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Shares</w:t>
      </w:r>
      <w:r>
        <w:rPr>
          <w:rFonts w:ascii="Times New Roman" w:cs="Times New Roman" w:eastAsia="Times New Roman" w:hAnsi="Times New Roman"/>
          <w:sz w:val="18"/>
          <w:szCs w:val="18"/>
          <w:color w:val="auto"/>
        </w:rPr>
        <w:t>. After receiving a proper notice of exercise, the Company shall cause to be issued Shares (either in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book entry form, as determined by the Company) as to which this option has been exercised, registered in the name of the person exercising this option (or in the names of such person and his or her spouse as community property or as joint tenants with right of survivorship). If the Optionee is a resident of the United States, the Optionee acknowledges that any securities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issued hereunder may be “restricted securities”, as such term is defined under Rule 144 under the Securities Act of 1933, as amended, (the “</w:t>
      </w:r>
      <w:r>
        <w:rPr>
          <w:rFonts w:ascii="Times New Roman" w:cs="Times New Roman" w:eastAsia="Times New Roman" w:hAnsi="Times New Roman"/>
          <w:sz w:val="18"/>
          <w:szCs w:val="18"/>
          <w:i w:val="1"/>
          <w:iCs w:val="1"/>
          <w:color w:val="auto"/>
        </w:rPr>
        <w:t>U.S. Securities Act</w:t>
      </w:r>
      <w:r>
        <w:rPr>
          <w:rFonts w:ascii="Times New Roman" w:cs="Times New Roman" w:eastAsia="Times New Roman" w:hAnsi="Times New Roman"/>
          <w:sz w:val="18"/>
          <w:szCs w:val="18"/>
          <w:color w:val="auto"/>
        </w:rPr>
        <w:t>”) and the Optionee agrees that if it decides to offer, sell or otherwise transfer, pledge or hypothecate all or any part of the Securities, it will not offer, sell or otherwise transfer, pledge or hypothecate any or any part of the Securities other than pursuant to an effective registration statement under the U.S. Securities Act or pursuant to an exception to any applicable restrictions imposed thereby, directly or indirectly. Participant further, acknowledges that, if the Securities are not registered pursuant to a valid registration statement, a legend to the foregoing effect will be affixed to any certificates representing the Securities.</w:t>
      </w:r>
    </w:p>
    <w:p>
      <w:pPr>
        <w:spacing w:after="0" w:line="179" w:lineRule="exact"/>
        <w:rPr>
          <w:rFonts w:ascii="Times New Roman" w:cs="Times New Roman" w:eastAsia="Times New Roman" w:hAnsi="Times New Roman"/>
          <w:sz w:val="18"/>
          <w:szCs w:val="18"/>
          <w:color w:val="auto"/>
        </w:rPr>
      </w:pPr>
    </w:p>
    <w:p>
      <w:pPr>
        <w:ind w:left="120" w:firstLine="741"/>
        <w:spacing w:after="0" w:line="241" w:lineRule="auto"/>
        <w:tabs>
          <w:tab w:leader="none" w:pos="16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Optionee hereby agrees to make adequate provision for any sums required to satisfy the applicable federal, state,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foreign employment, social insurance, payroll, income or other tax withholding obligations (the “</w:t>
      </w:r>
      <w:r>
        <w:rPr>
          <w:rFonts w:ascii="Times New Roman" w:cs="Times New Roman" w:eastAsia="Times New Roman" w:hAnsi="Times New Roman"/>
          <w:sz w:val="18"/>
          <w:szCs w:val="18"/>
          <w:i w:val="1"/>
          <w:iCs w:val="1"/>
          <w:color w:val="auto"/>
        </w:rPr>
        <w:t>Withholding Obligations</w:t>
      </w:r>
      <w:r>
        <w:rPr>
          <w:rFonts w:ascii="Times New Roman" w:cs="Times New Roman" w:eastAsia="Times New Roman" w:hAnsi="Times New Roman"/>
          <w:sz w:val="18"/>
          <w:szCs w:val="18"/>
          <w:color w:val="auto"/>
        </w:rPr>
        <w:t>”) that arise in connection with this Agreement, the option, the exercise of the option or any portion thereof and the sale of any Securities acquired pursuant to the exercise of the option or any portion thereof. The Company may establish procedures to ensure satisfaction of all applicable Withholding Obligations arising in connection with this Agreement, including any means permitted in Section 8 of the Plan. The Optionee hereby authorizes the Company, at its sole discretion and subject to any limitations under applicable law, to satisfy any such Tax Obligations by (1) withholding a portion of the Securities otherwise to be issued pursuant to the exercise of the option (or any portion thereof) having a value equal to the amount of Withholding Obligation in accordance with such rules as the Company may from time to time establish; (2) withholding from the wages and other cash compensation payable to the Optionee or by causing the Optionee to tender a cash payment or other Securities to the Company; or (3) selling on the Optionee’s behalf (using any brokerage firm determined acceptable to the Company for such purpose) a portion of the Securities issued in connection with the exercise of the option (or any portion thereof) as the Company determines to be appropriate to generate cash proceeds sufficient to satisfy the Withholding Obligations. The Optionee shall be responsible for all brokerage fees and other costs of sale, and the Optionee further agrees to indemnify and hold the Company harmless from any losses, costs, damages or expenses relating to any such sale. The Company may refuse to deliver Securities if the Optionee fails to comply with the Optionee’s obligations in connection with the Withholding Obligations described in this paragraph. The Optionee agrees to pay to the Company or its applicable Affiliate, any amount of Withholding Obligations that the Company or its applicable Affiliate may be required to withhold or account for as a result of Optionee’s participation in the Plan that cannot be satisfied by the means described in this Agreement. The Company may refuse to issue or deliver the Shares, cash or the proceeds of the sale of Shares, if the Optionee fails to comply with the Optionee’s obligations in connection with the Withholding Obligations.</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Updated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752" w:right="5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SECTION 5. PAYMENT FOR STOCK.</w:t>
      </w:r>
    </w:p>
    <w:p>
      <w:pPr>
        <w:spacing w:after="0" w:line="212" w:lineRule="exact"/>
        <w:rPr>
          <w:sz w:val="20"/>
          <w:szCs w:val="20"/>
          <w:color w:val="auto"/>
        </w:rPr>
      </w:pPr>
    </w:p>
    <w:p>
      <w:pPr>
        <w:ind w:left="120" w:right="580" w:firstLine="741"/>
        <w:spacing w:after="0" w:line="271" w:lineRule="auto"/>
        <w:tabs>
          <w:tab w:leader="none" w:pos="160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All or part of the Purchase Price may be paid in cash or cash equivalents, as permitted by the Company’s share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procedures.</w:t>
      </w:r>
    </w:p>
    <w:p>
      <w:pPr>
        <w:spacing w:after="0" w:line="153" w:lineRule="exact"/>
        <w:rPr>
          <w:rFonts w:ascii="Times New Roman" w:cs="Times New Roman" w:eastAsia="Times New Roman" w:hAnsi="Times New Roman"/>
          <w:sz w:val="18"/>
          <w:szCs w:val="18"/>
          <w:color w:val="auto"/>
        </w:rPr>
      </w:pPr>
    </w:p>
    <w:p>
      <w:pPr>
        <w:ind w:left="120" w:firstLine="741"/>
        <w:spacing w:after="0" w:line="247" w:lineRule="auto"/>
        <w:tabs>
          <w:tab w:leader="none" w:pos="160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Surrender of Stock</w:t>
      </w:r>
      <w:r>
        <w:rPr>
          <w:rFonts w:ascii="Times New Roman" w:cs="Times New Roman" w:eastAsia="Times New Roman" w:hAnsi="Times New Roman"/>
          <w:sz w:val="18"/>
          <w:szCs w:val="18"/>
          <w:color w:val="auto"/>
        </w:rPr>
        <w:t>. Subject to applicable corporate and securities laws, and stock exchange requirements, all or any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may be paid by surrendering, or attesting to the ownership of, Shares that are already owned by the Optionee. Such Shares shall be surrendered to the Company in good form for cancellation and shall be valued at their Fair Market Value on the date when this option is exercised. The Optionee shall not surrender, or attest to the ownership of, Shares in payment of the Purchase Price if such action would cause the Company to recognize compensation expense (or additional compensation expense) with respect to this option for financial reporting purposes.</w:t>
      </w:r>
    </w:p>
    <w:p>
      <w:pPr>
        <w:spacing w:after="0" w:line="176" w:lineRule="exact"/>
        <w:rPr>
          <w:rFonts w:ascii="Times New Roman" w:cs="Times New Roman" w:eastAsia="Times New Roman" w:hAnsi="Times New Roman"/>
          <w:sz w:val="18"/>
          <w:szCs w:val="18"/>
          <w:color w:val="auto"/>
        </w:rPr>
      </w:pPr>
    </w:p>
    <w:p>
      <w:pPr>
        <w:ind w:left="120" w:right="440" w:firstLine="741"/>
        <w:spacing w:after="0" w:line="252" w:lineRule="auto"/>
        <w:tabs>
          <w:tab w:leader="none" w:pos="160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Exercise/Sale</w:t>
      </w:r>
      <w:r>
        <w:rPr>
          <w:rFonts w:ascii="Times New Roman" w:cs="Times New Roman" w:eastAsia="Times New Roman" w:hAnsi="Times New Roman"/>
          <w:sz w:val="18"/>
          <w:szCs w:val="18"/>
          <w:color w:val="auto"/>
        </w:rPr>
        <w:t>. If Shares are publicly traded, all or part of the Purchase Price and any withholding taxes may be paid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(on a form prescribed by the Company) of an irrevocable direction to a securities broker approved by the Company to sell Shares and to deliver all or part of the sales proceeds to the Company.</w:t>
      </w:r>
    </w:p>
    <w:p>
      <w:pPr>
        <w:spacing w:after="0" w:line="171" w:lineRule="exact"/>
        <w:rPr>
          <w:rFonts w:ascii="Times New Roman" w:cs="Times New Roman" w:eastAsia="Times New Roman" w:hAnsi="Times New Roman"/>
          <w:sz w:val="18"/>
          <w:szCs w:val="18"/>
          <w:color w:val="auto"/>
        </w:rPr>
      </w:pPr>
    </w:p>
    <w:p>
      <w:pPr>
        <w:jc w:val="both"/>
        <w:ind w:left="120" w:right="200" w:firstLine="741"/>
        <w:spacing w:after="0" w:line="252" w:lineRule="auto"/>
        <w:tabs>
          <w:tab w:leader="none" w:pos="160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Exercise</w:t>
      </w:r>
      <w:r>
        <w:rPr>
          <w:rFonts w:ascii="Times New Roman" w:cs="Times New Roman" w:eastAsia="Times New Roman" w:hAnsi="Times New Roman"/>
          <w:sz w:val="18"/>
          <w:szCs w:val="18"/>
          <w:color w:val="auto"/>
        </w:rPr>
        <w:t>. The Company may, in its discretion, permit an Option to be exercised by delivering to the Optionee a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having an aggregate Fair Market Value (determined as of the date of exercise) equal to the excess, if positive, of the Fair Market Value of the Shares underlying the Option being exercised on the date of exercise, over the Purchase Price of the Option for such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TERM AND EXPIRATION.</w:t>
      </w:r>
    </w:p>
    <w:p>
      <w:pPr>
        <w:spacing w:after="0" w:line="212" w:lineRule="exact"/>
        <w:rPr>
          <w:sz w:val="20"/>
          <w:szCs w:val="20"/>
          <w:color w:val="auto"/>
        </w:rPr>
      </w:pPr>
    </w:p>
    <w:p>
      <w:pPr>
        <w:ind w:left="120" w:right="60" w:firstLine="741"/>
        <w:spacing w:after="0" w:line="252" w:lineRule="auto"/>
        <w:tabs>
          <w:tab w:leader="none" w:pos="160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exceed seven years after the Date of Grant (five years after the Date of Grant if this option is designated as an ISO in the Notice of Stock Option Grant, and the Optionee is a 10% owner as described in Section 6 of the Plan).</w:t>
      </w:r>
    </w:p>
    <w:p>
      <w:pPr>
        <w:spacing w:after="0" w:line="171" w:lineRule="exact"/>
        <w:rPr>
          <w:rFonts w:ascii="Times New Roman" w:cs="Times New Roman" w:eastAsia="Times New Roman" w:hAnsi="Times New Roman"/>
          <w:sz w:val="18"/>
          <w:szCs w:val="18"/>
          <w:color w:val="auto"/>
        </w:rPr>
      </w:pPr>
    </w:p>
    <w:p>
      <w:pPr>
        <w:ind w:left="120" w:right="160" w:firstLine="741"/>
        <w:spacing w:after="0" w:line="271" w:lineRule="auto"/>
        <w:tabs>
          <w:tab w:leader="none" w:pos="15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prior to the expirary date of Optionee’s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if applicable, for any reason other than death, then this option shall expire on the earliest of the following occasions:</w:t>
      </w:r>
    </w:p>
    <w:p>
      <w:pPr>
        <w:spacing w:after="0" w:line="157" w:lineRule="exact"/>
        <w:rPr>
          <w:rFonts w:ascii="Times New Roman" w:cs="Times New Roman" w:eastAsia="Times New Roman" w:hAnsi="Times New Roman"/>
          <w:sz w:val="18"/>
          <w:szCs w:val="18"/>
          <w:color w:val="auto"/>
        </w:rPr>
      </w:pPr>
    </w:p>
    <w:p>
      <w:pPr>
        <w:ind w:left="2360" w:hanging="752"/>
        <w:spacing w:after="0"/>
        <w:tabs>
          <w:tab w:leader="none" w:pos="23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(a) above;</w:t>
      </w:r>
    </w:p>
    <w:p>
      <w:pPr>
        <w:spacing w:after="0" w:line="211" w:lineRule="exact"/>
        <w:rPr>
          <w:rFonts w:ascii="Times New Roman" w:cs="Times New Roman" w:eastAsia="Times New Roman" w:hAnsi="Times New Roman"/>
          <w:sz w:val="18"/>
          <w:szCs w:val="18"/>
          <w:color w:val="auto"/>
        </w:rPr>
      </w:pPr>
    </w:p>
    <w:p>
      <w:pPr>
        <w:ind w:left="2340" w:hanging="730"/>
        <w:spacing w:after="0"/>
        <w:tabs>
          <w:tab w:leader="none" w:pos="23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three months after the termination of the Optionee’s service for any reason other than Cause; or</w:t>
      </w:r>
    </w:p>
    <w:p>
      <w:pPr>
        <w:spacing w:after="0" w:line="211" w:lineRule="exact"/>
        <w:rPr>
          <w:rFonts w:ascii="Times New Roman" w:cs="Times New Roman" w:eastAsia="Times New Roman" w:hAnsi="Times New Roman"/>
          <w:sz w:val="18"/>
          <w:szCs w:val="18"/>
          <w:color w:val="auto"/>
        </w:rPr>
      </w:pPr>
    </w:p>
    <w:p>
      <w:pPr>
        <w:ind w:left="2360" w:hanging="752"/>
        <w:spacing w:after="0"/>
        <w:tabs>
          <w:tab w:leader="none" w:pos="23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termination of the Optionee’s service for Cause.</w:t>
      </w:r>
    </w:p>
    <w:p>
      <w:pPr>
        <w:spacing w:after="0" w:line="198" w:lineRule="exact"/>
        <w:rPr>
          <w:sz w:val="20"/>
          <w:szCs w:val="20"/>
          <w:color w:val="auto"/>
        </w:rPr>
      </w:pPr>
    </w:p>
    <w:p>
      <w:pPr>
        <w:jc w:val="both"/>
        <w:ind w:right="60" w:firstLine="749"/>
        <w:spacing w:after="0" w:line="247"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is then vested and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death. For avoidance of doubt, if the Optionee is employed by an Affiliate that is sold or otherwise ceases to be an Affiliate of the Company, the Optionee shall incur a termination of service.</w:t>
      </w:r>
    </w:p>
    <w:p>
      <w:pPr>
        <w:spacing w:after="0" w:line="176" w:lineRule="exact"/>
        <w:rPr>
          <w:sz w:val="20"/>
          <w:szCs w:val="20"/>
          <w:color w:val="auto"/>
        </w:rPr>
      </w:pPr>
    </w:p>
    <w:p>
      <w:pPr>
        <w:ind w:left="120" w:right="60" w:firstLine="741"/>
        <w:spacing w:after="0" w:line="271" w:lineRule="auto"/>
        <w:tabs>
          <w:tab w:leader="none" w:pos="159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Death of the Optionee</w:t>
      </w:r>
      <w:r>
        <w:rPr>
          <w:rFonts w:ascii="Times New Roman" w:cs="Times New Roman" w:eastAsia="Times New Roman" w:hAnsi="Times New Roman"/>
          <w:sz w:val="18"/>
          <w:szCs w:val="18"/>
          <w:color w:val="auto"/>
        </w:rPr>
        <w:t>. If the Optionee dies while in service, then any unvested portions of the option shall immediately vest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exercisable in full upon the date of death, and this option shall expire on the earlier of the following dates:</w:t>
      </w:r>
    </w:p>
    <w:p>
      <w:pPr>
        <w:spacing w:after="0" w:line="157" w:lineRule="exact"/>
        <w:rPr>
          <w:rFonts w:ascii="Times New Roman" w:cs="Times New Roman" w:eastAsia="Times New Roman" w:hAnsi="Times New Roman"/>
          <w:sz w:val="18"/>
          <w:szCs w:val="18"/>
          <w:color w:val="auto"/>
        </w:rPr>
      </w:pPr>
    </w:p>
    <w:p>
      <w:pPr>
        <w:ind w:left="2360" w:hanging="752"/>
        <w:spacing w:after="0"/>
        <w:tabs>
          <w:tab w:leader="none" w:pos="23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(a) above; or</w:t>
      </w:r>
    </w:p>
    <w:p>
      <w:pPr>
        <w:spacing w:after="0" w:line="198" w:lineRule="exact"/>
        <w:rPr>
          <w:rFonts w:ascii="Times New Roman" w:cs="Times New Roman" w:eastAsia="Times New Roman" w:hAnsi="Times New Roman"/>
          <w:sz w:val="18"/>
          <w:szCs w:val="18"/>
          <w:color w:val="auto"/>
        </w:rPr>
      </w:pPr>
    </w:p>
    <w:p>
      <w:pPr>
        <w:ind w:left="2360" w:hanging="752"/>
        <w:spacing w:after="0"/>
        <w:tabs>
          <w:tab w:leader="none" w:pos="23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12 months after the Optionee’s death.</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or part of this option may be exercised at any time before its expiration under the preceding sentence 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Updated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549" w:right="599" w:bottom="1440" w:gutter="0" w:footer="0" w:header="0"/>
        </w:sectPr>
      </w:pPr>
    </w:p>
    <w:bookmarkStart w:id="46" w:name="page47"/>
    <w:bookmarkEnd w:id="46"/>
    <w:p>
      <w:pPr>
        <w:ind w:right="660"/>
        <w:spacing w:after="0" w:line="266" w:lineRule="auto"/>
        <w:rPr>
          <w:sz w:val="20"/>
          <w:szCs w:val="20"/>
          <w:color w:val="auto"/>
        </w:rPr>
      </w:pPr>
      <w:r>
        <w:rPr>
          <w:rFonts w:ascii="Times New Roman" w:cs="Times New Roman" w:eastAsia="Times New Roman" w:hAnsi="Times New Roman"/>
          <w:sz w:val="18"/>
          <w:szCs w:val="18"/>
          <w:color w:val="auto"/>
        </w:rPr>
        <w:t>the executors or administrators of the Optionee’s estate or by any person who has acquired this option directly from the Optionee by beneficiary designation, bequest or inheritance, but only to the extent that this option had become exercisable before the Optionee’s death.</w:t>
      </w:r>
    </w:p>
    <w:p>
      <w:pPr>
        <w:spacing w:after="0" w:line="158" w:lineRule="exact"/>
        <w:rPr>
          <w:sz w:val="20"/>
          <w:szCs w:val="20"/>
          <w:color w:val="auto"/>
        </w:rPr>
      </w:pPr>
    </w:p>
    <w:p>
      <w:pPr>
        <w:ind w:left="120" w:right="200" w:firstLine="741"/>
        <w:spacing w:after="0" w:line="260" w:lineRule="auto"/>
        <w:tabs>
          <w:tab w:leader="none" w:pos="160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Leaves of Absence</w:t>
      </w:r>
      <w:r>
        <w:rPr>
          <w:rFonts w:ascii="Times New Roman" w:cs="Times New Roman" w:eastAsia="Times New Roman" w:hAnsi="Times New Roman"/>
          <w:sz w:val="18"/>
          <w:szCs w:val="18"/>
          <w:color w:val="auto"/>
        </w:rPr>
        <w:t>. For any purpose under this Agreement, service shall be deemed to continue while the Optionee is on a bona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fide leave of absence, if such leave was approved by the Company in writing and if continued crediting of service for such purpose is expressly required by the terms of such leave or by applicable law (as determined by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ADJUSTMENT OF SHARES.</w:t>
      </w:r>
    </w:p>
    <w:p>
      <w:pPr>
        <w:spacing w:after="0" w:line="216"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In the event of any transaction described in Section 4(c) of the Plan, the terms of this option (including, without limitation, the number and kind of Shares subject to this option and the Exercise Price) shall be adjusted as set forth in Section 4(c) of the Plan. In the event that the Company is a party to any corporate transaction, this option shall be subject to amendment as provided in Section 7(b) of the Plan.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MISCELLANEOUS PROVISIONS.</w:t>
      </w:r>
    </w:p>
    <w:p>
      <w:pPr>
        <w:spacing w:after="0" w:line="212" w:lineRule="exact"/>
        <w:rPr>
          <w:sz w:val="20"/>
          <w:szCs w:val="20"/>
          <w:color w:val="auto"/>
        </w:rPr>
      </w:pPr>
    </w:p>
    <w:p>
      <w:pPr>
        <w:jc w:val="both"/>
        <w:ind w:left="120" w:right="480" w:firstLine="741"/>
        <w:spacing w:after="0" w:line="252" w:lineRule="auto"/>
        <w:tabs>
          <w:tab w:leader="none" w:pos="15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a Shareholder</w:t>
      </w:r>
      <w:r>
        <w:rPr>
          <w:rFonts w:ascii="Times New Roman" w:cs="Times New Roman" w:eastAsia="Times New Roman" w:hAnsi="Times New Roman"/>
          <w:sz w:val="18"/>
          <w:szCs w:val="18"/>
          <w:color w:val="auto"/>
        </w:rPr>
        <w:t>. Neither the Optionee nor the Optionee’s representative shall have any rights as a shareholder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Shares subject to this option until the Optionee or the Optionee’s representative becomes entitled to receive such Shares by filing a notice of exercise and paying the Purchase Price pursuant to Sections 4 and 5 of this Agreement.</w:t>
      </w:r>
    </w:p>
    <w:p>
      <w:pPr>
        <w:spacing w:after="0" w:line="171" w:lineRule="exact"/>
        <w:rPr>
          <w:rFonts w:ascii="Times New Roman" w:cs="Times New Roman" w:eastAsia="Times New Roman" w:hAnsi="Times New Roman"/>
          <w:sz w:val="18"/>
          <w:szCs w:val="18"/>
          <w:color w:val="auto"/>
        </w:rPr>
      </w:pPr>
    </w:p>
    <w:p>
      <w:pPr>
        <w:ind w:left="120" w:right="60" w:firstLine="741"/>
        <w:spacing w:after="0" w:line="252" w:lineRule="auto"/>
        <w:tabs>
          <w:tab w:leader="none" w:pos="160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Matters</w:t>
      </w:r>
      <w:r>
        <w:rPr>
          <w:rFonts w:ascii="Times New Roman" w:cs="Times New Roman" w:eastAsia="Times New Roman" w:hAnsi="Times New Roman"/>
          <w:sz w:val="18"/>
          <w:szCs w:val="18"/>
          <w:color w:val="auto"/>
        </w:rPr>
        <w:t>. The Company may require from the Optionee such investment representation, undertaking or agreement,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as the Company may consider necessary in order to comply with applicable laws and policies of any applicable exchange. The Optionee understands and acknowledges that Shares to be issued upon exercise of this option may be issued subject to any restrictive legend or other transfer restrictions as may be required by applicable securities laws and stock exchange requirements.</w:t>
      </w:r>
    </w:p>
    <w:p>
      <w:pPr>
        <w:spacing w:after="0" w:line="170" w:lineRule="exact"/>
        <w:rPr>
          <w:rFonts w:ascii="Times New Roman" w:cs="Times New Roman" w:eastAsia="Times New Roman" w:hAnsi="Times New Roman"/>
          <w:sz w:val="18"/>
          <w:szCs w:val="18"/>
          <w:color w:val="auto"/>
        </w:rPr>
      </w:pPr>
    </w:p>
    <w:p>
      <w:pPr>
        <w:ind w:left="1580" w:hanging="719"/>
        <w:spacing w:after="0"/>
        <w:tabs>
          <w:tab w:leader="none" w:pos="1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w:t>
      </w:r>
    </w:p>
    <w:p>
      <w:pPr>
        <w:spacing w:after="0" w:line="20" w:lineRule="exact"/>
        <w:rPr>
          <w:sz w:val="20"/>
          <w:szCs w:val="20"/>
          <w:color w:val="auto"/>
        </w:rPr>
      </w:pPr>
    </w:p>
    <w:p>
      <w:pPr>
        <w:jc w:val="both"/>
        <w:ind w:left="120" w:right="320"/>
        <w:spacing w:after="0" w:line="246" w:lineRule="auto"/>
        <w:rPr>
          <w:sz w:val="20"/>
          <w:szCs w:val="20"/>
          <w:color w:val="auto"/>
        </w:rPr>
      </w:pPr>
      <w:r>
        <w:rPr>
          <w:rFonts w:ascii="Times New Roman" w:cs="Times New Roman" w:eastAsia="Times New Roman" w:hAnsi="Times New Roman"/>
          <w:sz w:val="18"/>
          <w:szCs w:val="18"/>
          <w:color w:val="auto"/>
        </w:rPr>
        <w:t>any period of specific duration or interfere with or otherwise restrict in any way the rights of the Company (or any Affiliate employing or retaining the Optionee) or of the Optionee, which rights are hereby expressly reserved by each, to terminate his or her service at any time and for any reason, with or without Cause.</w:t>
      </w:r>
    </w:p>
    <w:p>
      <w:pPr>
        <w:spacing w:after="0" w:line="163" w:lineRule="exact"/>
        <w:rPr>
          <w:sz w:val="20"/>
          <w:szCs w:val="20"/>
          <w:color w:val="auto"/>
        </w:rPr>
      </w:pPr>
    </w:p>
    <w:p>
      <w:pPr>
        <w:ind w:left="120" w:right="40" w:firstLine="741"/>
        <w:spacing w:after="0" w:line="247" w:lineRule="auto"/>
        <w:tabs>
          <w:tab w:leader="none" w:pos="16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required by the terms of this Agreement shall be given in writing and notice to the Company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upon receipt by the Company (i) upon personal delivery, (ii) through registered or certified mail with postage and fees prepaid; or (iii) through electronic notification using a form and process approved by the Company. If mailed or delivered, notice to the Company shall be addressed to the Company at its principal executive office and notice to the Optionee shall be addressed to the address that he or she most recently provided to the Company.</w:t>
      </w:r>
    </w:p>
    <w:p>
      <w:pPr>
        <w:spacing w:after="0" w:line="176" w:lineRule="exact"/>
        <w:rPr>
          <w:rFonts w:ascii="Times New Roman" w:cs="Times New Roman" w:eastAsia="Times New Roman" w:hAnsi="Times New Roman"/>
          <w:sz w:val="18"/>
          <w:szCs w:val="18"/>
          <w:color w:val="auto"/>
        </w:rPr>
      </w:pPr>
    </w:p>
    <w:p>
      <w:pPr>
        <w:ind w:left="120" w:firstLine="741"/>
        <w:spacing w:after="0" w:line="260" w:lineRule="auto"/>
        <w:tabs>
          <w:tab w:leader="none" w:pos="16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with regard to the subject matter hereof. They supersede any other agreements, representations or understandings (whether oral or written and whether express or implied) which relate to the subject matter hereof.</w:t>
      </w:r>
    </w:p>
    <w:p>
      <w:pPr>
        <w:spacing w:after="0" w:line="150" w:lineRule="exact"/>
        <w:rPr>
          <w:rFonts w:ascii="Times New Roman" w:cs="Times New Roman" w:eastAsia="Times New Roman" w:hAnsi="Times New Roman"/>
          <w:sz w:val="18"/>
          <w:szCs w:val="18"/>
          <w:color w:val="auto"/>
        </w:rPr>
      </w:pPr>
    </w:p>
    <w:p>
      <w:pPr>
        <w:ind w:left="1560" w:hanging="699"/>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such laws are applied to contracts entered into and performed in such State.</w:t>
      </w:r>
    </w:p>
    <w:p>
      <w:pPr>
        <w:spacing w:after="0" w:line="176" w:lineRule="exact"/>
        <w:rPr>
          <w:sz w:val="20"/>
          <w:szCs w:val="20"/>
          <w:color w:val="auto"/>
        </w:rPr>
      </w:pPr>
    </w:p>
    <w:p>
      <w:pPr>
        <w:ind w:left="120" w:right="700" w:firstLine="741"/>
        <w:spacing w:after="0" w:line="251" w:lineRule="auto"/>
        <w:tabs>
          <w:tab w:leader="none" w:pos="15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 Market Abuse Laws</w:t>
      </w:r>
      <w:r>
        <w:rPr>
          <w:rFonts w:ascii="Times New Roman" w:cs="Times New Roman" w:eastAsia="Times New Roman" w:hAnsi="Times New Roman"/>
          <w:sz w:val="18"/>
          <w:szCs w:val="18"/>
          <w:color w:val="auto"/>
        </w:rPr>
        <w:t>. By participating in the Plan, the Optionee agrees to comply with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on insider trading as in effect at any given time. The Optionee further acknowledges that the Optionee may be subject to local insider trading and/or market abuse laws and regulations that are separate from and in addition to any restrictions that may be imposed under any applicable Company insider trading policy. The Optionee acknowledges that it is the Optionee’s personal responsibility to comply with any applicable restrictions, and that the Optionee should consult the Optionee’s personal advisor on this matter.</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Updated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53" w:right="539" w:bottom="1440" w:gutter="0" w:footer="0" w:header="0"/>
        </w:sectPr>
      </w:pPr>
    </w:p>
    <w:bookmarkStart w:id="47" w:name="page48"/>
    <w:bookmarkEnd w:id="47"/>
    <w:p>
      <w:pPr>
        <w:ind w:left="120" w:right="280" w:firstLine="741"/>
        <w:spacing w:after="0" w:line="248" w:lineRule="auto"/>
        <w:tabs>
          <w:tab w:leader="none" w:pos="15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The Company may, in its sole discretion, deliver by electronic means any documents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or the Optionee’s future participation in the Plan. The Optionee hereby consents to receive such documents by electronic delivery and agrees to participate in the Plan through an on-line or electronic system established and maintained by the Company or a third party designated by the Company. To the extent that this Agreement is manually signed, instead of electronically accepted by the Optionee (if permitted by the Company), it may be signed in counterparts, each of which shall be deemed an original, with the same effect as if the signatures thereto and hereto were upon the same instrument.</w:t>
      </w:r>
    </w:p>
    <w:p>
      <w:pPr>
        <w:spacing w:after="0" w:line="161" w:lineRule="exact"/>
        <w:rPr>
          <w:rFonts w:ascii="Times New Roman" w:cs="Times New Roman" w:eastAsia="Times New Roman" w:hAnsi="Times New Roman"/>
          <w:sz w:val="18"/>
          <w:szCs w:val="18"/>
          <w:color w:val="auto"/>
        </w:rPr>
      </w:pPr>
    </w:p>
    <w:p>
      <w:pPr>
        <w:ind w:left="120" w:right="300" w:firstLine="741"/>
        <w:spacing w:after="0" w:line="246" w:lineRule="auto"/>
        <w:tabs>
          <w:tab w:leader="none" w:pos="15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Legend on Certificates. </w:t>
      </w:r>
      <w:r>
        <w:rPr>
          <w:rFonts w:ascii="Times New Roman" w:cs="Times New Roman" w:eastAsia="Times New Roman" w:hAnsi="Times New Roman"/>
          <w:sz w:val="18"/>
          <w:szCs w:val="18"/>
          <w:color w:val="auto"/>
        </w:rPr>
        <w:t>Any Shares issued or transferred to the Optionee pursuant to this Agreement shall be subject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stop transfer orders and other restrictions as the Board of Directors of the Company or the Compensation Committee thereof may deem advisable under the Plan or the rules, regulations, and other requirements of the U.S. Securities and Exchange Commission, the British Columbia Securities Commission, or any other applicable regulator, or any stock exchange upon which such Shares are listed, any applicable Canadian Federal or provincial, or U.S. Federal or state laws or relevant securities laws of the jurisdiction of the domicile of the Optionee or to ensure compliance with any additional transfer restrictions that may be in effect from time to time, and the Board of Directors of the Company or the Compensation Committee thereof may cause a legend or legends to be put on any certificates representing such Shares to make appropriate reference to such restrictions.</w:t>
      </w:r>
    </w:p>
    <w:p>
      <w:pPr>
        <w:spacing w:after="0" w:line="165" w:lineRule="exact"/>
        <w:rPr>
          <w:rFonts w:ascii="Times New Roman" w:cs="Times New Roman" w:eastAsia="Times New Roman" w:hAnsi="Times New Roman"/>
          <w:sz w:val="18"/>
          <w:szCs w:val="18"/>
          <w:color w:val="auto"/>
        </w:rPr>
      </w:pPr>
    </w:p>
    <w:p>
      <w:pPr>
        <w:ind w:left="120" w:right="300" w:firstLine="741"/>
        <w:spacing w:after="0" w:line="271" w:lineRule="auto"/>
        <w:tabs>
          <w:tab w:leader="none" w:pos="15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Rights of a Shareholder. </w:t>
      </w:r>
      <w:r>
        <w:rPr>
          <w:rFonts w:ascii="Times New Roman" w:cs="Times New Roman" w:eastAsia="Times New Roman" w:hAnsi="Times New Roman"/>
          <w:sz w:val="18"/>
          <w:szCs w:val="18"/>
          <w:color w:val="auto"/>
        </w:rPr>
        <w:t>The Optionee pant shall not have any rights as a shareholder of the Company until the Shares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question have been registered in the Company’s register of shareholders.</w:t>
      </w:r>
    </w:p>
    <w:p>
      <w:pPr>
        <w:spacing w:after="0" w:line="153" w:lineRule="exact"/>
        <w:rPr>
          <w:rFonts w:ascii="Times New Roman" w:cs="Times New Roman" w:eastAsia="Times New Roman" w:hAnsi="Times New Roman"/>
          <w:sz w:val="18"/>
          <w:szCs w:val="18"/>
          <w:color w:val="auto"/>
        </w:rPr>
      </w:pPr>
    </w:p>
    <w:p>
      <w:pPr>
        <w:ind w:left="120" w:right="520" w:firstLine="741"/>
        <w:spacing w:after="0" w:line="283" w:lineRule="auto"/>
        <w:tabs>
          <w:tab w:leader="none" w:pos="157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Rule 16b-3</w:t>
      </w:r>
      <w:r>
        <w:rPr>
          <w:rFonts w:ascii="Times New Roman" w:cs="Times New Roman" w:eastAsia="Times New Roman" w:hAnsi="Times New Roman"/>
          <w:sz w:val="17"/>
          <w:szCs w:val="17"/>
          <w:color w:val="auto"/>
        </w:rPr>
        <w:t>. If the Optionee has been designated by the Company’s Board of Directors as a “Section 16 Officer” as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of Grant, the grant of the option to the Optionee hereunder is intended to be exempt from the provisions of Section 16(b) of the Securities Exchange Act of 1934, as amended from time to time (the “</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pursuant to Rule 16b-3 promulgated under the Exchange Act.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DEFINITIONS.</w:t>
      </w:r>
    </w:p>
    <w:p>
      <w:pPr>
        <w:spacing w:after="0" w:line="21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addition to the definitions set forth in the Plan, the following terms shall have the meanings ascribed herein (in the event a conflict exists, the meaning set forth in this Agreement shall prevail):</w:t>
      </w:r>
    </w:p>
    <w:p>
      <w:pPr>
        <w:spacing w:after="0" w:line="158" w:lineRule="exact"/>
        <w:rPr>
          <w:sz w:val="20"/>
          <w:szCs w:val="20"/>
          <w:color w:val="auto"/>
        </w:rPr>
      </w:pPr>
    </w:p>
    <w:p>
      <w:pPr>
        <w:ind w:left="1600" w:hanging="740"/>
        <w:spacing w:after="0"/>
        <w:tabs>
          <w:tab w:leader="none" w:pos="1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mean this Stock Option Agreement.</w:t>
      </w:r>
    </w:p>
    <w:p>
      <w:pPr>
        <w:spacing w:after="0" w:line="211" w:lineRule="exact"/>
        <w:rPr>
          <w:rFonts w:ascii="Times New Roman" w:cs="Times New Roman" w:eastAsia="Times New Roman" w:hAnsi="Times New Roman"/>
          <w:sz w:val="18"/>
          <w:szCs w:val="18"/>
          <w:color w:val="auto"/>
        </w:rPr>
      </w:pPr>
    </w:p>
    <w:p>
      <w:pPr>
        <w:ind w:left="120" w:firstLine="741"/>
        <w:spacing w:after="0" w:line="243" w:lineRule="auto"/>
        <w:tabs>
          <w:tab w:leader="none" w:pos="15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shall mean a (i) willful and repeated failure to perform duties or contravention in any material respect of specific written lawful directions related to a material duty or responsibility which is directed to be undertaken by the Board (other than due to physical or mental illness); (ii) conviction of guilty or </w:t>
      </w:r>
      <w:r>
        <w:rPr>
          <w:rFonts w:ascii="Times New Roman" w:cs="Times New Roman" w:eastAsia="Times New Roman" w:hAnsi="Times New Roman"/>
          <w:sz w:val="18"/>
          <w:szCs w:val="18"/>
          <w:i w:val="1"/>
          <w:iCs w:val="1"/>
          <w:color w:val="auto"/>
        </w:rPr>
        <w:t>nolo contendere plea</w:t>
      </w:r>
      <w:r>
        <w:rPr>
          <w:rFonts w:ascii="Times New Roman" w:cs="Times New Roman" w:eastAsia="Times New Roman" w:hAnsi="Times New Roman"/>
          <w:sz w:val="18"/>
          <w:szCs w:val="18"/>
          <w:color w:val="auto"/>
        </w:rPr>
        <w:t xml:space="preserve"> to, a misdemeanor which is materially and demonstrably injurious to the Company or any of its subsidiaries or any felony; (iii) commission of an act, or a failure to act, that constitutes fraud, gross negligence or willful misconduct (including without limitation, embezzlement, misappropriation or breach of fiduciary duty resulting or intending to result in personal gain at the expense of the Company or any of its subsidiaries); and (iv) violation of any applicable laws, rules or regulations or failure to comply with applicable confidentiality, non-solicitation and non-competition obligations to the Company or any of its subsidiaries, corporate code of business conduct or other material policies of the Company or any of its subsidiaries in connection with or during performance of the Optionee’s duties to the Company or any of its subsidiaries that could, in the Board’s opinion, cause material injury to the Company or any of its subsidiaries; and (v) failure to maintain applicable professional licenses or certifications. In the case of a violation or failure under (iv) or (v), if such violation or failure is curable, such violation or failure shall only constitute “Cause” if it is not cured within thirty (30) days after notice thereof to the Optionee.</w:t>
      </w:r>
    </w:p>
    <w:p>
      <w:pPr>
        <w:spacing w:after="0" w:line="165" w:lineRule="exact"/>
        <w:rPr>
          <w:rFonts w:ascii="Times New Roman" w:cs="Times New Roman" w:eastAsia="Times New Roman" w:hAnsi="Times New Roman"/>
          <w:sz w:val="18"/>
          <w:szCs w:val="18"/>
          <w:color w:val="auto"/>
        </w:rPr>
      </w:pPr>
    </w:p>
    <w:p>
      <w:pPr>
        <w:ind w:left="1600" w:hanging="740"/>
        <w:spacing w:after="0"/>
        <w:tabs>
          <w:tab w:leader="none" w:pos="1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mean:</w:t>
      </w:r>
    </w:p>
    <w:p>
      <w:pPr>
        <w:spacing w:after="0" w:line="215" w:lineRule="exact"/>
        <w:rPr>
          <w:rFonts w:ascii="Times New Roman" w:cs="Times New Roman" w:eastAsia="Times New Roman" w:hAnsi="Times New Roman"/>
          <w:sz w:val="18"/>
          <w:szCs w:val="18"/>
          <w:color w:val="auto"/>
        </w:rPr>
      </w:pPr>
    </w:p>
    <w:p>
      <w:pPr>
        <w:ind w:left="860" w:firstLine="749"/>
        <w:spacing w:after="0" w:line="244" w:lineRule="auto"/>
        <w:tabs>
          <w:tab w:leader="none" w:pos="233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following events (each, a “Business Combination”): (a) the sale of more than 50% of the outstanding equity securities of the Company in a single transaction or in a series of transactions occurring during a period of not more than twelve months; (b) the Company is merged, amalgamated or consolidated with another corporation; or (c) a sale of substantially all of the assets of the Company to another entity, unless, following any of the foregoing Business Combinations in (a) through (c) above, all or</w:t>
      </w:r>
    </w:p>
    <w:p>
      <w:pPr>
        <w:spacing w:after="0" w:line="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substantially all of the individuals and entities that were the beneficial owners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Updated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549" w:right="659" w:bottom="1440" w:gutter="0" w:footer="0" w:header="0"/>
        </w:sectPr>
      </w:pPr>
    </w:p>
    <w:bookmarkStart w:id="48" w:name="page49"/>
    <w:bookmarkEnd w:id="48"/>
    <w:p>
      <w:pPr>
        <w:ind w:left="840"/>
        <w:spacing w:after="0" w:line="246" w:lineRule="auto"/>
        <w:rPr>
          <w:sz w:val="20"/>
          <w:szCs w:val="20"/>
          <w:color w:val="auto"/>
        </w:rPr>
      </w:pPr>
      <w:r>
        <w:rPr>
          <w:rFonts w:ascii="Times New Roman" w:cs="Times New Roman" w:eastAsia="Times New Roman" w:hAnsi="Times New Roman"/>
          <w:sz w:val="18"/>
          <w:szCs w:val="18"/>
          <w:color w:val="auto"/>
        </w:rPr>
        <w:t>of the Company’s outstanding voting securities immediately prior to such Business Combination beneficially own immediately after the transaction or transactions, directly or indirectly, 50% or more of the combined voting power of the then outstanding voting securities (or comparable interests) of the entity resulting from such Business Combination (including an entity that, as a result of such transaction, owns the Company or all or substantially all of the Company’s assets either directly or through one or more Affiliates) in substantially the same proportions as their ownership of the Company’s voting securities immediately prior to such Business Combination; or</w:t>
      </w:r>
    </w:p>
    <w:p>
      <w:pPr>
        <w:spacing w:after="0" w:line="181" w:lineRule="exact"/>
        <w:rPr>
          <w:sz w:val="20"/>
          <w:szCs w:val="20"/>
          <w:color w:val="auto"/>
        </w:rPr>
      </w:pPr>
    </w:p>
    <w:p>
      <w:pPr>
        <w:ind w:left="840" w:right="520" w:firstLine="749"/>
        <w:spacing w:after="0" w:line="243" w:lineRule="auto"/>
        <w:tabs>
          <w:tab w:leader="none" w:pos="227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twelve (12) month period, the individuals who, as of the beginning of the 12-month period, constitute the Board of Directors (the “Incumbent Board”) cease for any reason to constitute at least a majority of the Board of Directors; provided, however, that any individual becoming a director subsequent to the Effective Date whose election or appointment, or nomination for election by Company’s shareholders,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spacing w:after="0" w:line="182" w:lineRule="exact"/>
        <w:rPr>
          <w:rFonts w:ascii="Times New Roman" w:cs="Times New Roman" w:eastAsia="Times New Roman" w:hAnsi="Times New Roman"/>
          <w:sz w:val="18"/>
          <w:szCs w:val="18"/>
          <w:color w:val="auto"/>
        </w:rPr>
      </w:pPr>
    </w:p>
    <w:p>
      <w:pPr>
        <w:ind w:left="1580" w:hanging="739"/>
        <w:spacing w:after="0"/>
        <w:tabs>
          <w:tab w:leader="none" w:pos="1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shall mean the date specified in the Notice of Stock Option Grant.</w:t>
      </w:r>
    </w:p>
    <w:p>
      <w:pPr>
        <w:spacing w:after="0" w:line="198" w:lineRule="exact"/>
        <w:rPr>
          <w:rFonts w:ascii="Times New Roman" w:cs="Times New Roman" w:eastAsia="Times New Roman" w:hAnsi="Times New Roman"/>
          <w:sz w:val="18"/>
          <w:szCs w:val="18"/>
          <w:color w:val="auto"/>
        </w:rPr>
      </w:pPr>
    </w:p>
    <w:p>
      <w:pPr>
        <w:ind w:left="100" w:right="120" w:firstLine="741"/>
        <w:spacing w:after="0" w:line="286" w:lineRule="auto"/>
        <w:tabs>
          <w:tab w:leader="none" w:pos="157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shall mean the amount for which one Share may be purchased upon exercise of this option, as specified in the Notice of Stock Option Grant.</w:t>
      </w:r>
    </w:p>
    <w:p>
      <w:pPr>
        <w:spacing w:after="0" w:line="127" w:lineRule="exact"/>
        <w:rPr>
          <w:rFonts w:ascii="Times New Roman" w:cs="Times New Roman" w:eastAsia="Times New Roman" w:hAnsi="Times New Roman"/>
          <w:sz w:val="18"/>
          <w:szCs w:val="18"/>
          <w:color w:val="auto"/>
        </w:rPr>
      </w:pPr>
    </w:p>
    <w:p>
      <w:pPr>
        <w:ind w:left="1580" w:hanging="739"/>
        <w:spacing w:after="0"/>
        <w:tabs>
          <w:tab w:leader="none" w:pos="1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Stock Option Grant</w:t>
      </w:r>
      <w:r>
        <w:rPr>
          <w:rFonts w:ascii="Times New Roman" w:cs="Times New Roman" w:eastAsia="Times New Roman" w:hAnsi="Times New Roman"/>
          <w:sz w:val="18"/>
          <w:szCs w:val="18"/>
          <w:color w:val="auto"/>
        </w:rPr>
        <w:t>” shall mean the document so entitled to which this Agreement is</w:t>
      </w:r>
    </w:p>
    <w:p>
      <w:pPr>
        <w:spacing w:after="0" w:line="171" w:lineRule="exact"/>
        <w:rPr>
          <w:rFonts w:ascii="Times New Roman" w:cs="Times New Roman" w:eastAsia="Times New Roman" w:hAnsi="Times New Roman"/>
          <w:sz w:val="18"/>
          <w:szCs w:val="18"/>
          <w:color w:val="auto"/>
        </w:rPr>
      </w:pPr>
    </w:p>
    <w:p>
      <w:pPr>
        <w:ind w:left="1600" w:hanging="758"/>
        <w:spacing w:after="0"/>
        <w:tabs>
          <w:tab w:leader="none" w:pos="16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shall mean the individual named in the Notice of Stock Option Grant.</w:t>
      </w:r>
    </w:p>
    <w:p>
      <w:pPr>
        <w:spacing w:after="0" w:line="198" w:lineRule="exact"/>
        <w:rPr>
          <w:rFonts w:ascii="Times New Roman" w:cs="Times New Roman" w:eastAsia="Times New Roman" w:hAnsi="Times New Roman"/>
          <w:sz w:val="18"/>
          <w:szCs w:val="18"/>
          <w:color w:val="auto"/>
        </w:rPr>
      </w:pPr>
    </w:p>
    <w:p>
      <w:pPr>
        <w:ind w:left="1600" w:right="220" w:hanging="758"/>
        <w:spacing w:after="0" w:line="258" w:lineRule="auto"/>
        <w:tabs>
          <w:tab w:leader="none" w:pos="16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 exercised.</w:t>
      </w:r>
    </w:p>
    <w:p>
      <w:pPr>
        <w:spacing w:after="0"/>
        <w:rPr>
          <w:sz w:val="20"/>
          <w:szCs w:val="20"/>
          <w:color w:val="auto"/>
        </w:rPr>
      </w:pPr>
      <w:r>
        <w:rPr>
          <w:rFonts w:ascii="Times New Roman" w:cs="Times New Roman" w:eastAsia="Times New Roman" w:hAnsi="Times New Roman"/>
          <w:sz w:val="14"/>
          <w:szCs w:val="14"/>
          <w:color w:val="auto"/>
        </w:rPr>
        <w:t>Updated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553" w:right="699" w:bottom="1440" w:gutter="0" w:footer="0" w:header="0"/>
        </w:sectPr>
      </w:pPr>
    </w:p>
    <w:bookmarkStart w:id="49" w:name="page50"/>
    <w:bookmarkEnd w:id="49"/>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84"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b w:val="1"/>
          <w:bCs w:val="1"/>
          <w:color w:val="auto"/>
        </w:rPr>
        <w:t>DELIVERY OF THIS CERTIFICATE MAY NOT CONSTITUTE “GOOD DELIVERY” IN SETTLEMENT OF TRANSACTIONS ON STOCK EXCHANGES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GREEN THUMB INDUSTRIES INC. 2018 STOCK AND</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INCENTIVE PLAN</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RESTRICTED STOCK UNIT AWARD AGREEMENT</w:t>
      </w:r>
    </w:p>
    <w:p>
      <w:pPr>
        <w:spacing w:after="0" w:line="200" w:lineRule="exact"/>
        <w:rPr>
          <w:sz w:val="20"/>
          <w:szCs w:val="20"/>
          <w:color w:val="auto"/>
        </w:rPr>
      </w:pPr>
    </w:p>
    <w:p>
      <w:pPr>
        <w:spacing w:after="0" w:line="2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RESTRICTED STOCK UNIT AWARD AGREEMENT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is</w:t>
      </w:r>
    </w:p>
    <w:p>
      <w:pPr>
        <w:spacing w:after="0" w:line="8" w:lineRule="exact"/>
        <w:rPr>
          <w:sz w:val="20"/>
          <w:szCs w:val="20"/>
          <w:color w:val="auto"/>
        </w:rPr>
      </w:pPr>
    </w:p>
    <w:p>
      <w:pPr>
        <w:ind w:left="120"/>
        <w:spacing w:after="0"/>
        <w:tabs>
          <w:tab w:leader="none" w:pos="1380" w:val="left"/>
          <w:tab w:leader="none" w:pos="2260" w:val="left"/>
        </w:tabs>
        <w:rPr>
          <w:sz w:val="20"/>
          <w:szCs w:val="20"/>
          <w:color w:val="auto"/>
        </w:rPr>
      </w:pPr>
      <w:r>
        <w:rPr>
          <w:rFonts w:ascii="Times New Roman" w:cs="Times New Roman" w:eastAsia="Times New Roman" w:hAnsi="Times New Roman"/>
          <w:sz w:val="22"/>
          <w:szCs w:val="22"/>
          <w:color w:val="auto"/>
        </w:rPr>
        <w:t>made this</w:t>
      </w:r>
      <w:r>
        <w:rPr>
          <w:sz w:val="20"/>
          <w:szCs w:val="20"/>
          <w:color w:val="auto"/>
        </w:rPr>
        <w:tab/>
      </w:r>
      <w:r>
        <w:rPr>
          <w:rFonts w:ascii="Times New Roman" w:cs="Times New Roman" w:eastAsia="Times New Roman" w:hAnsi="Times New Roman"/>
          <w:sz w:val="22"/>
          <w:szCs w:val="22"/>
          <w:color w:val="auto"/>
        </w:rPr>
        <w:t>day of</w:t>
      </w:r>
      <w:r>
        <w:rPr>
          <w:sz w:val="20"/>
          <w:szCs w:val="20"/>
          <w:color w:val="auto"/>
        </w:rPr>
        <w:tab/>
      </w:r>
      <w:r>
        <w:rPr>
          <w:rFonts w:ascii="Times New Roman" w:cs="Times New Roman" w:eastAsia="Times New Roman" w:hAnsi="Times New Roman"/>
          <w:sz w:val="21"/>
          <w:szCs w:val="21"/>
          <w:color w:val="auto"/>
        </w:rPr>
        <w:t>, 20__ (the “</w:t>
      </w:r>
      <w:r>
        <w:rPr>
          <w:rFonts w:ascii="Times New Roman" w:cs="Times New Roman" w:eastAsia="Times New Roman" w:hAnsi="Times New Roman"/>
          <w:sz w:val="21"/>
          <w:szCs w:val="21"/>
          <w:i w:val="1"/>
          <w:iCs w:val="1"/>
          <w:color w:val="auto"/>
        </w:rPr>
        <w:t>Effective Date</w:t>
      </w:r>
      <w:r>
        <w:rPr>
          <w:rFonts w:ascii="Times New Roman" w:cs="Times New Roman" w:eastAsia="Times New Roman" w:hAnsi="Times New Roman"/>
          <w:sz w:val="21"/>
          <w:szCs w:val="21"/>
          <w:color w:val="auto"/>
        </w:rPr>
        <w:t xml:space="preserve">”), by and between </w:t>
      </w:r>
      <w:r>
        <w:rPr>
          <w:rFonts w:ascii="Times New Roman" w:cs="Times New Roman" w:eastAsia="Times New Roman" w:hAnsi="Times New Roman"/>
          <w:sz w:val="21"/>
          <w:szCs w:val="21"/>
          <w:b w:val="1"/>
          <w:bCs w:val="1"/>
          <w:color w:val="auto"/>
        </w:rPr>
        <w:t>Green Thumb Industries Inc.</w:t>
      </w:r>
      <w:r>
        <w:rPr>
          <w:rFonts w:ascii="Times New Roman" w:cs="Times New Roman" w:eastAsia="Times New Roman" w:hAnsi="Times New Roman"/>
          <w:sz w:val="21"/>
          <w:szCs w:val="21"/>
          <w:color w:val="auto"/>
        </w:rPr>
        <w:t>, a British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-22860</wp:posOffset>
            </wp:positionV>
            <wp:extent cx="2933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9337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-22860</wp:posOffset>
            </wp:positionV>
            <wp:extent cx="20193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01930"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Columbia, Canada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and _______________(“</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w:t>
      </w:r>
    </w:p>
    <w:p>
      <w:pPr>
        <w:spacing w:after="0" w:line="236" w:lineRule="exact"/>
        <w:rPr>
          <w:sz w:val="20"/>
          <w:szCs w:val="20"/>
          <w:color w:val="auto"/>
        </w:rPr>
      </w:pPr>
    </w:p>
    <w:p>
      <w:pPr>
        <w:ind w:left="1580" w:hanging="719"/>
        <w:spacing w:after="0"/>
        <w:tabs>
          <w:tab w:leader="none" w:pos="15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Company hereby grants to Participant a restricted stock unit award covering __________</w:t>
      </w:r>
    </w:p>
    <w:p>
      <w:pPr>
        <w:spacing w:after="0" w:line="14" w:lineRule="exact"/>
        <w:rPr>
          <w:rFonts w:ascii="Times New Roman" w:cs="Times New Roman" w:eastAsia="Times New Roman" w:hAnsi="Times New Roman"/>
          <w:sz w:val="22"/>
          <w:szCs w:val="22"/>
          <w:color w:val="auto"/>
        </w:rPr>
      </w:pPr>
    </w:p>
    <w:p>
      <w:pPr>
        <w:ind w:left="120" w:right="38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 Voting Shares (the “</w:t>
      </w:r>
      <w:r>
        <w:rPr>
          <w:rFonts w:ascii="Times New Roman" w:cs="Times New Roman" w:eastAsia="Times New Roman" w:hAnsi="Times New Roman"/>
          <w:sz w:val="22"/>
          <w:szCs w:val="22"/>
          <w:i w:val="1"/>
          <w:iCs w:val="1"/>
          <w:color w:val="auto"/>
        </w:rPr>
        <w:t>Shares</w:t>
      </w:r>
      <w:r>
        <w:rPr>
          <w:rFonts w:ascii="Times New Roman" w:cs="Times New Roman" w:eastAsia="Times New Roman" w:hAnsi="Times New Roman"/>
          <w:sz w:val="22"/>
          <w:szCs w:val="22"/>
          <w:color w:val="auto"/>
        </w:rPr>
        <w:t>”) of the Company according to the terms and conditions set forth herein and in the Green Thumb Industries Inc. 2018 Stock and Incentive Plan, as amended (the “</w:t>
      </w:r>
      <w:r>
        <w:rPr>
          <w:rFonts w:ascii="Times New Roman" w:cs="Times New Roman" w:eastAsia="Times New Roman" w:hAnsi="Times New Roman"/>
          <w:sz w:val="22"/>
          <w:szCs w:val="22"/>
          <w:i w:val="1"/>
          <w:iCs w:val="1"/>
          <w:color w:val="auto"/>
        </w:rPr>
        <w:t>Plan</w:t>
      </w:r>
      <w:r>
        <w:rPr>
          <w:rFonts w:ascii="Times New Roman" w:cs="Times New Roman" w:eastAsia="Times New Roman" w:hAnsi="Times New Roman"/>
          <w:sz w:val="22"/>
          <w:szCs w:val="22"/>
          <w:color w:val="auto"/>
        </w:rPr>
        <w:t>”). Each restricted stock unit (a “</w:t>
      </w:r>
      <w:r>
        <w:rPr>
          <w:rFonts w:ascii="Times New Roman" w:cs="Times New Roman" w:eastAsia="Times New Roman" w:hAnsi="Times New Roman"/>
          <w:sz w:val="22"/>
          <w:szCs w:val="22"/>
          <w:i w:val="1"/>
          <w:iCs w:val="1"/>
          <w:color w:val="auto"/>
        </w:rPr>
        <w:t>Unit</w:t>
      </w:r>
      <w:r>
        <w:rPr>
          <w:rFonts w:ascii="Times New Roman" w:cs="Times New Roman" w:eastAsia="Times New Roman" w:hAnsi="Times New Roman"/>
          <w:sz w:val="22"/>
          <w:szCs w:val="22"/>
          <w:color w:val="auto"/>
        </w:rPr>
        <w:t>”) represents the right to receive one Subordinate Voting Share, subject to the terms of this Agreement, including the vesting requirements, and the terms of the Plan. The Units are granted under Section 6(c) of the Plan. Capitalized terms used but not otherwise defined herein shall have the meaning ascribed to such terms in the Plan.</w:t>
      </w:r>
    </w:p>
    <w:p>
      <w:pPr>
        <w:spacing w:after="0" w:line="247" w:lineRule="exact"/>
        <w:rPr>
          <w:rFonts w:ascii="Times New Roman" w:cs="Times New Roman" w:eastAsia="Times New Roman" w:hAnsi="Times New Roman"/>
          <w:sz w:val="22"/>
          <w:szCs w:val="22"/>
          <w:color w:val="auto"/>
        </w:rPr>
      </w:pPr>
    </w:p>
    <w:p>
      <w:pPr>
        <w:ind w:left="120" w:right="980" w:firstLine="741"/>
        <w:spacing w:after="0" w:line="258" w:lineRule="auto"/>
        <w:tabs>
          <w:tab w:leader="none" w:pos="159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Except as otherwise provided in this Agreement, the Units shall vest in accordance with the following schedule: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On or after each of</w:t>
      </w:r>
    </w:p>
    <w:p>
      <w:pPr>
        <w:spacing w:after="0" w:line="29" w:lineRule="exact"/>
        <w:rPr>
          <w:sz w:val="20"/>
          <w:szCs w:val="20"/>
          <w:color w:val="auto"/>
        </w:rPr>
      </w:pPr>
    </w:p>
    <w:p>
      <w:pPr>
        <w:ind w:left="3040"/>
        <w:spacing w:after="0"/>
        <w:tabs>
          <w:tab w:leader="none" w:pos="6360" w:val="left"/>
        </w:tabs>
        <w:rPr>
          <w:sz w:val="20"/>
          <w:szCs w:val="20"/>
          <w:color w:val="auto"/>
        </w:rPr>
      </w:pPr>
      <w:r>
        <w:rPr>
          <w:rFonts w:ascii="Times New Roman" w:cs="Times New Roman" w:eastAsia="Times New Roman" w:hAnsi="Times New Roman"/>
          <w:sz w:val="22"/>
          <w:szCs w:val="22"/>
          <w:color w:val="auto"/>
        </w:rPr>
        <w:t>the following dates</w:t>
      </w:r>
      <w:r>
        <w:rPr>
          <w:sz w:val="20"/>
          <w:szCs w:val="20"/>
          <w:color w:val="auto"/>
        </w:rPr>
        <w:tab/>
      </w:r>
      <w:r>
        <w:rPr>
          <w:rFonts w:ascii="Times New Roman" w:cs="Times New Roman" w:eastAsia="Times New Roman" w:hAnsi="Times New Roman"/>
          <w:sz w:val="17"/>
          <w:szCs w:val="17"/>
          <w:color w:val="auto"/>
        </w:rPr>
        <w:t>Number of Units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20320</wp:posOffset>
            </wp:positionV>
            <wp:extent cx="38487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right="700" w:firstLine="741"/>
        <w:spacing w:after="0" w:line="258" w:lineRule="auto"/>
        <w:tabs>
          <w:tab w:leader="none" w:pos="157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 The Units may not be sold, assigned, transferred or pledged, other than by will or the laws of descent and distribution, and any such attempted transfer shall be void.</w:t>
      </w:r>
    </w:p>
    <w:p>
      <w:pPr>
        <w:spacing w:after="0" w:line="279" w:lineRule="exact"/>
        <w:rPr>
          <w:rFonts w:ascii="Times New Roman" w:cs="Times New Roman" w:eastAsia="Times New Roman" w:hAnsi="Times New Roman"/>
          <w:sz w:val="22"/>
          <w:szCs w:val="22"/>
          <w:color w:val="auto"/>
        </w:rPr>
      </w:pPr>
    </w:p>
    <w:p>
      <w:pPr>
        <w:jc w:val="both"/>
        <w:ind w:left="120" w:right="760" w:firstLine="741"/>
        <w:spacing w:after="0" w:line="244" w:lineRule="auto"/>
        <w:tabs>
          <w:tab w:leader="none" w:pos="157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Early Vesting</w:t>
      </w:r>
      <w:r>
        <w:rPr>
          <w:rFonts w:ascii="Times New Roman" w:cs="Times New Roman" w:eastAsia="Times New Roman" w:hAnsi="Times New Roman"/>
          <w:sz w:val="22"/>
          <w:szCs w:val="22"/>
          <w:color w:val="auto"/>
        </w:rPr>
        <w:t>. If Participant ceases to perform services for the Company or any Affiliate for any reason other than the Participant's death, whether or not terminated for Cause (as defined below), prior to vesting of the Units pursuant to Section 2 or Section 4 hereof, all of Participant’s rights to all of the unvested Units shall be immediately and irrevocably forfeited, except that if within 12 months following a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ind w:left="100" w:right="660"/>
        <w:spacing w:after="0" w:line="243" w:lineRule="auto"/>
        <w:rPr>
          <w:sz w:val="20"/>
          <w:szCs w:val="20"/>
          <w:color w:val="auto"/>
        </w:rPr>
      </w:pPr>
      <w:r>
        <w:rPr>
          <w:rFonts w:ascii="Times New Roman" w:cs="Times New Roman" w:eastAsia="Times New Roman" w:hAnsi="Times New Roman"/>
          <w:sz w:val="22"/>
          <w:szCs w:val="22"/>
          <w:color w:val="auto"/>
        </w:rPr>
        <w:t>in Control (as defined below), the Company terminates the Participant’s service with the Company for reasons other than for Cause, all Units granted hereunder not already forfeited under operation of this Section 4 shall become fully vested with all restrictions lifted, and be issued pursuant to Section 5(a) hereof. Upon forfeiture, Participant will no longer have any rights relating to the unvested Units. In the event of the Participant’s death, all of the Units shall immediately vest as of the date of death. For purposes of this Agreement:</w:t>
      </w:r>
    </w:p>
    <w:p>
      <w:pPr>
        <w:spacing w:after="0" w:line="227" w:lineRule="exact"/>
        <w:rPr>
          <w:sz w:val="20"/>
          <w:szCs w:val="20"/>
          <w:color w:val="auto"/>
        </w:rPr>
      </w:pPr>
    </w:p>
    <w:p>
      <w:pPr>
        <w:ind w:left="100" w:right="320" w:firstLine="741"/>
        <w:spacing w:after="0" w:line="237" w:lineRule="auto"/>
        <w:tabs>
          <w:tab w:leader="none" w:pos="15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“Cause” </w:t>
      </w:r>
      <w:r>
        <w:rPr>
          <w:rFonts w:ascii="Times New Roman" w:cs="Times New Roman" w:eastAsia="Times New Roman" w:hAnsi="Times New Roman"/>
          <w:sz w:val="22"/>
          <w:szCs w:val="22"/>
          <w:color w:val="auto"/>
        </w:rPr>
        <w:t>shall mean a (i) repeated failure to competently and diligently perform duties of Participant’s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position with the Company (other than due to physical or mental illness); (ii) conviction of guilty or nolo contendere plea to, a misdemeanor which is materially and demonstrably injurious to the Company or any of its subsidiaries or Affiliates, or any felony; (iii) commission of an act, or a failure to act, that constitutes fraud, gross negligence or willful misconduct (including without limitation, embezzlement, misappropriation or breach of fiduciary duty resulting or intending to result in personal gain at the expense of the Company or any of its subsidiaries); and (iv) violation of any applicable laws, rules or regulations or failure to comply with applicable confidentiality, non solicitation and non competition obligations to the Company or any of its subsidiaries, corporate code of business conduct or other material policies of the Company or any of its subsidiaries in connection with or during performance of the Participant’s duties to the Company or any of its subsidiaries that could, in the Board’s opinion, cause material injury to the Company or any of its subsidiaries; and (v) failure to maintain applicable professional licenses or certifications. In the case of a violation or failure under (i), (iv) or (v), if such violation or failure is curable, such violation or failure shall only constitute “</w:t>
      </w:r>
      <w:r>
        <w:rPr>
          <w:rFonts w:ascii="Times New Roman" w:cs="Times New Roman" w:eastAsia="Times New Roman" w:hAnsi="Times New Roman"/>
          <w:sz w:val="22"/>
          <w:szCs w:val="22"/>
          <w:i w:val="1"/>
          <w:iCs w:val="1"/>
          <w:color w:val="auto"/>
        </w:rPr>
        <w:t>Cause</w:t>
      </w:r>
      <w:r>
        <w:rPr>
          <w:rFonts w:ascii="Times New Roman" w:cs="Times New Roman" w:eastAsia="Times New Roman" w:hAnsi="Times New Roman"/>
          <w:sz w:val="22"/>
          <w:szCs w:val="22"/>
          <w:color w:val="auto"/>
        </w:rPr>
        <w:t>” if it is not cured within thirty (30) days after notice thereof to the Participant; and</w:t>
      </w:r>
    </w:p>
    <w:p>
      <w:pPr>
        <w:spacing w:after="0" w:line="275" w:lineRule="exact"/>
        <w:rPr>
          <w:rFonts w:ascii="Times New Roman" w:cs="Times New Roman" w:eastAsia="Times New Roman" w:hAnsi="Times New Roman"/>
          <w:sz w:val="22"/>
          <w:szCs w:val="22"/>
          <w:color w:val="auto"/>
        </w:rPr>
      </w:pPr>
    </w:p>
    <w:p>
      <w:pPr>
        <w:ind w:left="100" w:right="380" w:firstLine="742"/>
        <w:spacing w:after="0" w:line="262" w:lineRule="auto"/>
        <w:tabs>
          <w:tab w:leader="none" w:pos="15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shall mean the occurrence, in a single transaction or in a series of related transactions, of any one or more of the following events:</w:t>
      </w:r>
    </w:p>
    <w:p>
      <w:pPr>
        <w:spacing w:after="0" w:line="203" w:lineRule="exact"/>
        <w:rPr>
          <w:rFonts w:ascii="Times New Roman" w:cs="Times New Roman" w:eastAsia="Times New Roman" w:hAnsi="Times New Roman"/>
          <w:sz w:val="22"/>
          <w:szCs w:val="22"/>
          <w:color w:val="auto"/>
        </w:rPr>
      </w:pPr>
    </w:p>
    <w:p>
      <w:pPr>
        <w:ind w:left="2340" w:hanging="750"/>
        <w:spacing w:after="0" w:line="238" w:lineRule="auto"/>
        <w:tabs>
          <w:tab w:leader="none" w:pos="234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of the following events (each, a “</w:t>
      </w:r>
      <w:r>
        <w:rPr>
          <w:rFonts w:ascii="Times New Roman" w:cs="Times New Roman" w:eastAsia="Times New Roman" w:hAnsi="Times New Roman"/>
          <w:sz w:val="22"/>
          <w:szCs w:val="22"/>
          <w:i w:val="1"/>
          <w:iCs w:val="1"/>
          <w:color w:val="auto"/>
        </w:rPr>
        <w:t>Business Combination</w:t>
      </w:r>
      <w:r>
        <w:rPr>
          <w:rFonts w:ascii="Times New Roman" w:cs="Times New Roman" w:eastAsia="Times New Roman" w:hAnsi="Times New Roman"/>
          <w:sz w:val="22"/>
          <w:szCs w:val="22"/>
          <w:color w:val="auto"/>
        </w:rPr>
        <w:t>”): (a) the sale of more than 50% of the outstanding equity securities of the Company in a single transaction or in a series of transactions occurring during a period of not more than twelve months; (b) the Company is merged, amalgamated or consolidated with another corporation; or (c) a sale of substantially all of the assets of the Company to another entity, unless, following any of the foregoing Business Combinations in (a) through (c) above, all or substantially all of the individuals and entities that were the beneficial owners of the Company’s outstanding voting securities immediately prior to such Business Combination beneficially own immediately after the transaction or transactions, directly or indirectly, 50% or more of the combined voting power of the then outstanding voting securities (or comparable interests) of the entity resulting from such Business Combination (including an entity that, as a result of such transaction, owns the Company or all or substantially all of the Company’s assets either directly or through one or more Affiliates) in substantially the same proportions as their ownership of the Company’s voting securities immediately prior to such Business Combination; or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 Updated: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5" w:right="339" w:bottom="1440" w:gutter="0" w:footer="0" w:header="0"/>
        </w:sectPr>
      </w:pPr>
    </w:p>
    <w:bookmarkStart w:id="51" w:name="page52"/>
    <w:bookmarkEnd w:id="51"/>
    <w:p>
      <w:pPr>
        <w:ind w:left="2340" w:hanging="750"/>
        <w:spacing w:after="0" w:line="239" w:lineRule="auto"/>
        <w:tabs>
          <w:tab w:leader="none" w:pos="2340"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twelve (12) month period, the individuals who, as of the beginning of the 12-month period, constitute the Board of Directors (the “</w:t>
      </w:r>
      <w:r>
        <w:rPr>
          <w:rFonts w:ascii="Times New Roman" w:cs="Times New Roman" w:eastAsia="Times New Roman" w:hAnsi="Times New Roman"/>
          <w:sz w:val="22"/>
          <w:szCs w:val="22"/>
          <w:i w:val="1"/>
          <w:iCs w:val="1"/>
          <w:color w:val="auto"/>
        </w:rPr>
        <w:t>Incumbent Board</w:t>
      </w:r>
      <w:r>
        <w:rPr>
          <w:rFonts w:ascii="Times New Roman" w:cs="Times New Roman" w:eastAsia="Times New Roman" w:hAnsi="Times New Roman"/>
          <w:sz w:val="22"/>
          <w:szCs w:val="22"/>
          <w:color w:val="auto"/>
        </w:rPr>
        <w:t>”) cease for any reason to constitute at least a majority of the Board of Directors; provided, however, that any individual becoming a director subsequent to the Effective Date whose election or appointment, or nomination for election by Company’s shareholders,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spacing w:after="0" w:line="288" w:lineRule="exact"/>
        <w:rPr>
          <w:rFonts w:ascii="Times New Roman" w:cs="Times New Roman" w:eastAsia="Times New Roman" w:hAnsi="Times New Roman"/>
          <w:sz w:val="22"/>
          <w:szCs w:val="22"/>
          <w:color w:val="auto"/>
        </w:rPr>
      </w:pPr>
    </w:p>
    <w:p>
      <w:pPr>
        <w:ind w:left="100" w:right="260" w:firstLine="742"/>
        <w:spacing w:after="0" w:line="244" w:lineRule="auto"/>
        <w:tabs>
          <w:tab w:leader="none" w:pos="1577"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Change in Control definition or any other provision of this Agreement or the Plan, the term Change in Control shall not include a sale of assets, merger or other transaction effected exclusively for the purpose of changing the domicile of the Company.</w:t>
      </w:r>
    </w:p>
    <w:p>
      <w:pPr>
        <w:spacing w:after="0" w:line="227" w:lineRule="exact"/>
        <w:rPr>
          <w:rFonts w:ascii="Times New Roman" w:cs="Times New Roman" w:eastAsia="Times New Roman" w:hAnsi="Times New Roman"/>
          <w:sz w:val="22"/>
          <w:szCs w:val="22"/>
          <w:color w:val="auto"/>
        </w:rPr>
      </w:pPr>
    </w:p>
    <w:p>
      <w:pPr>
        <w:ind w:left="1580" w:hanging="739"/>
        <w:spacing w:after="0"/>
        <w:tabs>
          <w:tab w:leader="none" w:pos="15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260" w:lineRule="exact"/>
        <w:rPr>
          <w:rFonts w:ascii="Times New Roman" w:cs="Times New Roman" w:eastAsia="Times New Roman" w:hAnsi="Times New Roman"/>
          <w:sz w:val="22"/>
          <w:szCs w:val="22"/>
          <w:color w:val="auto"/>
        </w:rPr>
      </w:pPr>
    </w:p>
    <w:p>
      <w:pPr>
        <w:ind w:left="100" w:right="140" w:firstLine="741"/>
        <w:spacing w:after="0" w:line="250" w:lineRule="auto"/>
        <w:tabs>
          <w:tab w:leader="none" w:pos="1588"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Shares</w:t>
      </w:r>
      <w:r>
        <w:rPr>
          <w:rFonts w:ascii="Times New Roman" w:cs="Times New Roman" w:eastAsia="Times New Roman" w:hAnsi="Times New Roman"/>
          <w:sz w:val="21"/>
          <w:szCs w:val="21"/>
          <w:color w:val="auto"/>
        </w:rPr>
        <w:t>. As soon as administratively practicable following the Participant’s vesting date under Section 2 or Section 4 hereof, as applicable, and the Participant’s satisfaction of any required Withholding Obligations (but in no event later than 60 days following the vesting date), the Company shall cause to be issued and delivered to the Participant a certificate or certificates evidencing Shares registered in the name of the Participant (or in the name of the Participant’s legal representatives, beneficiaries or heirs, as the case may be) or to instruct the Company’s transfer agent to electronically deliver such shares to the respective Participant. The number of Shares issued shall equal the number of Units vested, reduced as necessary to cover applicable withholding obligations in accordance with Section 5(c) hereof. If it is administratively impracticable to issue Shares within the time frame described above because issuances of Shares are prohibited or restricted pursuant to the policies of the Company that are reasonably designed to ensure compliance with applicable securities laws or stock exchange rules, then such issuance shall be delayed until such prohibitions or restrictions lapse.</w:t>
      </w:r>
    </w:p>
    <w:p>
      <w:pPr>
        <w:spacing w:after="0" w:line="265" w:lineRule="exact"/>
        <w:rPr>
          <w:rFonts w:ascii="Times New Roman" w:cs="Times New Roman" w:eastAsia="Times New Roman" w:hAnsi="Times New Roman"/>
          <w:sz w:val="21"/>
          <w:szCs w:val="21"/>
          <w:color w:val="auto"/>
        </w:rPr>
      </w:pPr>
    </w:p>
    <w:p>
      <w:pPr>
        <w:ind w:left="100" w:right="160" w:firstLine="741"/>
        <w:spacing w:after="0" w:line="244" w:lineRule="auto"/>
        <w:tabs>
          <w:tab w:leader="none" w:pos="158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Shareholder</w:t>
      </w:r>
      <w:r>
        <w:rPr>
          <w:rFonts w:ascii="Times New Roman" w:cs="Times New Roman" w:eastAsia="Times New Roman" w:hAnsi="Times New Roman"/>
          <w:sz w:val="22"/>
          <w:szCs w:val="22"/>
          <w:color w:val="auto"/>
        </w:rPr>
        <w:t xml:space="preserve">. Units are not actual Shares, but rather, represent a right to receive Shares according to the terms and conditions set forth herein and the terms of the Plan. Accordingly, the issuance of a Unit shall not entitle the Participant to any of the rights or benefits generally accorded to stockholders unless and until a Share is actually issued under Section 5(a) hereof and the </w:t>
      </w:r>
      <w:r>
        <w:rPr>
          <w:rFonts w:ascii="Times New Roman" w:cs="Times New Roman" w:eastAsia="Times New Roman" w:hAnsi="Times New Roman"/>
          <w:sz w:val="19"/>
          <w:szCs w:val="19"/>
          <w:color w:val="auto"/>
        </w:rPr>
        <w:t>Shares in question have been registered in the Company’s register of shareholders</w:t>
      </w:r>
      <w:r>
        <w:rPr>
          <w:rFonts w:ascii="Times New Roman" w:cs="Times New Roman" w:eastAsia="Times New Roman" w:hAnsi="Times New Roman"/>
          <w:sz w:val="22"/>
          <w:szCs w:val="22"/>
          <w:color w:val="auto"/>
        </w:rPr>
        <w:t>.</w:t>
      </w:r>
    </w:p>
    <w:p>
      <w:pPr>
        <w:spacing w:after="0" w:line="240" w:lineRule="exact"/>
        <w:rPr>
          <w:rFonts w:ascii="Times New Roman" w:cs="Times New Roman" w:eastAsia="Times New Roman" w:hAnsi="Times New Roman"/>
          <w:sz w:val="22"/>
          <w:szCs w:val="22"/>
          <w:color w:val="auto"/>
        </w:rPr>
      </w:pPr>
    </w:p>
    <w:p>
      <w:pPr>
        <w:ind w:left="100" w:right="320" w:firstLine="741"/>
        <w:spacing w:after="0" w:line="244" w:lineRule="auto"/>
        <w:tabs>
          <w:tab w:leader="none" w:pos="158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Participant hereby agrees to make adequate provision for any sums required to satisfy the applicable federal, state, local or foreign employment, social insurance, payroll, income or other tax withholding obligations (the “</w:t>
      </w:r>
      <w:r>
        <w:rPr>
          <w:rFonts w:ascii="Times New Roman" w:cs="Times New Roman" w:eastAsia="Times New Roman" w:hAnsi="Times New Roman"/>
          <w:sz w:val="22"/>
          <w:szCs w:val="22"/>
          <w:i w:val="1"/>
          <w:iCs w:val="1"/>
          <w:color w:val="auto"/>
        </w:rPr>
        <w:t>Withholding Obligations</w:t>
      </w:r>
      <w:r>
        <w:rPr>
          <w:rFonts w:ascii="Times New Roman" w:cs="Times New Roman" w:eastAsia="Times New Roman" w:hAnsi="Times New Roman"/>
          <w:sz w:val="22"/>
          <w:szCs w:val="22"/>
          <w:color w:val="auto"/>
        </w:rPr>
        <w:t>”) that arise in connection with this Agreement. The Company may establish procedures to ensure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 Updated: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315" w:right="399" w:bottom="1440" w:gutter="0" w:footer="0" w:header="0"/>
        </w:sectPr>
      </w:pPr>
    </w:p>
    <w:bookmarkStart w:id="52" w:name="page53"/>
    <w:bookmarkEnd w:id="52"/>
    <w:p>
      <w:pPr>
        <w:ind w:left="100"/>
        <w:spacing w:after="0" w:line="249" w:lineRule="auto"/>
        <w:rPr>
          <w:sz w:val="20"/>
          <w:szCs w:val="20"/>
          <w:color w:val="auto"/>
        </w:rPr>
      </w:pPr>
      <w:r>
        <w:rPr>
          <w:rFonts w:ascii="Times New Roman" w:cs="Times New Roman" w:eastAsia="Times New Roman" w:hAnsi="Times New Roman"/>
          <w:sz w:val="21"/>
          <w:szCs w:val="21"/>
          <w:color w:val="auto"/>
        </w:rPr>
        <w:t>satisfaction of all applicable Withholding Obligations arising in connection with this Agreement, including any means permitted in Section 8 of the Plan. The Participant hereby authorizes the Company, at its sole discretion and subject to any limitations under applicable law, to satisfy any such Tax Obligations by (1) withholding a portion of the Shares otherwise to be issued in payment of the Units having a value equal to the amount of Withholding Obligation in accordance with such rules as the Company may from time to time establish; (2) withholding from the wages and other cash compensation payable to the Participant or by causing the Participant to tender a cash payment or other Shares to the Company; or (3) selling on the Participant’s behalf (using any brokerage firm determined acceptable to the Company for such purpose) a portion of the Shares issued in payment of the Units as the Company determines to be appropriate to generate cash proceeds sufficient to satisfy the Withholding Obligations. The Participant shall be responsible for all brokerage fees and other costs of sale, and the Participant further agrees to indemnify and hold the Company harmless from any losses, costs, damages or expenses relating to any such sale. The Company may refuse to deliver Shares if the Participant fails to comply with the Participant’s obligations in connection with the Withholding Obligations described in this paragraph. The Participant agrees to pay to the Company or its applicable Affiliate, any amount of Withholding Obligations that the Company or its applicable Affiliate may be required to withhold or account for as a result of Participant’s participation in the Plan that cannot be satisfied by the means described in this Agreement. The Company may refuse to issue or deliver the Shares, cash or the proceeds of the sale of Shares, if the Participant fails to comply with the Participant’s obligations in connection with the Withholding Obligations.</w:t>
      </w:r>
    </w:p>
    <w:p>
      <w:pPr>
        <w:spacing w:after="0" w:line="230" w:lineRule="exact"/>
        <w:rPr>
          <w:sz w:val="20"/>
          <w:szCs w:val="20"/>
          <w:color w:val="auto"/>
        </w:rPr>
      </w:pPr>
    </w:p>
    <w:p>
      <w:pPr>
        <w:ind w:left="100" w:right="80" w:firstLine="741"/>
        <w:spacing w:after="0" w:line="244" w:lineRule="auto"/>
        <w:tabs>
          <w:tab w:leader="none" w:pos="158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Subject to Plan</w:t>
      </w:r>
      <w:r>
        <w:rPr>
          <w:rFonts w:ascii="Times New Roman" w:cs="Times New Roman" w:eastAsia="Times New Roman" w:hAnsi="Times New Roman"/>
          <w:sz w:val="22"/>
          <w:szCs w:val="22"/>
          <w:color w:val="auto"/>
        </w:rPr>
        <w:t>. This Award is subject to the terms and conditions of the Plan, but the terms of the Plan shall not be considered an enlargement of any benefits under this Agreement. In addition, this Award is subject to the rules and regulations promulgated pursuant to the Plan, now or hereafter in effect. Participant acknowledges receipt of a copy of the Plan.</w:t>
      </w:r>
    </w:p>
    <w:p>
      <w:pPr>
        <w:spacing w:after="0" w:line="226" w:lineRule="exact"/>
        <w:rPr>
          <w:rFonts w:ascii="Times New Roman" w:cs="Times New Roman" w:eastAsia="Times New Roman" w:hAnsi="Times New Roman"/>
          <w:sz w:val="22"/>
          <w:szCs w:val="22"/>
          <w:color w:val="auto"/>
        </w:rPr>
      </w:pPr>
    </w:p>
    <w:p>
      <w:pPr>
        <w:ind w:left="100" w:right="140" w:firstLine="741"/>
        <w:spacing w:after="0" w:line="250" w:lineRule="auto"/>
        <w:tabs>
          <w:tab w:leader="none" w:pos="15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This Agreement shall not confer on the Participant any right with respect to continuance of service to the Company, nor will it interfere in any way with the right of the Company to terminate such service at any time.</w:t>
      </w:r>
    </w:p>
    <w:p>
      <w:pPr>
        <w:spacing w:after="0" w:line="208" w:lineRule="exact"/>
        <w:rPr>
          <w:rFonts w:ascii="Times New Roman" w:cs="Times New Roman" w:eastAsia="Times New Roman" w:hAnsi="Times New Roman"/>
          <w:sz w:val="22"/>
          <w:szCs w:val="22"/>
          <w:color w:val="auto"/>
        </w:rPr>
      </w:pPr>
    </w:p>
    <w:p>
      <w:pPr>
        <w:jc w:val="both"/>
        <w:ind w:left="100" w:right="540" w:firstLine="741"/>
        <w:spacing w:after="0" w:line="250" w:lineRule="auto"/>
        <w:tabs>
          <w:tab w:leader="none" w:pos="155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construction and effect of the Plan and the Agreement, and any rules and regulations relating to the Plan and the Agreement, shall be determined in accordance with the internal laws, and not the law of conflicts, of the State of Delaware.</w:t>
      </w:r>
    </w:p>
    <w:p>
      <w:pPr>
        <w:spacing w:after="0" w:line="167" w:lineRule="exact"/>
        <w:rPr>
          <w:rFonts w:ascii="Times New Roman" w:cs="Times New Roman" w:eastAsia="Times New Roman" w:hAnsi="Times New Roman"/>
          <w:sz w:val="22"/>
          <w:szCs w:val="22"/>
          <w:color w:val="auto"/>
        </w:rPr>
      </w:pPr>
    </w:p>
    <w:p>
      <w:pPr>
        <w:ind w:left="100" w:firstLine="741"/>
        <w:spacing w:after="0" w:line="241" w:lineRule="auto"/>
        <w:tabs>
          <w:tab w:leader="none" w:pos="158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the Agreement is or becomes or is deemed to be invalid, illegal or unenforceable in any jurisdiction or would disqualify the Agreement under any law deemed applicable by the Committee, such provision shall be construed or deemed amended to conform to applicable laws, or if it cannot be so construed or deemed amended without, in the determination of the Committee, materially altering the purpose or intent of the Plan or the Agreement, such provision shall be stricken as to such jurisdiction or the Agreement, and the remainder of the Agreement shall remain in full force and effect.</w:t>
      </w:r>
    </w:p>
    <w:p>
      <w:pPr>
        <w:spacing w:after="0" w:line="230" w:lineRule="exact"/>
        <w:rPr>
          <w:rFonts w:ascii="Times New Roman" w:cs="Times New Roman" w:eastAsia="Times New Roman" w:hAnsi="Times New Roman"/>
          <w:sz w:val="22"/>
          <w:szCs w:val="22"/>
          <w:color w:val="auto"/>
        </w:rPr>
      </w:pPr>
    </w:p>
    <w:p>
      <w:pPr>
        <w:ind w:left="100" w:right="240" w:firstLine="741"/>
        <w:spacing w:after="0" w:line="250" w:lineRule="auto"/>
        <w:tabs>
          <w:tab w:leader="none" w:pos="157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Trust or Fund Created</w:t>
      </w:r>
      <w:r>
        <w:rPr>
          <w:rFonts w:ascii="Times New Roman" w:cs="Times New Roman" w:eastAsia="Times New Roman" w:hAnsi="Times New Roman"/>
          <w:sz w:val="22"/>
          <w:szCs w:val="22"/>
          <w:color w:val="auto"/>
        </w:rPr>
        <w:t>. Neither the Plan nor the Agreement shall create or be construed to create a trust or separate fund of any kind or a fiduciary relationship between the Company or any Affiliate and Participant or any other person.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 Updated: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396" w:right="539" w:bottom="1440" w:gutter="0" w:footer="0" w:header="0"/>
        </w:sectPr>
      </w:pPr>
    </w:p>
    <w:bookmarkStart w:id="53" w:name="page54"/>
    <w:bookmarkEnd w:id="53"/>
    <w:p>
      <w:pPr>
        <w:ind w:left="100" w:firstLine="741"/>
        <w:spacing w:after="0" w:line="249" w:lineRule="auto"/>
        <w:tabs>
          <w:tab w:leader="none" w:pos="157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Provisions</w:t>
      </w:r>
      <w:r>
        <w:rPr>
          <w:rFonts w:ascii="Times New Roman" w:cs="Times New Roman" w:eastAsia="Times New Roman" w:hAnsi="Times New Roman"/>
          <w:sz w:val="21"/>
          <w:szCs w:val="21"/>
          <w:color w:val="auto"/>
        </w:rPr>
        <w:t>. The payment of Shares under this Agreement are intended to be exempt from the application of section 409A of the Internal Revenue Code, as amended (“</w:t>
      </w:r>
      <w:r>
        <w:rPr>
          <w:rFonts w:ascii="Times New Roman" w:cs="Times New Roman" w:eastAsia="Times New Roman" w:hAnsi="Times New Roman"/>
          <w:sz w:val="21"/>
          <w:szCs w:val="21"/>
          <w:i w:val="1"/>
          <w:iCs w:val="1"/>
          <w:color w:val="auto"/>
        </w:rPr>
        <w:t>Section 409A</w:t>
      </w:r>
      <w:r>
        <w:rPr>
          <w:rFonts w:ascii="Times New Roman" w:cs="Times New Roman" w:eastAsia="Times New Roman" w:hAnsi="Times New Roman"/>
          <w:sz w:val="21"/>
          <w:szCs w:val="21"/>
          <w:color w:val="auto"/>
        </w:rPr>
        <w:t>”) by reason of the short-term deferral exemption set forth in Treasury Regulation §1.409A-1(b)(4). Notwithstanding anything in the Plan or this Agreement to the contrary, to the extent that any amount or benefit hereunder that constitutes “deferred compensation” to the Participant under section 409A and applicable guidance thereunder is otherwise payable or distributable to the Participant under the Plan or this Agreement solely by reason of the occurrence of a Change in Control or due to the Participant’s Disability or termination of employment, such amount or benefit will not be payable or distributable to the Participant by reason of such circumstance unless the Committee determines in good faith that (i) the circumstances giving rise to such Change in Control, Disability or separation from service meet the definition of a change in ownership or control, disability, or separation from service, as the case may be, in Section 409A(a)(2)(A) of the Code and applicable final regulations, or (ii) the payment or distribution of such amount or benefit would be exempt from the application of Section 409A by reason of the short-term deferral exemption or otherwise (including, but not limited to, a payment made pursuant to an involuntary separation arrangement that is exempt from Section 409A under the “short-term deferral” exception). Any payment or distribution that otherwise would be made to a Participant who is a specified employee as defined in Section 409A(a)(2)(B) of the Code on account of separation from service may not be made before the date which is six months after the date of the specified employee’s separation from service (or if earlier, upon the specified employee’s death) unless the payment or distribution is exempt from the application of Section 409A by reason of the short term deferral exemption or otherwise.</w:t>
      </w:r>
    </w:p>
    <w:p>
      <w:pPr>
        <w:spacing w:after="0" w:line="263" w:lineRule="exact"/>
        <w:rPr>
          <w:rFonts w:ascii="Times New Roman" w:cs="Times New Roman" w:eastAsia="Times New Roman" w:hAnsi="Times New Roman"/>
          <w:sz w:val="21"/>
          <w:szCs w:val="21"/>
          <w:color w:val="auto"/>
        </w:rPr>
      </w:pPr>
    </w:p>
    <w:p>
      <w:pPr>
        <w:ind w:left="100" w:right="280" w:firstLine="741"/>
        <w:spacing w:after="0" w:line="241" w:lineRule="auto"/>
        <w:tabs>
          <w:tab w:leader="none" w:pos="157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Insider Trading / Market Abuse Laws. By participating in the Plan, the Participant agrees to comply with the Company’s policy on insider trading as in effect at any given time. The Participant further acknowledges that the Participant may be subject to local insider trading and/or market abuse laws and regulations that are separate from and in addition to any restrictions that may be imposed under any applicable Company insider trading policy. The Participant acknowledges that it is the Participant’s personal responsibility to comply with any applicable restrictions, and that the Participant should consult the Participant’s personal advisor on this matter.</w:t>
      </w:r>
    </w:p>
    <w:p>
      <w:pPr>
        <w:spacing w:after="0" w:line="257" w:lineRule="exact"/>
        <w:rPr>
          <w:rFonts w:ascii="Times New Roman" w:cs="Times New Roman" w:eastAsia="Times New Roman" w:hAnsi="Times New Roman"/>
          <w:sz w:val="22"/>
          <w:szCs w:val="22"/>
          <w:color w:val="auto"/>
        </w:rPr>
      </w:pPr>
    </w:p>
    <w:p>
      <w:pPr>
        <w:ind w:left="100" w:firstLine="741"/>
        <w:spacing w:after="0" w:line="241" w:lineRule="auto"/>
        <w:tabs>
          <w:tab w:leader="none" w:pos="157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Electronic Delivery. The Company may, in its sole discretion, deliver by electronic means any documents related to the Units or the Participant’s future participation in the Plan. The Participant hereby consents to receive such documents by electronic delivery and agrees to participate in the Plan through an on-line or electronic system established and maintained by the Company or a third party designated by the Company. To the extent that this Agreement is manually signed, instead of electronically accepted by the Participant (if permitted by the Company), it may be signed in counterparts, each of which shall be deemed an original, with the same effect as if the signatures thereto and hereto were upon the same instrument.</w:t>
      </w:r>
    </w:p>
    <w:p>
      <w:pPr>
        <w:spacing w:after="0" w:line="273" w:lineRule="exact"/>
        <w:rPr>
          <w:rFonts w:ascii="Times New Roman" w:cs="Times New Roman" w:eastAsia="Times New Roman" w:hAnsi="Times New Roman"/>
          <w:sz w:val="22"/>
          <w:szCs w:val="22"/>
          <w:color w:val="auto"/>
        </w:rPr>
      </w:pPr>
    </w:p>
    <w:p>
      <w:pPr>
        <w:ind w:left="100" w:firstLine="741"/>
        <w:spacing w:after="0" w:line="261" w:lineRule="auto"/>
        <w:tabs>
          <w:tab w:leader="none" w:pos="157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Legend on Certificates. Any Shares issued or transferred to the Participant pursuant to this Agreement shall be subject to such stop transfer orders and other restrictions as the Board of Directors of the Company or the Compensation Committee thereof may deem advisable under the Plan or the rules, regulations, and other requirements of the U.S. Securities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 Updated: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585" w:right="639" w:bottom="1440" w:gutter="0" w:footer="0" w:header="0"/>
        </w:sectPr>
      </w:pPr>
    </w:p>
    <w:bookmarkStart w:id="54" w:name="page55"/>
    <w:bookmarkEnd w:id="54"/>
    <w:p>
      <w:pPr>
        <w:ind w:left="100" w:right="20"/>
        <w:spacing w:after="0" w:line="241" w:lineRule="auto"/>
        <w:rPr>
          <w:sz w:val="20"/>
          <w:szCs w:val="20"/>
          <w:color w:val="auto"/>
        </w:rPr>
      </w:pPr>
      <w:r>
        <w:rPr>
          <w:rFonts w:ascii="Times New Roman" w:cs="Times New Roman" w:eastAsia="Times New Roman" w:hAnsi="Times New Roman"/>
          <w:sz w:val="22"/>
          <w:szCs w:val="22"/>
          <w:color w:val="auto"/>
        </w:rPr>
        <w:t>and Exchange Commission, the British Columbia Securities Commission, or any other applicable regulator, or any stock exchange upon which such Shares are listed, any applicable Canadian Federal or provincial, or U.S. Federal or state laws or relevant securities laws of the jurisdiction of the domicile of the Participant or to ensure compliance with any additional transfer restrictions that may be in effect from time to time, and the Board of Directors of the Company or the Compensation Committee thereof may cause a legend or legends to be put on any certificates representing such Shares to make appropriate reference to such restrictions.</w:t>
      </w:r>
    </w:p>
    <w:p>
      <w:pPr>
        <w:spacing w:after="0" w:line="271" w:lineRule="exact"/>
        <w:rPr>
          <w:sz w:val="20"/>
          <w:szCs w:val="20"/>
          <w:color w:val="auto"/>
        </w:rPr>
      </w:pPr>
    </w:p>
    <w:p>
      <w:pPr>
        <w:ind w:left="100" w:right="280" w:firstLine="741"/>
        <w:spacing w:after="0" w:line="244" w:lineRule="auto"/>
        <w:tabs>
          <w:tab w:leader="none" w:pos="157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16b-3. If the Participant has been designated by the Company’s Board of Directors as a “Section 16 Officer” as of the Date of Grant, the grant of the Units to the Participant hereunder is intended to be exempt from the provisions of Section 16(b) of the Securities Exchange Act of 1934, as amended from time to time (the “</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pursuant to Rule 16b-3 promulgated under the Exchange Act.</w:t>
      </w:r>
    </w:p>
    <w:p>
      <w:pPr>
        <w:spacing w:after="0" w:line="226" w:lineRule="exact"/>
        <w:rPr>
          <w:rFonts w:ascii="Times New Roman" w:cs="Times New Roman" w:eastAsia="Times New Roman" w:hAnsi="Times New Roman"/>
          <w:sz w:val="22"/>
          <w:szCs w:val="22"/>
          <w:color w:val="auto"/>
        </w:rPr>
      </w:pPr>
    </w:p>
    <w:p>
      <w:pPr>
        <w:ind w:left="100" w:right="120" w:firstLine="741"/>
        <w:spacing w:after="0" w:line="250" w:lineRule="auto"/>
        <w:tabs>
          <w:tab w:leader="none" w:pos="157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are given to the Sections and subsections of the Agreement solely as a convenience to facilitate reference. Such headings shall not be deemed in any way material or relevant to the construction or interpretation of the Agreement or any provision thereof.</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firstLine="749"/>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and Participant have executed this Agreement on the date set forth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paragraph.</w:t>
      </w:r>
    </w:p>
    <w:p>
      <w:pPr>
        <w:spacing w:after="0" w:line="3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GREEN THUMB INDUSTRIES INC.</w:t>
      </w:r>
    </w:p>
    <w:p>
      <w:pPr>
        <w:spacing w:after="0" w:line="200" w:lineRule="exact"/>
        <w:rPr>
          <w:sz w:val="20"/>
          <w:szCs w:val="20"/>
          <w:color w:val="auto"/>
        </w:rPr>
      </w:pPr>
    </w:p>
    <w:p>
      <w:pPr>
        <w:spacing w:after="0" w:line="29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By:______________________________________</w:t>
      </w:r>
    </w:p>
    <w:p>
      <w:pPr>
        <w:spacing w:after="0" w:line="1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w:t>
      </w:r>
    </w:p>
    <w:p>
      <w:pPr>
        <w:ind w:left="45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5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________________________________________Print Name: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 Updated: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315" w:right="659" w:bottom="1440" w:gutter="0" w:footer="0" w:header="0"/>
        </w:sectPr>
      </w:pPr>
    </w:p>
    <w:bookmarkStart w:id="55" w:name="page56"/>
    <w:bookmarkEnd w:id="5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Kovler, certify that:</w:t>
      </w:r>
    </w:p>
    <w:p>
      <w:pPr>
        <w:spacing w:after="0" w:line="104" w:lineRule="exact"/>
        <w:rPr>
          <w:sz w:val="20"/>
          <w:szCs w:val="20"/>
          <w:color w:val="auto"/>
        </w:rPr>
      </w:pPr>
    </w:p>
    <w:p>
      <w:pPr>
        <w:ind w:left="1140" w:hanging="504"/>
        <w:spacing w:after="0"/>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Green Thumb Industries Inc.;</w:t>
      </w:r>
    </w:p>
    <w:p>
      <w:pPr>
        <w:spacing w:after="0" w:line="103" w:lineRule="exact"/>
        <w:rPr>
          <w:rFonts w:ascii="Times New Roman" w:cs="Times New Roman" w:eastAsia="Times New Roman" w:hAnsi="Times New Roman"/>
          <w:sz w:val="18"/>
          <w:szCs w:val="18"/>
          <w:color w:val="auto"/>
        </w:rPr>
      </w:pPr>
    </w:p>
    <w:p>
      <w:pPr>
        <w:ind w:left="1140" w:right="100" w:hanging="504"/>
        <w:spacing w:after="0" w:line="258"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Times New Roman" w:cs="Times New Roman" w:eastAsia="Times New Roman" w:hAnsi="Times New Roman"/>
          <w:sz w:val="17"/>
          <w:szCs w:val="17"/>
          <w:color w:val="auto"/>
        </w:rPr>
      </w:pPr>
    </w:p>
    <w:p>
      <w:pPr>
        <w:ind w:left="1140" w:hanging="504"/>
        <w:spacing w:after="0" w:line="250"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2300" w:right="160" w:hanging="511"/>
        <w:spacing w:after="0" w:line="272" w:lineRule="auto"/>
        <w:tabs>
          <w:tab w:leader="none" w:pos="230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7"/>
          <w:szCs w:val="17"/>
          <w:color w:val="auto"/>
        </w:rPr>
      </w:pPr>
    </w:p>
    <w:p>
      <w:pPr>
        <w:ind w:left="2300" w:right="420" w:hanging="511"/>
        <w:spacing w:after="0" w:line="272" w:lineRule="auto"/>
        <w:tabs>
          <w:tab w:leader="none" w:pos="230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7"/>
          <w:szCs w:val="17"/>
          <w:color w:val="auto"/>
        </w:rPr>
      </w:pPr>
    </w:p>
    <w:p>
      <w:pPr>
        <w:ind w:left="2300" w:right="300" w:hanging="511"/>
        <w:spacing w:after="0" w:line="250" w:lineRule="auto"/>
        <w:tabs>
          <w:tab w:leader="none" w:pos="2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8"/>
          <w:szCs w:val="18"/>
          <w:color w:val="auto"/>
        </w:rPr>
      </w:pPr>
    </w:p>
    <w:p>
      <w:pPr>
        <w:ind w:left="2300" w:right="400" w:hanging="511"/>
        <w:spacing w:after="0" w:line="272" w:lineRule="auto"/>
        <w:tabs>
          <w:tab w:leader="none" w:pos="230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4" w:lineRule="exact"/>
        <w:rPr>
          <w:rFonts w:ascii="Times New Roman" w:cs="Times New Roman" w:eastAsia="Times New Roman" w:hAnsi="Times New Roman"/>
          <w:sz w:val="17"/>
          <w:szCs w:val="17"/>
          <w:color w:val="auto"/>
        </w:rPr>
      </w:pPr>
    </w:p>
    <w:p>
      <w:pPr>
        <w:ind w:left="1140" w:right="300" w:hanging="504"/>
        <w:spacing w:after="0" w:line="250"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300" w:right="260" w:hanging="511"/>
        <w:spacing w:after="0" w:line="258" w:lineRule="auto"/>
        <w:tabs>
          <w:tab w:leader="none" w:pos="2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Times New Roman" w:cs="Times New Roman" w:eastAsia="Times New Roman" w:hAnsi="Times New Roman"/>
          <w:sz w:val="18"/>
          <w:szCs w:val="18"/>
          <w:color w:val="auto"/>
        </w:rPr>
      </w:pPr>
    </w:p>
    <w:p>
      <w:pPr>
        <w:ind w:left="2300" w:right="640" w:hanging="511"/>
        <w:spacing w:after="0" w:line="282" w:lineRule="auto"/>
        <w:tabs>
          <w:tab w:leader="none" w:pos="2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Georgiadis, certify that:</w:t>
      </w:r>
    </w:p>
    <w:p>
      <w:pPr>
        <w:spacing w:after="0" w:line="104" w:lineRule="exact"/>
        <w:rPr>
          <w:sz w:val="20"/>
          <w:szCs w:val="20"/>
          <w:color w:val="auto"/>
        </w:rPr>
      </w:pPr>
    </w:p>
    <w:p>
      <w:pPr>
        <w:ind w:left="1140" w:hanging="504"/>
        <w:spacing w:after="0"/>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Green Thumb Industries Inc.;</w:t>
      </w:r>
    </w:p>
    <w:p>
      <w:pPr>
        <w:spacing w:after="0" w:line="103" w:lineRule="exact"/>
        <w:rPr>
          <w:rFonts w:ascii="Times New Roman" w:cs="Times New Roman" w:eastAsia="Times New Roman" w:hAnsi="Times New Roman"/>
          <w:sz w:val="18"/>
          <w:szCs w:val="18"/>
          <w:color w:val="auto"/>
        </w:rPr>
      </w:pPr>
    </w:p>
    <w:p>
      <w:pPr>
        <w:ind w:left="1140" w:right="100" w:hanging="504"/>
        <w:spacing w:after="0" w:line="258"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Times New Roman" w:cs="Times New Roman" w:eastAsia="Times New Roman" w:hAnsi="Times New Roman"/>
          <w:sz w:val="17"/>
          <w:szCs w:val="17"/>
          <w:color w:val="auto"/>
        </w:rPr>
      </w:pPr>
    </w:p>
    <w:p>
      <w:pPr>
        <w:ind w:left="1140" w:hanging="504"/>
        <w:spacing w:after="0" w:line="250"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2300" w:right="160" w:hanging="511"/>
        <w:spacing w:after="0" w:line="272" w:lineRule="auto"/>
        <w:tabs>
          <w:tab w:leader="none" w:pos="23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7"/>
          <w:szCs w:val="17"/>
          <w:color w:val="auto"/>
        </w:rPr>
      </w:pPr>
    </w:p>
    <w:p>
      <w:pPr>
        <w:ind w:left="2300" w:right="420" w:hanging="511"/>
        <w:spacing w:after="0" w:line="272" w:lineRule="auto"/>
        <w:tabs>
          <w:tab w:leader="none" w:pos="23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7"/>
          <w:szCs w:val="17"/>
          <w:color w:val="auto"/>
        </w:rPr>
      </w:pPr>
    </w:p>
    <w:p>
      <w:pPr>
        <w:ind w:left="2300" w:right="300" w:hanging="511"/>
        <w:spacing w:after="0" w:line="250" w:lineRule="auto"/>
        <w:tabs>
          <w:tab w:leader="none" w:pos="2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8"/>
          <w:szCs w:val="18"/>
          <w:color w:val="auto"/>
        </w:rPr>
      </w:pPr>
    </w:p>
    <w:p>
      <w:pPr>
        <w:ind w:left="2300" w:right="400" w:hanging="511"/>
        <w:spacing w:after="0" w:line="272" w:lineRule="auto"/>
        <w:tabs>
          <w:tab w:leader="none" w:pos="23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4" w:lineRule="exact"/>
        <w:rPr>
          <w:rFonts w:ascii="Times New Roman" w:cs="Times New Roman" w:eastAsia="Times New Roman" w:hAnsi="Times New Roman"/>
          <w:sz w:val="17"/>
          <w:szCs w:val="17"/>
          <w:color w:val="auto"/>
        </w:rPr>
      </w:pPr>
    </w:p>
    <w:p>
      <w:pPr>
        <w:ind w:left="1140" w:right="300" w:hanging="504"/>
        <w:spacing w:after="0" w:line="250"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300" w:right="260" w:hanging="511"/>
        <w:spacing w:after="0" w:line="258" w:lineRule="auto"/>
        <w:tabs>
          <w:tab w:leader="none" w:pos="2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Times New Roman" w:cs="Times New Roman" w:eastAsia="Times New Roman" w:hAnsi="Times New Roman"/>
          <w:sz w:val="18"/>
          <w:szCs w:val="18"/>
          <w:color w:val="auto"/>
        </w:rPr>
      </w:pPr>
    </w:p>
    <w:p>
      <w:pPr>
        <w:ind w:left="2300" w:right="640" w:hanging="511"/>
        <w:spacing w:after="0" w:line="282" w:lineRule="auto"/>
        <w:tabs>
          <w:tab w:leader="none" w:pos="2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/s/Anthony Georgiadis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Anthony Georgiadis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Green Thumb Industries Inc. (the “Company”) on Form 10-Q for the three months ended March 31, 2022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Green Thumb Industries Inc. (the “Company”) on Form 10-Q for the three months ended March 31, 2022 as filed with the Securities and Exchange Commission on the date hereof (the “Report”), I, Anthony Georgiadis,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/s/Anthony Georgiadis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Anthony Georgiadis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decimal"/>
      <w:start w:val="1"/>
    </w:lvl>
    <w:lvl w:ilvl="1">
      <w:lvlJc w:val="left"/>
      <w:lvlText w:val="(%2)"/>
      <w:numFmt w:val="lowerLetter"/>
      <w:start w:val="1"/>
    </w:lvl>
  </w:abstractNum>
  <w:abstractNum w:abstractNumId="3">
    <w:nsid w:val="2D517796"/>
    <w:multiLevelType w:val="hybridMultilevel"/>
    <w:lvl w:ilvl="0">
      <w:lvlJc w:val="left"/>
      <w:lvlText w:val="(%1)"/>
      <w:numFmt w:val="lowerLetter"/>
      <w:start w:val="2"/>
    </w:lvl>
  </w:abstractNum>
  <w:abstractNum w:abstractNumId="4">
    <w:nsid w:val="580BD78F"/>
    <w:multiLevelType w:val="hybridMultilevel"/>
    <w:lvl w:ilvl="0">
      <w:lvlJc w:val="left"/>
      <w:lvlText w:val="(%1)"/>
      <w:numFmt w:val="lowerLetter"/>
      <w:start w:val="3"/>
    </w:lvl>
  </w:abstractNum>
  <w:abstractNum w:abstractNumId="5">
    <w:nsid w:val="153EA438"/>
    <w:multiLevelType w:val="hybridMultilevel"/>
    <w:lvl w:ilvl="0">
      <w:lvlJc w:val="left"/>
      <w:lvlText w:val="(%1)"/>
      <w:numFmt w:val="lowerLetter"/>
      <w:start w:val="4"/>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1)"/>
      <w:numFmt w:val="lowerLetter"/>
      <w:start w:val="4"/>
    </w:lvl>
  </w:abstractNum>
  <w:abstractNum w:abstractNumId="8">
    <w:nsid w:val="6A2342EC"/>
    <w:multiLevelType w:val="hybridMultilevel"/>
    <w:lvl w:ilvl="0">
      <w:lvlJc w:val="left"/>
      <w:lvlText w:val="(%1)"/>
      <w:numFmt w:val="lowerLetter"/>
      <w:start w:val="5"/>
    </w:lvl>
  </w:abstractNum>
  <w:abstractNum w:abstractNumId="9">
    <w:nsid w:val="2A487CB0"/>
    <w:multiLevelType w:val="hybridMultilevel"/>
    <w:lvl w:ilvl="0">
      <w:lvlJc w:val="left"/>
      <w:lvlText w:val="(%1)"/>
      <w:numFmt w:val="lowerLetter"/>
      <w:start w:val="6"/>
    </w:lvl>
  </w:abstractNum>
  <w:abstractNum w:abstractNumId="10">
    <w:nsid w:val="1D4ED43B"/>
    <w:multiLevelType w:val="hybridMultilevel"/>
    <w:lvl w:ilvl="0">
      <w:lvlJc w:val="left"/>
      <w:lvlText w:val="(%1)"/>
      <w:numFmt w:val="lowerLetter"/>
      <w:start w:val="7"/>
    </w:lvl>
  </w:abstractNum>
  <w:abstractNum w:abstractNumId="11">
    <w:nsid w:val="725A06FB"/>
    <w:multiLevelType w:val="hybridMultilevel"/>
    <w:lvl w:ilvl="0">
      <w:lvlJc w:val="left"/>
      <w:lvlText w:val="%1."/>
      <w:numFmt w:val="decimal"/>
      <w:start w:val="2"/>
    </w:lvl>
  </w:abstractNum>
  <w:abstractNum w:abstractNumId="12">
    <w:nsid w:val="2CD89A32"/>
    <w:multiLevelType w:val="hybridMultilevel"/>
    <w:lvl w:ilvl="0">
      <w:lvlJc w:val="left"/>
      <w:lvlText w:val="%1."/>
      <w:numFmt w:val="decimal"/>
      <w:start w:val="3"/>
    </w:lvl>
  </w:abstractNum>
  <w:abstractNum w:abstractNumId="13">
    <w:nsid w:val="57E4CCAF"/>
    <w:multiLevelType w:val="hybridMultilevel"/>
    <w:lvl w:ilvl="0">
      <w:lvlJc w:val="left"/>
      <w:lvlText w:val="%1."/>
      <w:numFmt w:val="decimal"/>
      <w:start w:val="4"/>
    </w:lvl>
  </w:abstractNum>
  <w:abstractNum w:abstractNumId="14">
    <w:nsid w:val="7A6D8D3C"/>
    <w:multiLevelType w:val="hybridMultilevel"/>
    <w:lvl w:ilvl="0">
      <w:lvlJc w:val="left"/>
      <w:lvlText w:val="(%1)"/>
      <w:numFmt w:val="lowerLetter"/>
      <w:start w:val="1"/>
    </w:lvl>
  </w:abstractNum>
  <w:abstractNum w:abstractNumId="15">
    <w:nsid w:val="4B588F54"/>
    <w:multiLevelType w:val="hybridMultilevel"/>
    <w:lvl w:ilvl="0">
      <w:lvlJc w:val="left"/>
      <w:lvlText w:val="%1."/>
      <w:numFmt w:val="decimal"/>
      <w:start w:val="5"/>
    </w:lvl>
    <w:lvl w:ilvl="1">
      <w:lvlJc w:val="left"/>
      <w:lvlText w:val="(%2)"/>
      <w:numFmt w:val="lowerLetter"/>
      <w:start w:val="1"/>
    </w:lvl>
  </w:abstractNum>
  <w:abstractNum w:abstractNumId="16">
    <w:nsid w:val="542289EC"/>
    <w:multiLevelType w:val="hybridMultilevel"/>
    <w:lvl w:ilvl="0">
      <w:lvlJc w:val="left"/>
      <w:lvlText w:val="%1."/>
      <w:numFmt w:val="decimal"/>
      <w:start w:val="6"/>
    </w:lvl>
  </w:abstractNum>
  <w:abstractNum w:abstractNumId="17">
    <w:nsid w:val="6DE91B18"/>
    <w:multiLevelType w:val="hybridMultilevel"/>
    <w:lvl w:ilvl="0">
      <w:lvlJc w:val="left"/>
      <w:lvlText w:val="(%1)"/>
      <w:numFmt w:val="lowerLetter"/>
      <w:start w:val="1"/>
    </w:lvl>
  </w:abstractNum>
  <w:abstractNum w:abstractNumId="18">
    <w:nsid w:val="38437FDB"/>
    <w:multiLevelType w:val="hybridMultilevel"/>
    <w:lvl w:ilvl="0">
      <w:lvlJc w:val="left"/>
      <w:lvlText w:val="%1."/>
      <w:numFmt w:val="decimal"/>
      <w:start w:val="6"/>
    </w:lvl>
  </w:abstractNum>
  <w:abstractNum w:abstractNumId="19">
    <w:nsid w:val="7644A45C"/>
    <w:multiLevelType w:val="hybridMultilevel"/>
    <w:lvl w:ilvl="0">
      <w:lvlJc w:val="left"/>
      <w:lvlText w:val="%1."/>
      <w:numFmt w:val="decimal"/>
      <w:start w:val="7"/>
    </w:lvl>
    <w:lvl w:ilvl="1">
      <w:lvlJc w:val="left"/>
      <w:lvlText w:val="(%2)"/>
      <w:numFmt w:val="lowerLetter"/>
      <w:start w:val="1"/>
    </w:lvl>
  </w:abstractNum>
  <w:abstractNum w:abstractNumId="20">
    <w:nsid w:val="32FFF902"/>
    <w:multiLevelType w:val="hybridMultilevel"/>
    <w:lvl w:ilvl="0">
      <w:lvlJc w:val="left"/>
      <w:lvlText w:val="(%1)"/>
      <w:numFmt w:val="lowerLetter"/>
      <w:start w:val="2"/>
    </w:lvl>
  </w:abstractNum>
  <w:abstractNum w:abstractNumId="21">
    <w:nsid w:val="684A481A"/>
    <w:multiLevelType w:val="hybridMultilevel"/>
    <w:lvl w:ilvl="0">
      <w:lvlJc w:val="left"/>
      <w:lvlText w:val="%1."/>
      <w:numFmt w:val="decimal"/>
      <w:start w:val="8"/>
    </w:lvl>
  </w:abstractNum>
  <w:abstractNum w:abstractNumId="22">
    <w:nsid w:val="579478FE"/>
    <w:multiLevelType w:val="hybridMultilevel"/>
    <w:lvl w:ilvl="0">
      <w:lvlJc w:val="left"/>
      <w:lvlText w:val="1"/>
      <w:numFmt w:val="bullet"/>
      <w:start w:val="1"/>
    </w:lvl>
  </w:abstractNum>
  <w:abstractNum w:abstractNumId="23">
    <w:nsid w:val="749ABB43"/>
    <w:multiLevelType w:val="hybridMultilevel"/>
    <w:lvl w:ilvl="0">
      <w:lvlJc w:val="left"/>
      <w:lvlText w:val="2"/>
      <w:numFmt w:val="bullet"/>
      <w:start w:val="1"/>
    </w:lvl>
  </w:abstractNum>
  <w:abstractNum w:abstractNumId="24">
    <w:nsid w:val="3DC240FB"/>
    <w:multiLevelType w:val="hybridMultilevel"/>
    <w:lvl w:ilvl="0">
      <w:lvlJc w:val="left"/>
      <w:lvlText w:val="(%1)"/>
      <w:numFmt w:val="lowerLetter"/>
    </w:lvl>
    <w:lvl w:ilvl="1">
      <w:lvlJc w:val="left"/>
      <w:lvlText w:val="3"/>
      <w:numFmt w:val="bullet"/>
      <w:start w:val="1"/>
    </w:lvl>
  </w:abstractNum>
  <w:abstractNum w:abstractNumId="25">
    <w:nsid w:val="1BA026FA"/>
    <w:multiLevelType w:val="hybridMultilevel"/>
    <w:lvl w:ilvl="0">
      <w:lvlJc w:val="left"/>
      <w:lvlText w:val="%1."/>
      <w:numFmt w:val="decimal"/>
      <w:start w:val="9"/>
    </w:lvl>
  </w:abstractNum>
  <w:abstractNum w:abstractNumId="26">
    <w:nsid w:val="79A1DEAA"/>
    <w:multiLevelType w:val="hybridMultilevel"/>
    <w:lvl w:ilvl="0">
      <w:lvlJc w:val="left"/>
      <w:lvlText w:val="%1."/>
      <w:numFmt w:val="decimal"/>
      <w:start w:val="9"/>
    </w:lvl>
    <w:lvl w:ilvl="1">
      <w:lvlJc w:val="left"/>
      <w:lvlText w:val="(%2)"/>
      <w:numFmt w:val="lowerLetter"/>
      <w:start w:val="2"/>
    </w:lvl>
  </w:abstractNum>
  <w:abstractNum w:abstractNumId="27">
    <w:nsid w:val="75C6C33A"/>
    <w:multiLevelType w:val="hybridMultilevel"/>
    <w:lvl w:ilvl="0">
      <w:lvlJc w:val="left"/>
      <w:lvlText w:val="%1."/>
      <w:numFmt w:val="decimal"/>
      <w:start w:val="10"/>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1)"/>
      <w:numFmt w:val="lowerRoman"/>
      <w:start w:val="1"/>
    </w:lvl>
  </w:abstractNum>
  <w:abstractNum w:abstractNumId="30">
    <w:nsid w:val="520EEDD1"/>
    <w:multiLevelType w:val="hybridMultilevel"/>
    <w:lvl w:ilvl="0">
      <w:lvlJc w:val="left"/>
      <w:lvlText w:val="%1."/>
      <w:numFmt w:val="decimal"/>
      <w:start w:val="10"/>
    </w:lvl>
  </w:abstractNum>
  <w:abstractNum w:abstractNumId="31">
    <w:nsid w:val="374A3FE6"/>
    <w:multiLevelType w:val="hybridMultilevel"/>
    <w:lvl w:ilvl="0">
      <w:lvlJc w:val="left"/>
      <w:lvlText w:val="(%1)"/>
      <w:numFmt w:val="lowerLetter"/>
      <w:start w:val="2"/>
    </w:lvl>
    <w:lvl w:ilvl="1">
      <w:lvlJc w:val="left"/>
      <w:lvlText w:val="(%2)"/>
      <w:numFmt w:val="lowerLetter"/>
      <w:start w:val="9"/>
    </w:lvl>
  </w:abstractNum>
  <w:abstractNum w:abstractNumId="32">
    <w:nsid w:val="4F4EF005"/>
    <w:multiLevelType w:val="hybridMultilevel"/>
    <w:lvl w:ilvl="0">
      <w:lvlJc w:val="left"/>
      <w:lvlText w:val="(%1)"/>
      <w:numFmt w:val="lowerRoman"/>
      <w:start w:val="2"/>
    </w:lvl>
  </w:abstractNum>
  <w:abstractNum w:abstractNumId="33">
    <w:nsid w:val="23F9C13C"/>
    <w:multiLevelType w:val="hybridMultilevel"/>
    <w:lvl w:ilvl="0">
      <w:lvlJc w:val="left"/>
      <w:lvlText w:val="%1."/>
      <w:numFmt w:val="decimal"/>
      <w:start w:val="10"/>
    </w:lvl>
  </w:abstractNum>
  <w:abstractNum w:abstractNumId="34">
    <w:nsid w:val="649BB77C"/>
    <w:multiLevelType w:val="hybridMultilevel"/>
    <w:lvl w:ilvl="0">
      <w:lvlJc w:val="left"/>
      <w:lvlText w:val="(%1)"/>
      <w:numFmt w:val="lowerLetter"/>
      <w:start w:val="3"/>
    </w:lvl>
  </w:abstractNum>
  <w:abstractNum w:abstractNumId="35">
    <w:nsid w:val="275AC794"/>
    <w:multiLevelType w:val="hybridMultilevel"/>
    <w:lvl w:ilvl="0">
      <w:lvlJc w:val="left"/>
      <w:lvlText w:val="%1."/>
      <w:numFmt w:val="decimal"/>
      <w:start w:val="10"/>
    </w:lvl>
  </w:abstractNum>
  <w:abstractNum w:abstractNumId="36">
    <w:nsid w:val="39386575"/>
    <w:multiLevelType w:val="hybridMultilevel"/>
    <w:lvl w:ilvl="0">
      <w:lvlJc w:val="left"/>
      <w:lvlText w:val="(%1)"/>
      <w:numFmt w:val="lowerLetter"/>
      <w:start w:val="3"/>
    </w:lvl>
  </w:abstractNum>
  <w:abstractNum w:abstractNumId="37">
    <w:nsid w:val="1CF10FD8"/>
    <w:multiLevelType w:val="hybridMultilevel"/>
    <w:lvl w:ilvl="0">
      <w:lvlJc w:val="left"/>
      <w:lvlText w:val="%1."/>
      <w:numFmt w:val="decimal"/>
      <w:start w:val="11"/>
    </w:lvl>
  </w:abstractNum>
  <w:abstractNum w:abstractNumId="38">
    <w:nsid w:val="180115BE"/>
    <w:multiLevelType w:val="hybridMultilevel"/>
    <w:lvl w:ilvl="0">
      <w:lvlJc w:val="left"/>
      <w:lvlText w:val="%1."/>
      <w:numFmt w:val="decimal"/>
      <w:start w:val="12"/>
    </w:lvl>
  </w:abstractNum>
  <w:abstractNum w:abstractNumId="39">
    <w:nsid w:val="235BA861"/>
    <w:multiLevelType w:val="hybridMultilevel"/>
    <w:lvl w:ilvl="0">
      <w:lvlJc w:val="left"/>
      <w:lvlText w:val="%1."/>
      <w:numFmt w:val="decimal"/>
      <w:start w:val="13"/>
    </w:lvl>
  </w:abstractNum>
  <w:abstractNum w:abstractNumId="40">
    <w:nsid w:val="47398C89"/>
    <w:multiLevelType w:val="hybridMultilevel"/>
    <w:lvl w:ilvl="0">
      <w:lvlJc w:val="left"/>
      <w:lvlText w:val="(%1)"/>
      <w:numFmt w:val="lowerLetter"/>
      <w:start w:val="1"/>
    </w:lvl>
  </w:abstractNum>
  <w:abstractNum w:abstractNumId="41">
    <w:nsid w:val="354FE9F9"/>
    <w:multiLevelType w:val="hybridMultilevel"/>
    <w:lvl w:ilvl="0">
      <w:lvlJc w:val="left"/>
      <w:lvlText w:val="%1."/>
      <w:numFmt w:val="decimal"/>
      <w:start w:val="14"/>
    </w:lvl>
  </w:abstractNum>
  <w:abstractNum w:abstractNumId="42">
    <w:nsid w:val="15B5AF5C"/>
    <w:multiLevelType w:val="hybridMultilevel"/>
    <w:lvl w:ilvl="0">
      <w:lvlJc w:val="left"/>
      <w:lvlText w:val="(%1)"/>
      <w:numFmt w:val="lowerLetter"/>
      <w:start w:val="1"/>
    </w:lvl>
  </w:abstractNum>
  <w:abstractNum w:abstractNumId="43">
    <w:nsid w:val="741226BB"/>
    <w:multiLevelType w:val="hybridMultilevel"/>
    <w:lvl w:ilvl="0">
      <w:lvlJc w:val="left"/>
      <w:lvlText w:val="%1."/>
      <w:numFmt w:val="decimal"/>
      <w:start w:val="14"/>
    </w:lvl>
  </w:abstractNum>
  <w:abstractNum w:abstractNumId="44">
    <w:nsid w:val="D34B6A8"/>
    <w:multiLevelType w:val="hybridMultilevel"/>
    <w:lvl w:ilvl="0">
      <w:lvlJc w:val="left"/>
      <w:lvlText w:val="(%1)"/>
      <w:numFmt w:val="lowerLetter"/>
      <w:start w:val="1"/>
    </w:lvl>
  </w:abstractNum>
  <w:abstractNum w:abstractNumId="45">
    <w:nsid w:val="10233C99"/>
    <w:multiLevelType w:val="hybridMultilevel"/>
    <w:lvl w:ilvl="0">
      <w:lvlJc w:val="left"/>
      <w:lvlText w:val="%1."/>
      <w:numFmt w:val="decimal"/>
      <w:start w:val="15"/>
    </w:lvl>
  </w:abstractNum>
  <w:abstractNum w:abstractNumId="46">
    <w:nsid w:val="3F6AB60F"/>
    <w:multiLevelType w:val="hybridMultilevel"/>
    <w:lvl w:ilvl="0">
      <w:lvlJc w:val="left"/>
      <w:lvlText w:val="%1."/>
      <w:numFmt w:val="decimal"/>
      <w:start w:val="16"/>
    </w:lvl>
  </w:abstractNum>
  <w:abstractNum w:abstractNumId="47">
    <w:nsid w:val="61574095"/>
    <w:multiLevelType w:val="hybridMultilevel"/>
    <w:lvl w:ilvl="0">
      <w:lvlJc w:val="left"/>
      <w:lvlText w:val="%1"/>
      <w:numFmt w:val="decimal"/>
      <w:start w:val="104"/>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1."/>
      <w:numFmt w:val="decimal"/>
      <w:start w:val="5"/>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1)"/>
      <w:numFmt w:val="lowerLetter"/>
      <w:start w:val="1"/>
    </w:lvl>
  </w:abstractNum>
  <w:abstractNum w:abstractNumId="54">
    <w:nsid w:val="25A70BF7"/>
    <w:multiLevelType w:val="hybridMultilevel"/>
    <w:lvl w:ilvl="0">
      <w:lvlJc w:val="left"/>
      <w:lvlText w:val="(%1)"/>
      <w:numFmt w:val="lowerLetter"/>
      <w:start w:val="1"/>
    </w:lvl>
    <w:lvl w:ilvl="1">
      <w:lvlJc w:val="left"/>
      <w:lvlText w:val="(%2)"/>
      <w:numFmt w:val="lowerRoman"/>
      <w:start w:val="1"/>
    </w:lvl>
  </w:abstractNum>
  <w:abstractNum w:abstractNumId="55">
    <w:nsid w:val="1DBABF00"/>
    <w:multiLevelType w:val="hybridMultilevel"/>
    <w:lvl w:ilvl="0">
      <w:lvlJc w:val="left"/>
      <w:lvlText w:val="(%1)"/>
      <w:numFmt w:val="lowerLetter"/>
      <w:start w:val="3"/>
    </w:lvl>
    <w:lvl w:ilvl="1">
      <w:lvlJc w:val="left"/>
      <w:lvlText w:val="(%2)"/>
      <w:numFmt w:val="lowerRoman"/>
      <w:start w:val="1"/>
    </w:lvl>
  </w:abstractNum>
  <w:abstractNum w:abstractNumId="56">
    <w:nsid w:val="4AD084E9"/>
    <w:multiLevelType w:val="hybridMultilevel"/>
    <w:lvl w:ilvl="0">
      <w:lvlJc w:val="left"/>
      <w:lvlText w:val="(%1)"/>
      <w:numFmt w:val="lowerLetter"/>
      <w:start w:val="4"/>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1)"/>
      <w:numFmt w:val="lowerLetter"/>
      <w:start w:val="4"/>
    </w:lvl>
    <w:lvl w:ilvl="1">
      <w:lvlJc w:val="left"/>
      <w:lvlText w:val="%2"/>
      <w:numFmt w:val="lowerLetter"/>
      <w:start w:val="1"/>
    </w:lvl>
  </w:abstractNum>
  <w:abstractNum w:abstractNumId="59">
    <w:nsid w:val="5DB70AE5"/>
    <w:multiLevelType w:val="hybridMultilevel"/>
    <w:lvl w:ilvl="0">
      <w:lvlJc w:val="left"/>
      <w:lvlText w:val="(%1)"/>
      <w:numFmt w:val="lowerLetter"/>
      <w:start w:val="4"/>
    </w:lvl>
    <w:lvl w:ilvl="1">
      <w:lvlJc w:val="left"/>
      <w:lvlText w:val="%2"/>
      <w:numFmt w:val="lowerLetter"/>
      <w:start w:val="1"/>
    </w:lvl>
  </w:abstractNum>
  <w:abstractNum w:abstractNumId="60">
    <w:nsid w:val="100F8FCA"/>
    <w:multiLevelType w:val="hybridMultilevel"/>
    <w:lvl w:ilvl="0">
      <w:lvlJc w:val="left"/>
      <w:lvlText w:val="(%1)"/>
      <w:numFmt w:val="lowerLetter"/>
      <w:start w:val="6"/>
    </w:lvl>
  </w:abstractNum>
  <w:abstractNum w:abstractNumId="61">
    <w:nsid w:val="6590700B"/>
    <w:multiLevelType w:val="hybridMultilevel"/>
    <w:lvl w:ilvl="0">
      <w:lvlJc w:val="left"/>
      <w:lvlText w:val="(%1)"/>
      <w:numFmt w:val="lowerLetter"/>
      <w:start w:val="7"/>
    </w:lvl>
  </w:abstractNum>
  <w:abstractNum w:abstractNumId="62">
    <w:nsid w:val="15014ACB"/>
    <w:multiLevelType w:val="hybridMultilevel"/>
    <w:lvl w:ilvl="0">
      <w:lvlJc w:val="left"/>
      <w:lvlText w:val="(%1)"/>
      <w:numFmt w:val="lowerLetter"/>
      <w:start w:val="1"/>
    </w:lvl>
    <w:lvl w:ilvl="1">
      <w:lvlJc w:val="left"/>
      <w:lvlText w:val="(%2)"/>
      <w:numFmt w:val="lowerLetter"/>
      <w:start w:val="9"/>
    </w:lvl>
  </w:abstractNum>
  <w:abstractNum w:abstractNumId="63">
    <w:nsid w:val="5F5E7FD0"/>
    <w:multiLevelType w:val="hybridMultilevel"/>
    <w:lvl w:ilvl="0">
      <w:lvlJc w:val="left"/>
      <w:lvlText w:val="%1"/>
      <w:numFmt w:val="lowerLetter"/>
      <w:start w:val="1"/>
    </w:lvl>
    <w:lvl w:ilvl="1">
      <w:lvlJc w:val="left"/>
      <w:lvlText w:val="(%2)"/>
      <w:numFmt w:val="lowerLetter"/>
      <w:start w:val="35"/>
    </w:lvl>
  </w:abstractNum>
  <w:abstractNum w:abstractNumId="64">
    <w:nsid w:val="98A3148"/>
    <w:multiLevelType w:val="hybridMultilevel"/>
    <w:lvl w:ilvl="0">
      <w:lvlJc w:val="left"/>
      <w:lvlText w:val="(%1)"/>
      <w:numFmt w:val="lowerLetter"/>
      <w:start w:val="4"/>
    </w:lvl>
    <w:lvl w:ilvl="1">
      <w:lvlJc w:val="left"/>
      <w:lvlText w:val="%2"/>
      <w:numFmt w:val="lowerLetter"/>
      <w:start w:val="1"/>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decimal"/>
      <w:start w:val="3"/>
    </w:lvl>
  </w:abstractNum>
  <w:abstractNum w:abstractNumId="67">
    <w:nsid w:val="42C296BD"/>
    <w:multiLevelType w:val="hybridMultilevel"/>
    <w:lvl w:ilvl="0">
      <w:lvlJc w:val="left"/>
      <w:lvlText w:val="(%1)"/>
      <w:numFmt w:val="lowerLetter"/>
      <w:start w:val="1"/>
    </w:lvl>
    <w:lvl w:ilvl="1">
      <w:lvlJc w:val="left"/>
      <w:lvlText w:val="%2."/>
      <w:numFmt w:val="lowerRoman"/>
      <w:start w:val="1"/>
    </w:lvl>
  </w:abstractNum>
  <w:abstractNum w:abstractNumId="68">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9">
    <w:nsid w:val="1EBA5D2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0">
    <w:nsid w:val="661E3F1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1">
    <w:nsid w:val="5DC79EA8"/>
    <w:multiLevelType w:val="hybridMultilevel"/>
    <w:lvl w:ilvl="0">
      <w:lvlJc w:val="left"/>
      <w:lvlText w:val="(%1)"/>
      <w:numFmt w:val="lowerLetter"/>
      <w:start w:val="4"/>
    </w:lvl>
  </w:abstractNum>
  <w:abstractNum w:abstractNumId="72">
    <w:nsid w:val="540A471C"/>
    <w:multiLevelType w:val="hybridMultilevel"/>
    <w:lvl w:ilvl="0">
      <w:lvlJc w:val="left"/>
      <w:lvlText w:val="(%1)"/>
      <w:numFmt w:val="lowerLetter"/>
      <w:start w:val="9"/>
    </w:lvl>
  </w:abstractNum>
  <w:abstractNum w:abstractNumId="73">
    <w:nsid w:val="7BD3EE7B"/>
    <w:multiLevelType w:val="hybridMultilevel"/>
    <w:lvl w:ilvl="0">
      <w:lvlJc w:val="left"/>
      <w:lvlText w:val="(%1)"/>
      <w:numFmt w:val="lowerLetter"/>
      <w:start w:val="13"/>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2022-05-05T05:43:00Z</dcterms:created>
  <dcterms:modified xsi:type="dcterms:W3CDTF">2022-05-05T05:43:00Z</dcterms:modified>
</cp:coreProperties>
</file>