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reported below in Item 5.07, on June 11, 2025, the shareholders of Green Thumb Industries Inc. (the “Company”) approved an amendment to the Company’s 2018 Share and Incentive Plan, as amended (the “Plan”), to increase the number of shares available to be granted thereunder from 10% of the number of the Company’s Subordinate Voting Shares outstanding as of the date of each grant, including the number of Subordinate Voting Shares issuable on conversion of the Company’s Super Voting Shares and Multiple Voting Shares, to 15% (the “Plan Amendment”). The Plan Amendment was included as Proposal No. 5 in the Company’s definitive proxy statement filed with the Securities and Exchange Commission on April 28, 2025 (the “Proxy Statement”). The Plan is described in more detail in the Proxy Statement.</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and the summary contained in the Proxy Statement do not purport to be complete and are qualified in their entirety by reference to the full text of the Plan, which is included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2025 Annual and Special Meeting of Shareholders of the Company held on June 11, 2025, the Company’s shareholders:</w:t>
      </w:r>
    </w:p>
    <w:p>
      <w:pPr>
        <w:spacing w:after="0" w:line="225"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of the Company at seven;</w:t>
      </w:r>
    </w:p>
    <w:p>
      <w:pPr>
        <w:spacing w:after="0" w:line="225" w:lineRule="exact"/>
        <w:rPr>
          <w:rFonts w:ascii="Times New Roman" w:cs="Times New Roman" w:eastAsia="Times New Roman" w:hAnsi="Times New Roman"/>
          <w:sz w:val="18"/>
          <w:szCs w:val="18"/>
          <w:color w:val="auto"/>
        </w:rPr>
      </w:pPr>
    </w:p>
    <w:p>
      <w:pPr>
        <w:ind w:left="760" w:right="180" w:hanging="752"/>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the seven director nominees named in the Company’s 2025 Proxy Statement to serve as directors until the Company’s 2026 annual general meeting of shareholders or the date on which they otherwise cease to hold office under the British Columbia Corporations Act or under the Company’s articles;</w:t>
      </w:r>
    </w:p>
    <w:p>
      <w:pPr>
        <w:spacing w:after="0" w:line="17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 as disclosed in the Proxy Statement;</w:t>
      </w:r>
    </w:p>
    <w:p>
      <w:pPr>
        <w:spacing w:after="0" w:line="225"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appointment of Baker Tilly US, LLP as auditors for the Company and authorized the Board to fix the auditors’ remuneration and terms of engagement; and</w:t>
      </w:r>
    </w:p>
    <w:p>
      <w:pPr>
        <w:spacing w:after="0" w:line="16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amendment of the Plan, as amended, to increase the number of shares available thereunder as described in the Proxy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1:</w:t>
            </w:r>
          </w:p>
        </w:tc>
        <w:tc>
          <w:tcPr>
            <w:tcW w:w="56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Setting the number of directors of the Company at seven:</w:t>
            </w: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2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314,736,273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12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830,409</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2:</w:t>
            </w:r>
          </w:p>
        </w:tc>
        <w:tc>
          <w:tcPr>
            <w:tcW w:w="3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Election of directors:</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Dawn Wilson Barnes</w:t>
            </w:r>
          </w:p>
        </w:tc>
        <w:tc>
          <w:tcPr>
            <w:tcW w:w="1600" w:type="dxa"/>
            <w:vAlign w:val="bottom"/>
          </w:tcPr>
          <w:p>
            <w:pPr>
              <w:spacing w:after="0"/>
              <w:rPr>
                <w:sz w:val="24"/>
                <w:szCs w:val="24"/>
                <w:color w:val="auto"/>
              </w:rPr>
            </w:pPr>
          </w:p>
        </w:tc>
        <w:tc>
          <w:tcPr>
            <w:tcW w:w="2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120" w:type="dxa"/>
            <w:vAlign w:val="bottom"/>
          </w:tcPr>
          <w:p>
            <w:pPr>
              <w:spacing w:after="0"/>
              <w:rPr>
                <w:sz w:val="24"/>
                <w:szCs w:val="24"/>
                <w:color w:val="auto"/>
              </w:rPr>
            </w:pPr>
          </w:p>
        </w:tc>
        <w:tc>
          <w:tcPr>
            <w:tcW w:w="30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40" w:type="dxa"/>
            <w:vAlign w:val="bottom"/>
            <w:gridSpan w:val="2"/>
            <w:vMerge w:val="continue"/>
          </w:tcPr>
          <w:p>
            <w:pPr>
              <w:spacing w:after="0"/>
              <w:rPr>
                <w:sz w:val="16"/>
                <w:szCs w:val="16"/>
                <w:color w:val="auto"/>
              </w:rPr>
            </w:pPr>
          </w:p>
        </w:tc>
        <w:tc>
          <w:tcPr>
            <w:tcW w:w="160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253,987,110</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8"/>
              </w:rPr>
              <w:t>10,734,076</w:t>
            </w:r>
          </w:p>
        </w:tc>
        <w:tc>
          <w:tcPr>
            <w:tcW w:w="120" w:type="dxa"/>
            <w:vAlign w:val="bottom"/>
          </w:tcPr>
          <w:p>
            <w:pPr>
              <w:spacing w:after="0"/>
              <w:rPr>
                <w:sz w:val="16"/>
                <w:szCs w:val="16"/>
                <w:color w:val="auto"/>
              </w:rPr>
            </w:pPr>
          </w:p>
        </w:tc>
        <w:tc>
          <w:tcPr>
            <w:tcW w:w="3000" w:type="dxa"/>
            <w:vAlign w:val="bottom"/>
            <w:tcBorders>
              <w:top w:val="single" w:sz="8" w:color="auto"/>
            </w:tcBorders>
          </w:tcPr>
          <w:p>
            <w:pPr>
              <w:jc w:val="center"/>
              <w:ind w:left="650"/>
              <w:spacing w:after="0" w:line="191" w:lineRule="exact"/>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Georgiadis</w:t>
            </w:r>
          </w:p>
        </w:tc>
        <w:tc>
          <w:tcPr>
            <w:tcW w:w="34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253,475,424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11,245,762</w:t>
            </w:r>
          </w:p>
        </w:tc>
        <w:tc>
          <w:tcPr>
            <w:tcW w:w="3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Goldman</w:t>
            </w:r>
          </w:p>
        </w:tc>
        <w:tc>
          <w:tcPr>
            <w:tcW w:w="34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250,963,096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13,758,090</w:t>
            </w:r>
          </w:p>
        </w:tc>
        <w:tc>
          <w:tcPr>
            <w:tcW w:w="3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Kovler</w:t>
            </w:r>
          </w:p>
        </w:tc>
        <w:tc>
          <w:tcPr>
            <w:tcW w:w="34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250,648,525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14,072,661</w:t>
            </w:r>
          </w:p>
        </w:tc>
        <w:tc>
          <w:tcPr>
            <w:tcW w:w="3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Ethan Nadelmann</w:t>
            </w:r>
          </w:p>
        </w:tc>
        <w:tc>
          <w:tcPr>
            <w:tcW w:w="34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253,535,553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11,185,633</w:t>
            </w:r>
          </w:p>
        </w:tc>
        <w:tc>
          <w:tcPr>
            <w:tcW w:w="3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Reisin</w:t>
            </w:r>
          </w:p>
        </w:tc>
        <w:tc>
          <w:tcPr>
            <w:tcW w:w="34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254,070,425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10,650,761</w:t>
            </w:r>
          </w:p>
        </w:tc>
        <w:tc>
          <w:tcPr>
            <w:tcW w:w="3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Hannah (Buchan) Ross</w:t>
            </w:r>
          </w:p>
        </w:tc>
        <w:tc>
          <w:tcPr>
            <w:tcW w:w="34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253,569,725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11,151,461</w:t>
            </w:r>
          </w:p>
        </w:tc>
        <w:tc>
          <w:tcPr>
            <w:tcW w:w="3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50,845,496</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440" w:right="320" w:hanging="2245"/>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Proposal No. 3:</w:t>
      </w:r>
      <w:r>
        <w:rPr>
          <w:sz w:val="20"/>
          <w:szCs w:val="20"/>
          <w:color w:val="auto"/>
        </w:rPr>
        <w:tab/>
      </w:r>
      <w:r>
        <w:rPr>
          <w:rFonts w:ascii="Times New Roman" w:cs="Times New Roman" w:eastAsia="Times New Roman" w:hAnsi="Times New Roman"/>
          <w:sz w:val="18"/>
          <w:szCs w:val="18"/>
          <w:color w:val="auto"/>
        </w:rPr>
        <w:t>The approval, on an advisory basis, of the compensation paid to the Company’s named executive officers, as disclosed in the Proxy Statement for the meeting: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 w:type="dxa"/>
            <w:vAlign w:val="bottom"/>
          </w:tcPr>
          <w:p>
            <w:pPr>
              <w:spacing w:after="0"/>
              <w:rPr>
                <w:sz w:val="20"/>
                <w:szCs w:val="20"/>
                <w:color w:val="auto"/>
              </w:rPr>
            </w:pP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0" w:type="dxa"/>
            <w:vAlign w:val="bottom"/>
          </w:tcPr>
          <w:p>
            <w:pPr>
              <w:spacing w:after="0"/>
              <w:rPr>
                <w:sz w:val="20"/>
                <w:szCs w:val="20"/>
                <w:color w:val="auto"/>
              </w:rPr>
            </w:pPr>
          </w:p>
        </w:tc>
        <w:tc>
          <w:tcPr>
            <w:tcW w:w="4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300" w:type="dxa"/>
            <w:vAlign w:val="bottom"/>
          </w:tcPr>
          <w:p>
            <w:pPr>
              <w:spacing w:after="0"/>
              <w:rPr>
                <w:sz w:val="19"/>
                <w:szCs w:val="19"/>
                <w:color w:val="auto"/>
              </w:rPr>
            </w:pPr>
          </w:p>
        </w:tc>
        <w:tc>
          <w:tcPr>
            <w:tcW w:w="20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245,811,655</w:t>
            </w:r>
          </w:p>
        </w:tc>
        <w:tc>
          <w:tcPr>
            <w:tcW w:w="160" w:type="dxa"/>
            <w:vAlign w:val="bottom"/>
          </w:tcPr>
          <w:p>
            <w:pPr>
              <w:spacing w:after="0"/>
              <w:rPr>
                <w:sz w:val="19"/>
                <w:szCs w:val="19"/>
                <w:color w:val="auto"/>
              </w:rPr>
            </w:pPr>
          </w:p>
        </w:tc>
        <w:tc>
          <w:tcPr>
            <w:tcW w:w="19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18,684,733</w:t>
            </w:r>
          </w:p>
        </w:tc>
        <w:tc>
          <w:tcPr>
            <w:tcW w:w="140" w:type="dxa"/>
            <w:vAlign w:val="bottom"/>
          </w:tcPr>
          <w:p>
            <w:pPr>
              <w:spacing w:after="0"/>
              <w:rPr>
                <w:sz w:val="19"/>
                <w:szCs w:val="19"/>
                <w:color w:val="auto"/>
              </w:rPr>
            </w:pPr>
          </w:p>
        </w:tc>
        <w:tc>
          <w:tcPr>
            <w:tcW w:w="18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224,798</w:t>
            </w:r>
          </w:p>
        </w:tc>
        <w:tc>
          <w:tcPr>
            <w:tcW w:w="160" w:type="dxa"/>
            <w:vAlign w:val="bottom"/>
          </w:tcPr>
          <w:p>
            <w:pPr>
              <w:spacing w:after="0"/>
              <w:rPr>
                <w:sz w:val="19"/>
                <w:szCs w:val="19"/>
                <w:color w:val="auto"/>
              </w:rPr>
            </w:pPr>
          </w:p>
        </w:tc>
        <w:tc>
          <w:tcPr>
            <w:tcW w:w="420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50,845,496</w:t>
            </w:r>
          </w:p>
        </w:tc>
        <w:tc>
          <w:tcPr>
            <w:tcW w:w="400" w:type="dxa"/>
            <w:vAlign w:val="bottom"/>
          </w:tcPr>
          <w:p>
            <w:pPr>
              <w:spacing w:after="0"/>
              <w:rPr>
                <w:sz w:val="19"/>
                <w:szCs w:val="19"/>
                <w:color w:val="auto"/>
              </w:rPr>
            </w:pPr>
          </w:p>
        </w:tc>
      </w:tr>
      <w:tr>
        <w:trPr>
          <w:trHeight w:val="1393"/>
        </w:trPr>
        <w:tc>
          <w:tcPr>
            <w:tcW w:w="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1440" w:right="100" w:hanging="2245"/>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Proposal No. 4:</w:t>
      </w:r>
      <w:r>
        <w:rPr>
          <w:sz w:val="20"/>
          <w:szCs w:val="20"/>
          <w:color w:val="auto"/>
        </w:rPr>
        <w:tab/>
      </w:r>
      <w:r>
        <w:rPr>
          <w:rFonts w:ascii="Times New Roman" w:cs="Times New Roman" w:eastAsia="Times New Roman" w:hAnsi="Times New Roman"/>
          <w:sz w:val="18"/>
          <w:szCs w:val="18"/>
          <w:color w:val="auto"/>
        </w:rPr>
        <w:t>The appointment of Baker Tilly US, LLP as auditors for the Company and authorization of the Board to fix the auditors’ remuneration and terms of engagement:</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0" w:type="dxa"/>
            <w:vAlign w:val="bottom"/>
          </w:tcPr>
          <w:p>
            <w:pPr>
              <w:spacing w:after="0"/>
              <w:rPr>
                <w:sz w:val="20"/>
                <w:szCs w:val="20"/>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228"/>
        </w:trPr>
        <w:tc>
          <w:tcPr>
            <w:tcW w:w="462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314,572,462</w:t>
            </w:r>
          </w:p>
        </w:tc>
        <w:tc>
          <w:tcPr>
            <w:tcW w:w="320" w:type="dxa"/>
            <w:vAlign w:val="bottom"/>
          </w:tcPr>
          <w:p>
            <w:pPr>
              <w:spacing w:after="0"/>
              <w:rPr>
                <w:sz w:val="19"/>
                <w:szCs w:val="19"/>
                <w:color w:val="auto"/>
              </w:rPr>
            </w:pPr>
          </w:p>
        </w:tc>
        <w:tc>
          <w:tcPr>
            <w:tcW w:w="532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994,220</w:t>
            </w:r>
          </w:p>
        </w:tc>
      </w:tr>
    </w:tbl>
    <w:p>
      <w:pPr>
        <w:spacing w:after="0" w:line="391" w:lineRule="exact"/>
        <w:rPr>
          <w:sz w:val="20"/>
          <w:szCs w:val="20"/>
          <w:color w:val="auto"/>
        </w:rPr>
      </w:pPr>
    </w:p>
    <w:p>
      <w:pPr>
        <w:ind w:left="1440" w:right="560" w:hanging="2245"/>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Proposal No. 5:</w:t>
      </w:r>
      <w:r>
        <w:rPr>
          <w:sz w:val="20"/>
          <w:szCs w:val="20"/>
          <w:color w:val="auto"/>
        </w:rPr>
        <w:tab/>
      </w:r>
      <w:r>
        <w:rPr>
          <w:rFonts w:ascii="Times New Roman" w:cs="Times New Roman" w:eastAsia="Times New Roman" w:hAnsi="Times New Roman"/>
          <w:sz w:val="18"/>
          <w:szCs w:val="18"/>
          <w:color w:val="auto"/>
        </w:rPr>
        <w:t>The approval of the amendment of the Company’s 2018 Share and Incentive Plan, as amended, to increase the number of shares available thereunder as described in the Company’s Proxy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 w:type="dxa"/>
            <w:vAlign w:val="bottom"/>
          </w:tcPr>
          <w:p>
            <w:pPr>
              <w:spacing w:after="0"/>
              <w:rPr>
                <w:sz w:val="20"/>
                <w:szCs w:val="20"/>
                <w:color w:val="auto"/>
              </w:rPr>
            </w:pP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 w:type="dxa"/>
            <w:vAlign w:val="bottom"/>
          </w:tcPr>
          <w:p>
            <w:pPr>
              <w:spacing w:after="0"/>
              <w:rPr>
                <w:sz w:val="20"/>
                <w:szCs w:val="20"/>
                <w:color w:val="auto"/>
              </w:rPr>
            </w:pPr>
          </w:p>
        </w:tc>
        <w:tc>
          <w:tcPr>
            <w:tcW w:w="276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8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300" w:type="dxa"/>
            <w:vAlign w:val="bottom"/>
          </w:tcPr>
          <w:p>
            <w:pPr>
              <w:spacing w:after="0"/>
              <w:rPr>
                <w:sz w:val="19"/>
                <w:szCs w:val="19"/>
                <w:color w:val="auto"/>
              </w:rPr>
            </w:pPr>
          </w:p>
        </w:tc>
        <w:tc>
          <w:tcPr>
            <w:tcW w:w="2120" w:type="dxa"/>
            <w:vAlign w:val="bottom"/>
            <w:tcBorders>
              <w:top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249,277,501</w:t>
            </w:r>
          </w:p>
        </w:tc>
        <w:tc>
          <w:tcPr>
            <w:tcW w:w="140" w:type="dxa"/>
            <w:vAlign w:val="bottom"/>
          </w:tcPr>
          <w:p>
            <w:pPr>
              <w:spacing w:after="0"/>
              <w:rPr>
                <w:sz w:val="19"/>
                <w:szCs w:val="19"/>
                <w:color w:val="auto"/>
              </w:rPr>
            </w:pPr>
          </w:p>
        </w:tc>
        <w:tc>
          <w:tcPr>
            <w:tcW w:w="19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15,275,802</w:t>
            </w:r>
          </w:p>
        </w:tc>
        <w:tc>
          <w:tcPr>
            <w:tcW w:w="160" w:type="dxa"/>
            <w:vAlign w:val="bottom"/>
          </w:tcPr>
          <w:p>
            <w:pPr>
              <w:spacing w:after="0"/>
              <w:rPr>
                <w:sz w:val="19"/>
                <w:szCs w:val="19"/>
                <w:color w:val="auto"/>
              </w:rPr>
            </w:pPr>
          </w:p>
        </w:tc>
        <w:tc>
          <w:tcPr>
            <w:tcW w:w="1840" w:type="dxa"/>
            <w:vAlign w:val="bottom"/>
            <w:tcBorders>
              <w:top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167,883</w:t>
            </w: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50,845,496</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522"/>
        </w:trPr>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9"/>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6"/>
        </w:trPr>
        <w:tc>
          <w:tcPr>
            <w:tcW w:w="10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9700" w:type="dxa"/>
            <w:vAlign w:val="bottom"/>
            <w:tcBorders>
              <w:top w:val="single" w:sz="8" w:color="auto"/>
              <w:bottom w:val="single" w:sz="8" w:color="0000FF"/>
            </w:tcBorders>
            <w:gridSpan w:val="11"/>
          </w:tcPr>
          <w:p>
            <w:pPr>
              <w:spacing w:after="0" w:line="17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Green Thumb Industries Inc. 2018 Share and Incentive Plan, as amended (incorporated by reference to Appendix B of the Company’s</w:t>
              </w:r>
            </w:hyperlink>
          </w:p>
        </w:tc>
        <w:tc>
          <w:tcPr>
            <w:tcW w:w="360" w:type="dxa"/>
            <w:vAlign w:val="bottom"/>
            <w:tcBorders>
              <w:top w:val="single" w:sz="8" w:color="auto"/>
            </w:tcBorders>
          </w:tcPr>
          <w:p>
            <w:pPr>
              <w:spacing w:after="0"/>
              <w:rPr>
                <w:sz w:val="15"/>
                <w:szCs w:val="15"/>
                <w:color w:val="auto"/>
              </w:rPr>
            </w:pPr>
          </w:p>
        </w:tc>
      </w:tr>
      <w:tr>
        <w:trPr>
          <w:trHeight w:val="196"/>
        </w:trPr>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Proxy Statement on Schedule 14A filed April 28, 2025)</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3"/>
          </w:tcPr>
          <w:p>
            <w:pPr>
              <w:spacing w:after="0"/>
              <w:rPr>
                <w:sz w:val="17"/>
                <w:szCs w:val="17"/>
                <w:color w:val="auto"/>
              </w:rPr>
            </w:pPr>
          </w:p>
        </w:tc>
        <w:tc>
          <w:tcPr>
            <w:tcW w:w="3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79"/>
        </w:trPr>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Bret Kravitz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 Kravitz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0" Type="http://schemas.openxmlformats.org/officeDocument/2006/relationships/hyperlink" Target="https://www.sec.gov/ix?doc=/Archives/edgar/data/1795139/000095017025058948/gtbif-202504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2025-06-12T15:42:30Z</dcterms:created>
  <dcterms:modified xsi:type="dcterms:W3CDTF">2025-06-12T15:42:30Z</dcterms:modified>
</cp:coreProperties>
</file>