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540" w:right="100" w:hanging="424"/>
        <w:spacing w:after="0" w:line="25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171450</wp:posOffset>
            </wp:positionV>
            <wp:extent cx="4603115" cy="92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03115" cy="925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000-56132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GREEN THUMB INDUSTRIES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5960" w:type="dxa"/>
            <w:vAlign w:val="bottom"/>
          </w:tcPr>
          <w:p>
            <w:pPr>
              <w:jc w:val="center"/>
              <w:ind w:right="3339"/>
              <w:spacing w:after="0"/>
              <w:rPr>
                <w:sz w:val="20"/>
                <w:szCs w:val="20"/>
                <w:color w:val="auto"/>
              </w:rPr>
            </w:pPr>
            <w:r>
              <w:rPr>
                <w:rFonts w:ascii="Arial" w:cs="Arial" w:eastAsia="Arial" w:hAnsi="Arial"/>
                <w:sz w:val="18"/>
                <w:szCs w:val="18"/>
                <w:b w:val="1"/>
                <w:bCs w:val="1"/>
                <w:color w:val="auto"/>
                <w:w w:val="93"/>
              </w:rPr>
              <w:t>British Columbia</w:t>
            </w:r>
          </w:p>
        </w:tc>
        <w:tc>
          <w:tcPr>
            <w:tcW w:w="1420" w:type="dxa"/>
            <w:vAlign w:val="bottom"/>
          </w:tcPr>
          <w:p>
            <w:pPr>
              <w:jc w:val="right"/>
              <w:ind w:right="21"/>
              <w:spacing w:after="0"/>
              <w:rPr>
                <w:sz w:val="20"/>
                <w:szCs w:val="20"/>
                <w:color w:val="auto"/>
              </w:rPr>
            </w:pPr>
            <w:r>
              <w:rPr>
                <w:rFonts w:ascii="Arial" w:cs="Arial" w:eastAsia="Arial" w:hAnsi="Arial"/>
                <w:sz w:val="18"/>
                <w:szCs w:val="18"/>
                <w:b w:val="1"/>
                <w:bCs w:val="1"/>
                <w:color w:val="auto"/>
              </w:rPr>
              <w:t>98-1437430</w:t>
            </w:r>
          </w:p>
        </w:tc>
      </w:tr>
      <w:tr>
        <w:trPr>
          <w:trHeight w:val="148"/>
        </w:trPr>
        <w:tc>
          <w:tcPr>
            <w:tcW w:w="5960" w:type="dxa"/>
            <w:vAlign w:val="bottom"/>
          </w:tcPr>
          <w:p>
            <w:pPr>
              <w:jc w:val="center"/>
              <w:ind w:right="33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2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5960" w:type="dxa"/>
            <w:vAlign w:val="bottom"/>
          </w:tcPr>
          <w:p>
            <w:pPr>
              <w:jc w:val="center"/>
              <w:ind w:right="3319"/>
              <w:spacing w:after="0"/>
              <w:rPr>
                <w:sz w:val="20"/>
                <w:szCs w:val="20"/>
                <w:color w:val="auto"/>
              </w:rPr>
            </w:pPr>
            <w:r>
              <w:rPr>
                <w:rFonts w:ascii="Arial" w:cs="Arial" w:eastAsia="Arial" w:hAnsi="Arial"/>
                <w:sz w:val="14"/>
                <w:szCs w:val="14"/>
                <w:b w:val="1"/>
                <w:bCs w:val="1"/>
                <w:color w:val="auto"/>
                <w:w w:val="94"/>
              </w:rPr>
              <w:t>incorporation or organization)</w:t>
            </w:r>
          </w:p>
        </w:tc>
        <w:tc>
          <w:tcPr>
            <w:tcW w:w="1420" w:type="dxa"/>
            <w:vAlign w:val="bottom"/>
          </w:tcPr>
          <w:p>
            <w:pPr>
              <w:jc w:val="center"/>
              <w:ind w:left="261"/>
              <w:spacing w:after="0"/>
              <w:rPr>
                <w:sz w:val="20"/>
                <w:szCs w:val="20"/>
                <w:color w:val="auto"/>
              </w:rPr>
            </w:pPr>
            <w:r>
              <w:rPr>
                <w:rFonts w:ascii="Arial" w:cs="Arial" w:eastAsia="Arial" w:hAnsi="Arial"/>
                <w:sz w:val="14"/>
                <w:szCs w:val="14"/>
                <w:b w:val="1"/>
                <w:bCs w:val="1"/>
                <w:color w:val="auto"/>
                <w:w w:val="92"/>
              </w:rPr>
              <w:t>identification no.)</w:t>
            </w:r>
          </w:p>
        </w:tc>
      </w:tr>
      <w:tr>
        <w:trPr>
          <w:trHeight w:val="412"/>
        </w:trPr>
        <w:tc>
          <w:tcPr>
            <w:tcW w:w="5960" w:type="dxa"/>
            <w:vAlign w:val="bottom"/>
          </w:tcPr>
          <w:p>
            <w:pPr>
              <w:jc w:val="center"/>
              <w:ind w:right="3339"/>
              <w:spacing w:after="0"/>
              <w:rPr>
                <w:sz w:val="20"/>
                <w:szCs w:val="20"/>
                <w:color w:val="auto"/>
              </w:rPr>
            </w:pPr>
            <w:r>
              <w:rPr>
                <w:rFonts w:ascii="Arial" w:cs="Arial" w:eastAsia="Arial" w:hAnsi="Arial"/>
                <w:sz w:val="18"/>
                <w:szCs w:val="18"/>
                <w:b w:val="1"/>
                <w:bCs w:val="1"/>
                <w:color w:val="auto"/>
                <w:w w:val="90"/>
              </w:rPr>
              <w:t>325 West Huron Street, Suite 412</w:t>
            </w:r>
          </w:p>
        </w:tc>
        <w:tc>
          <w:tcPr>
            <w:tcW w:w="1420" w:type="dxa"/>
            <w:vAlign w:val="bottom"/>
          </w:tcPr>
          <w:p>
            <w:pPr>
              <w:spacing w:after="0"/>
              <w:rPr>
                <w:sz w:val="24"/>
                <w:szCs w:val="24"/>
                <w:color w:val="auto"/>
              </w:rPr>
            </w:pPr>
          </w:p>
        </w:tc>
      </w:tr>
      <w:tr>
        <w:trPr>
          <w:trHeight w:val="225"/>
        </w:trPr>
        <w:tc>
          <w:tcPr>
            <w:tcW w:w="5960" w:type="dxa"/>
            <w:vAlign w:val="bottom"/>
          </w:tcPr>
          <w:p>
            <w:pPr>
              <w:jc w:val="center"/>
              <w:ind w:right="3319"/>
              <w:spacing w:after="0"/>
              <w:rPr>
                <w:sz w:val="20"/>
                <w:szCs w:val="20"/>
                <w:color w:val="auto"/>
              </w:rPr>
            </w:pPr>
            <w:r>
              <w:rPr>
                <w:rFonts w:ascii="Arial" w:cs="Arial" w:eastAsia="Arial" w:hAnsi="Arial"/>
                <w:sz w:val="18"/>
                <w:szCs w:val="18"/>
                <w:b w:val="1"/>
                <w:bCs w:val="1"/>
                <w:color w:val="auto"/>
                <w:w w:val="89"/>
              </w:rPr>
              <w:t>Chicago, Illinois</w:t>
            </w:r>
          </w:p>
        </w:tc>
        <w:tc>
          <w:tcPr>
            <w:tcW w:w="1420" w:type="dxa"/>
            <w:vAlign w:val="bottom"/>
          </w:tcPr>
          <w:p>
            <w:pPr>
              <w:jc w:val="right"/>
              <w:ind w:right="241"/>
              <w:spacing w:after="0"/>
              <w:rPr>
                <w:sz w:val="20"/>
                <w:szCs w:val="20"/>
                <w:color w:val="auto"/>
              </w:rPr>
            </w:pPr>
            <w:r>
              <w:rPr>
                <w:rFonts w:ascii="Arial" w:cs="Arial" w:eastAsia="Arial" w:hAnsi="Arial"/>
                <w:sz w:val="18"/>
                <w:szCs w:val="18"/>
                <w:b w:val="1"/>
                <w:bCs w:val="1"/>
                <w:color w:val="auto"/>
              </w:rPr>
              <w:t>60654</w:t>
            </w:r>
          </w:p>
        </w:tc>
      </w:tr>
      <w:tr>
        <w:trPr>
          <w:trHeight w:val="186"/>
        </w:trPr>
        <w:tc>
          <w:tcPr>
            <w:tcW w:w="5960" w:type="dxa"/>
            <w:vAlign w:val="bottom"/>
          </w:tcPr>
          <w:p>
            <w:pPr>
              <w:jc w:val="center"/>
              <w:ind w:right="33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20" w:type="dxa"/>
            <w:vAlign w:val="bottom"/>
          </w:tcPr>
          <w:p>
            <w:pPr>
              <w:jc w:val="center"/>
              <w:ind w:left="261"/>
              <w:spacing w:after="0"/>
              <w:rPr>
                <w:sz w:val="20"/>
                <w:szCs w:val="20"/>
                <w:color w:val="auto"/>
              </w:rPr>
            </w:pPr>
            <w:r>
              <w:rPr>
                <w:rFonts w:ascii="Arial" w:cs="Arial" w:eastAsia="Arial" w:hAnsi="Arial"/>
                <w:sz w:val="14"/>
                <w:szCs w:val="14"/>
                <w:b w:val="1"/>
                <w:bCs w:val="1"/>
                <w:color w:val="auto"/>
                <w:w w:val="91"/>
              </w:rPr>
              <w:t>(zip code)</w:t>
            </w:r>
          </w:p>
        </w:tc>
      </w:tr>
      <w:tr>
        <w:trPr>
          <w:trHeight w:val="394"/>
        </w:trPr>
        <w:tc>
          <w:tcPr>
            <w:tcW w:w="5960" w:type="dxa"/>
            <w:vAlign w:val="bottom"/>
          </w:tcPr>
          <w:p>
            <w:pPr>
              <w:jc w:val="right"/>
              <w:ind w:right="1319"/>
              <w:spacing w:after="0"/>
              <w:rPr>
                <w:sz w:val="20"/>
                <w:szCs w:val="20"/>
                <w:color w:val="auto"/>
              </w:rPr>
            </w:pPr>
            <w:r>
              <w:rPr>
                <w:rFonts w:ascii="Arial" w:cs="Arial" w:eastAsia="Arial" w:hAnsi="Arial"/>
                <w:sz w:val="18"/>
                <w:szCs w:val="18"/>
                <w:b w:val="1"/>
                <w:bCs w:val="1"/>
                <w:color w:val="auto"/>
              </w:rPr>
              <w:t>(312) 471-6720</w:t>
            </w:r>
          </w:p>
        </w:tc>
        <w:tc>
          <w:tcPr>
            <w:tcW w:w="1420" w:type="dxa"/>
            <w:vAlign w:val="bottom"/>
          </w:tcPr>
          <w:p>
            <w:pPr>
              <w:spacing w:after="0"/>
              <w:rPr>
                <w:sz w:val="24"/>
                <w:szCs w:val="24"/>
                <w:color w:val="auto"/>
              </w:rPr>
            </w:pPr>
          </w:p>
        </w:tc>
      </w:tr>
      <w:tr>
        <w:trPr>
          <w:trHeight w:val="186"/>
        </w:trPr>
        <w:tc>
          <w:tcPr>
            <w:tcW w:w="5960" w:type="dxa"/>
            <w:vAlign w:val="bottom"/>
          </w:tcPr>
          <w:p>
            <w:pPr>
              <w:jc w:val="center"/>
              <w:ind w:left="195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20" w:type="dxa"/>
            <w:vAlign w:val="bottom"/>
          </w:tcPr>
          <w:p>
            <w:pPr>
              <w:spacing w:after="0"/>
              <w:rPr>
                <w:sz w:val="16"/>
                <w:szCs w:val="16"/>
                <w:color w:val="auto"/>
              </w:rPr>
            </w:pPr>
          </w:p>
        </w:tc>
      </w:tr>
    </w:tbl>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Subordinate Voting Shares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Multiple Voting Shares</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Super Voting Shares</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vMerge w:val="restart"/>
          </w:tcPr>
          <w:p>
            <w:pPr>
              <w:spacing w:after="0"/>
              <w:rPr>
                <w:sz w:val="13"/>
                <w:szCs w:val="13"/>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exchange</w:t>
            </w:r>
          </w:p>
        </w:tc>
        <w:tc>
          <w:tcPr>
            <w:tcW w:w="0" w:type="dxa"/>
            <w:vAlign w:val="bottom"/>
          </w:tcPr>
          <w:p>
            <w:pPr>
              <w:spacing w:after="0"/>
              <w:rPr>
                <w:sz w:val="1"/>
                <w:szCs w:val="1"/>
                <w:color w:val="auto"/>
              </w:rPr>
            </w:pPr>
          </w:p>
        </w:tc>
      </w:tr>
      <w:tr>
        <w:trPr>
          <w:trHeight w:val="185"/>
        </w:trPr>
        <w:tc>
          <w:tcPr>
            <w:tcW w:w="38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52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Symbol</w:t>
            </w:r>
          </w:p>
        </w:tc>
        <w:tc>
          <w:tcPr>
            <w:tcW w:w="100" w:type="dxa"/>
            <w:vAlign w:val="bottom"/>
          </w:tcPr>
          <w:p>
            <w:pPr>
              <w:spacing w:after="0"/>
              <w:rPr>
                <w:sz w:val="16"/>
                <w:szCs w:val="16"/>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4"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12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left="120" w:right="22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140"/>
          </w:cols>
          <w:pgMar w:left="320" w:top="230" w:right="439" w:bottom="0" w:gutter="0" w:footer="0" w:header="0"/>
        </w:sectPr>
      </w:pPr>
    </w:p>
    <w:bookmarkStart w:id="1" w:name="page2"/>
    <w:bookmarkEnd w:id="1"/>
    <w:p>
      <w:pPr>
        <w:jc w:val="both"/>
        <w:ind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10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440"/>
        <w:spacing w:after="0" w:line="207" w:lineRule="exact"/>
        <w:tabs>
          <w:tab w:leader="none" w:pos="8000" w:val="left"/>
          <w:tab w:leader="none" w:pos="87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As of August 11, 2020, there were 160,218,568 shares of the registrant’s Subordinate Voting Shares, 12,218,400 shares of the registrant’s Multiple Voting Shares (on an as converted basis) and 37,933,600 shares of the registrant’s Super Voting Shares (on an as converted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139065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5"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480" w:type="dxa"/>
            <w:vAlign w:val="bottom"/>
            <w:gridSpan w:val="2"/>
          </w:tcPr>
          <w:p>
            <w:pPr>
              <w:spacing w:after="0"/>
              <w:rPr>
                <w:sz w:val="20"/>
                <w:szCs w:val="20"/>
                <w:color w:val="auto"/>
              </w:rPr>
            </w:pPr>
            <w:r>
              <w:rPr>
                <w:rFonts w:ascii="Arial" w:cs="Arial" w:eastAsia="Arial" w:hAnsi="Arial"/>
                <w:sz w:val="14"/>
                <w:szCs w:val="14"/>
                <w:b w:val="1"/>
                <w:bCs w:val="1"/>
                <w:color w:val="auto"/>
              </w:rPr>
              <w:t>FINANCIAL INFORMATION</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4"/>
        </w:trPr>
        <w:tc>
          <w:tcPr>
            <w:tcW w:w="900" w:type="dxa"/>
            <w:vAlign w:val="bottom"/>
          </w:tcPr>
          <w:p>
            <w:pPr>
              <w:spacing w:after="0"/>
              <w:rPr>
                <w:sz w:val="20"/>
                <w:szCs w:val="20"/>
                <w:color w:val="auto"/>
              </w:rPr>
            </w:pPr>
          </w:p>
        </w:tc>
        <w:tc>
          <w:tcPr>
            <w:tcW w:w="9580" w:type="dxa"/>
            <w:vAlign w:val="bottom"/>
          </w:tcPr>
          <w:p>
            <w:pPr>
              <w:ind w:left="4340"/>
              <w:spacing w:after="0"/>
              <w:rPr>
                <w:sz w:val="20"/>
                <w:szCs w:val="20"/>
                <w:color w:val="auto"/>
              </w:rPr>
            </w:pPr>
            <w:r>
              <w:rPr>
                <w:rFonts w:ascii="Arial" w:cs="Arial" w:eastAsia="Arial" w:hAnsi="Arial"/>
                <w:sz w:val="18"/>
                <w:szCs w:val="18"/>
                <w:b w:val="1"/>
                <w:bCs w:val="1"/>
                <w:color w:val="auto"/>
              </w:rPr>
              <w:t>Part I</w:t>
            </w:r>
          </w:p>
        </w:tc>
        <w:tc>
          <w:tcPr>
            <w:tcW w:w="480" w:type="dxa"/>
            <w:vAlign w:val="bottom"/>
          </w:tcPr>
          <w:p>
            <w:pPr>
              <w:spacing w:after="0"/>
              <w:rPr>
                <w:sz w:val="20"/>
                <w:szCs w:val="20"/>
                <w:color w:val="auto"/>
              </w:rPr>
            </w:pPr>
          </w:p>
        </w:tc>
      </w:tr>
      <w:tr>
        <w:trPr>
          <w:trHeight w:val="324"/>
        </w:trPr>
        <w:tc>
          <w:tcPr>
            <w:tcW w:w="9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580" w:type="dxa"/>
            <w:vAlign w:val="bottom"/>
          </w:tcPr>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Interim Condensed Consolidated Balance Sheets as of June 30,2020 and December 31,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900" w:type="dxa"/>
            <w:vAlign w:val="bottom"/>
          </w:tcPr>
          <w:p>
            <w:pPr>
              <w:spacing w:after="0"/>
              <w:rPr>
                <w:sz w:val="24"/>
                <w:szCs w:val="24"/>
                <w:color w:val="auto"/>
              </w:rPr>
            </w:pPr>
          </w:p>
        </w:tc>
        <w:tc>
          <w:tcPr>
            <w:tcW w:w="9580" w:type="dxa"/>
            <w:vAlign w:val="bottom"/>
          </w:tcPr>
          <w:p>
            <w:pPr>
              <w:ind w:left="60"/>
              <w:spacing w:after="0"/>
              <w:rPr>
                <w:rFonts w:ascii="Arial" w:cs="Arial" w:eastAsia="Arial" w:hAnsi="Arial"/>
                <w:sz w:val="18"/>
                <w:szCs w:val="18"/>
                <w:u w:val="single" w:color="auto"/>
                <w:color w:val="0000EE"/>
                <w:w w:val="91"/>
              </w:rPr>
            </w:pPr>
            <w:hyperlink w:anchor="page6">
              <w:r>
                <w:rPr>
                  <w:rFonts w:ascii="Arial" w:cs="Arial" w:eastAsia="Arial" w:hAnsi="Arial"/>
                  <w:sz w:val="18"/>
                  <w:szCs w:val="18"/>
                  <w:u w:val="single" w:color="auto"/>
                  <w:color w:val="0000EE"/>
                  <w:w w:val="91"/>
                </w:rPr>
                <w:t>Unaudited Interim Condensed Consolidated Statements of Operations for the three and six months ended June 30, 2020 and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900" w:type="dxa"/>
            <w:vAlign w:val="bottom"/>
          </w:tcPr>
          <w:p>
            <w:pPr>
              <w:spacing w:after="0"/>
              <w:rPr>
                <w:sz w:val="24"/>
                <w:szCs w:val="24"/>
                <w:color w:val="auto"/>
              </w:rPr>
            </w:pPr>
          </w:p>
        </w:tc>
        <w:tc>
          <w:tcPr>
            <w:tcW w:w="9580" w:type="dxa"/>
            <w:vAlign w:val="bottom"/>
          </w:tcPr>
          <w:p>
            <w:pPr>
              <w:ind w:left="60"/>
              <w:spacing w:after="0"/>
              <w:rPr>
                <w:rFonts w:ascii="Arial" w:cs="Arial" w:eastAsia="Arial" w:hAnsi="Arial"/>
                <w:sz w:val="18"/>
                <w:szCs w:val="18"/>
                <w:u w:val="single" w:color="auto"/>
                <w:color w:val="0000EE"/>
                <w:w w:val="91"/>
              </w:rPr>
            </w:pPr>
            <w:hyperlink w:anchor="page7">
              <w:r>
                <w:rPr>
                  <w:rFonts w:ascii="Arial" w:cs="Arial" w:eastAsia="Arial" w:hAnsi="Arial"/>
                  <w:sz w:val="18"/>
                  <w:szCs w:val="18"/>
                  <w:u w:val="single" w:color="auto"/>
                  <w:color w:val="0000EE"/>
                  <w:w w:val="91"/>
                </w:rPr>
                <w:t>Unaudited Interim Condensed Consolidated Statements of Shareholders’ Equity for the six months ended June 30, 2020 and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900" w:type="dxa"/>
            <w:vAlign w:val="bottom"/>
          </w:tcPr>
          <w:p>
            <w:pPr>
              <w:spacing w:after="0"/>
              <w:rPr>
                <w:sz w:val="24"/>
                <w:szCs w:val="24"/>
                <w:color w:val="auto"/>
              </w:rPr>
            </w:pPr>
          </w:p>
        </w:tc>
        <w:tc>
          <w:tcPr>
            <w:tcW w:w="9580" w:type="dxa"/>
            <w:vAlign w:val="bottom"/>
          </w:tcPr>
          <w:p>
            <w:pPr>
              <w:ind w:left="60"/>
              <w:spacing w:after="0"/>
              <w:rPr>
                <w:rFonts w:ascii="Arial" w:cs="Arial" w:eastAsia="Arial" w:hAnsi="Arial"/>
                <w:sz w:val="18"/>
                <w:szCs w:val="18"/>
                <w:u w:val="single" w:color="auto"/>
                <w:color w:val="0000EE"/>
                <w:w w:val="98"/>
              </w:rPr>
            </w:pPr>
            <w:hyperlink w:anchor="page8">
              <w:r>
                <w:rPr>
                  <w:rFonts w:ascii="Arial" w:cs="Arial" w:eastAsia="Arial" w:hAnsi="Arial"/>
                  <w:sz w:val="18"/>
                  <w:szCs w:val="18"/>
                  <w:u w:val="single" w:color="auto"/>
                  <w:color w:val="0000EE"/>
                  <w:w w:val="98"/>
                </w:rPr>
                <w:t>Unaudited Interim Condensed Consolidated Statements of Cash Flows for the six months ended June 30, 2020 and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900" w:type="dxa"/>
            <w:vAlign w:val="bottom"/>
          </w:tcPr>
          <w:p>
            <w:pPr>
              <w:spacing w:after="0"/>
              <w:rPr>
                <w:sz w:val="24"/>
                <w:szCs w:val="24"/>
                <w:color w:val="auto"/>
              </w:rPr>
            </w:pPr>
          </w:p>
        </w:tc>
        <w:tc>
          <w:tcPr>
            <w:tcW w:w="9580" w:type="dxa"/>
            <w:vAlign w:val="bottom"/>
          </w:tcPr>
          <w:p>
            <w:pPr>
              <w:ind w:left="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Unaudited Interim Condensed Consolidated 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9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580" w:type="dxa"/>
            <w:vAlign w:val="bottom"/>
          </w:tcPr>
          <w:p>
            <w:pPr>
              <w:ind w:left="6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9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580" w:type="dxa"/>
            <w:vAlign w:val="bottom"/>
          </w:tcPr>
          <w:p>
            <w:pPr>
              <w:ind w:left="6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Quantitative and Qualitative Disclosure About Market Risk</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9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580" w:type="dxa"/>
            <w:vAlign w:val="bottom"/>
          </w:tcPr>
          <w:p>
            <w:pPr>
              <w:ind w:left="6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Controls and Procedures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00" w:type="dxa"/>
            <w:vAlign w:val="bottom"/>
          </w:tcPr>
          <w:p>
            <w:pPr>
              <w:spacing w:after="0"/>
              <w:rPr>
                <w:sz w:val="24"/>
                <w:szCs w:val="24"/>
                <w:color w:val="auto"/>
              </w:rPr>
            </w:pPr>
          </w:p>
        </w:tc>
        <w:tc>
          <w:tcPr>
            <w:tcW w:w="9580" w:type="dxa"/>
            <w:vAlign w:val="bottom"/>
          </w:tcPr>
          <w:p>
            <w:pPr>
              <w:ind w:left="4320"/>
              <w:spacing w:after="0"/>
              <w:rPr>
                <w:sz w:val="20"/>
                <w:szCs w:val="20"/>
                <w:color w:val="auto"/>
              </w:rPr>
            </w:pPr>
            <w:r>
              <w:rPr>
                <w:rFonts w:ascii="Arial" w:cs="Arial" w:eastAsia="Arial" w:hAnsi="Arial"/>
                <w:sz w:val="18"/>
                <w:szCs w:val="18"/>
                <w:b w:val="1"/>
                <w:bCs w:val="1"/>
                <w:color w:val="auto"/>
              </w:rPr>
              <w:t>Part II</w:t>
            </w:r>
          </w:p>
        </w:tc>
        <w:tc>
          <w:tcPr>
            <w:tcW w:w="480" w:type="dxa"/>
            <w:vAlign w:val="bottom"/>
          </w:tcPr>
          <w:p>
            <w:pPr>
              <w:spacing w:after="0"/>
              <w:rPr>
                <w:sz w:val="24"/>
                <w:szCs w:val="24"/>
                <w:color w:val="auto"/>
              </w:rPr>
            </w:pPr>
          </w:p>
        </w:tc>
      </w:tr>
      <w:tr>
        <w:trPr>
          <w:trHeight w:val="324"/>
        </w:trPr>
        <w:tc>
          <w:tcPr>
            <w:tcW w:w="10480" w:type="dxa"/>
            <w:vAlign w:val="bottom"/>
            <w:gridSpan w:val="2"/>
          </w:tcPr>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OTHER INFORMATION</w:t>
              </w:r>
            </w:hyperlink>
          </w:p>
        </w:tc>
        <w:tc>
          <w:tcPr>
            <w:tcW w:w="480" w:type="dxa"/>
            <w:vAlign w:val="bottom"/>
          </w:tcPr>
          <w:p>
            <w:pPr>
              <w:spacing w:after="0"/>
              <w:rPr>
                <w:sz w:val="24"/>
                <w:szCs w:val="24"/>
                <w:color w:val="auto"/>
              </w:rPr>
            </w:pPr>
          </w:p>
        </w:tc>
      </w:tr>
      <w:tr>
        <w:trPr>
          <w:trHeight w:val="324"/>
        </w:trPr>
        <w:tc>
          <w:tcPr>
            <w:tcW w:w="9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580" w:type="dxa"/>
            <w:vAlign w:val="bottom"/>
          </w:tcPr>
          <w:p>
            <w:pPr>
              <w:ind w:left="6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90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580" w:type="dxa"/>
            <w:vAlign w:val="bottom"/>
          </w:tcPr>
          <w:p>
            <w:pPr>
              <w:ind w:left="6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Risk Factors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9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580" w:type="dxa"/>
            <w:vAlign w:val="bottom"/>
          </w:tcPr>
          <w:p>
            <w:pPr>
              <w:ind w:left="6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Mine Safety Disclosure</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580" w:type="dxa"/>
            <w:vAlign w:val="bottom"/>
          </w:tcPr>
          <w:p>
            <w:pPr>
              <w:ind w:left="6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Exhibits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900" w:type="dxa"/>
            <w:vAlign w:val="bottom"/>
          </w:tcPr>
          <w:p>
            <w:pPr>
              <w:spacing w:after="0"/>
              <w:rPr>
                <w:rFonts w:ascii="Arial" w:cs="Arial" w:eastAsia="Arial" w:hAnsi="Arial"/>
                <w:sz w:val="18"/>
                <w:szCs w:val="18"/>
                <w:b w:val="1"/>
                <w:bCs w:val="1"/>
                <w:u w:val="single" w:color="auto"/>
                <w:color w:val="0000EE"/>
                <w:w w:val="94"/>
              </w:rPr>
            </w:pPr>
            <w:hyperlink w:anchor="page45">
              <w:r>
                <w:rPr>
                  <w:rFonts w:ascii="Arial" w:cs="Arial" w:eastAsia="Arial" w:hAnsi="Arial"/>
                  <w:sz w:val="18"/>
                  <w:szCs w:val="18"/>
                  <w:b w:val="1"/>
                  <w:bCs w:val="1"/>
                  <w:u w:val="single" w:color="auto"/>
                  <w:color w:val="0000EE"/>
                  <w:w w:val="94"/>
                </w:rPr>
                <w:t>Signatures</w:t>
              </w:r>
            </w:hyperlink>
          </w:p>
        </w:tc>
        <w:tc>
          <w:tcPr>
            <w:tcW w:w="95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Names</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In this Interim Report on Form 10-Q, unless the context otherwise requires, the terms “we,” “us,” “our,” “Company,” “Corporation” or “Green Thumb” refer to Green Thumb Industries Inc. together with its wholly-owned subsidiaries.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Currency</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Unless otherwise indicated, all references to “$” or “US$” in this document refer to United States dollars, and all references to “C$” refer to Canadian dollars.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21"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i w:val="1"/>
          <w:iCs w:val="1"/>
          <w:color w:val="auto"/>
        </w:rPr>
        <w:t>This Quarterly Report on Form 10-Q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“project,” “anticipate,” “believe,” “plan,” “forecast,” “continue” or “could” or the negative of these terms or variations of them or similar terms. Furthermore, forward-looking statements may be included in various filings that we make with the Securities and Exchange Commission (the “SEC”),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These known and unknown risks include, without limitation: marijuana remains illegal under federal law, and enforcement of cannabis laws could change; the Company may face limitations on ownership of cannabis licenses; the Company may become subject to regulation by the U.S. Food and Drug Administration or the U.S. Bureau of Alcohol, Tobacco and Firearms; the Company may face difficulties obtaining additional financing; the Company operates in a highly regulated sector and may not always succeed in complying fully with applicable regulatory requirements in all jurisdictions where we carry on business; the Company is subject to general economic risks; the Company may be negatively impacted by challenging global economic conditions; the Company is subject to risks arising from epidemic diseases, such as the recent outbreak of the COVID-19 illness; the Company may face difficulties in enforcing its contracts; the Company is subject to taxation in Canada and the United States; cannabis businesses are subject to unfavorable tax treatment; cannabis businesses may be subject to civil asset forfeiture; the Company is subject to proceeds of crime statutes; the Company faces security risks; our use of joint ventures may expose us to risks associated with jointly owned investments; competition for the acquisition and leasing of properties suitable for the cultivation, production and sale of medical and adult use cannabis may impede our ability to make acquisitions or increase the cost of these acquisitions, which could adversely affect our operating results and financial condition; the Company faces risks related to its products; the Company is dependent on the popularity of consumer acceptance of the Company’s brand portfolio; the Company faces risks related to its insurance coverage and uninsurable risks; the Company is dependent on key inputs, suppliers and skilled labor; the Company must attract and maintain key personnel or our business will fail; the Company’s business is subject to the risks inherent in agricultural operations; the Company’s sales are difficult to forecast; the Company’s products may be subject to product recalls; the Company may face unfavorable publicity or consumer perception; the Company faces intense competition; the Company’s voting control is concentrated; the Company’s capital structure and voting control may cause unpredictability; and additional issuances of Super Voting Shares, Multiple Voting Shares or Subordinate Voting Shares may result in dilution. Further information on these and other potential factors that could affect the Company’s business and financial condition and the results of operations are included in the “Risk Factors” section of the Company’s Annual Report on Form 10-K for the year ended December 31, 2019, and elsewhere in the Company’s filings with the SEC, which are available on the SEC’s website or at https://investors.gtigrows.com.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Interim Condensed Consolidated Balance Sheets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 of June 30, 2020 and December 31,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 Except for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3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71"/>
        </w:trPr>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230"/>
              <w:spacing w:after="0" w:line="142" w:lineRule="exact"/>
              <w:rPr>
                <w:sz w:val="20"/>
                <w:szCs w:val="20"/>
                <w:color w:val="auto"/>
              </w:rPr>
            </w:pPr>
            <w:r>
              <w:rPr>
                <w:rFonts w:ascii="Arial" w:cs="Arial" w:eastAsia="Arial" w:hAnsi="Arial"/>
                <w:sz w:val="14"/>
                <w:szCs w:val="14"/>
                <w:b w:val="1"/>
                <w:bCs w:val="1"/>
                <w:color w:val="auto"/>
              </w:rPr>
              <w:t>(Audited)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74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82,942,672</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46,667,334</w:t>
            </w:r>
          </w:p>
        </w:tc>
        <w:tc>
          <w:tcPr>
            <w:tcW w:w="0" w:type="dxa"/>
            <w:vAlign w:val="bottom"/>
          </w:tcPr>
          <w:p>
            <w:pPr>
              <w:spacing w:after="0"/>
              <w:rPr>
                <w:sz w:val="1"/>
                <w:szCs w:val="1"/>
                <w:color w:val="auto"/>
              </w:rPr>
            </w:pPr>
          </w:p>
        </w:tc>
      </w:tr>
      <w:tr>
        <w:trPr>
          <w:trHeight w:val="216"/>
        </w:trPr>
        <w:tc>
          <w:tcPr>
            <w:tcW w:w="82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9,746,890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7,530,253</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53,984,696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46,034,481</w:t>
            </w:r>
          </w:p>
        </w:tc>
        <w:tc>
          <w:tcPr>
            <w:tcW w:w="0" w:type="dxa"/>
            <w:vAlign w:val="bottom"/>
          </w:tcPr>
          <w:p>
            <w:pPr>
              <w:spacing w:after="0"/>
              <w:rPr>
                <w:sz w:val="1"/>
                <w:szCs w:val="1"/>
                <w:color w:val="auto"/>
              </w:rPr>
            </w:pPr>
          </w:p>
        </w:tc>
      </w:tr>
      <w:tr>
        <w:trPr>
          <w:trHeight w:val="216"/>
        </w:trPr>
        <w:tc>
          <w:tcPr>
            <w:tcW w:w="824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4,280,885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6,780,657</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1,691,437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2,049,886</w:t>
            </w:r>
          </w:p>
        </w:tc>
        <w:tc>
          <w:tcPr>
            <w:tcW w:w="0" w:type="dxa"/>
            <w:vAlign w:val="bottom"/>
          </w:tcPr>
          <w:p>
            <w:pPr>
              <w:spacing w:after="0"/>
              <w:rPr>
                <w:sz w:val="1"/>
                <w:szCs w:val="1"/>
                <w:color w:val="auto"/>
              </w:rPr>
            </w:pPr>
          </w:p>
        </w:tc>
      </w:tr>
      <w:tr>
        <w:trPr>
          <w:trHeight w:val="223"/>
        </w:trPr>
        <w:tc>
          <w:tcPr>
            <w:tcW w:w="82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152,646,580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109,062,611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166,967,394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155,596,675</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Right of Use Assets,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101,612,443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63,647,812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14,051,786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14,068,821</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Investment in Associate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10,900,000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10,350,000</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815,937</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419,186,807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435,246,898</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373,081,716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375,084,991</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2,274,403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3,662,879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1,240,721,129</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1,167,536,624</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2120"/>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11,920,686</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8,745,821</w:t>
            </w:r>
          </w:p>
        </w:tc>
        <w:tc>
          <w:tcPr>
            <w:tcW w:w="0" w:type="dxa"/>
            <w:vAlign w:val="bottom"/>
          </w:tcPr>
          <w:p>
            <w:pPr>
              <w:spacing w:after="0"/>
              <w:rPr>
                <w:sz w:val="1"/>
                <w:szCs w:val="1"/>
                <w:color w:val="auto"/>
              </w:rPr>
            </w:pPr>
          </w:p>
        </w:tc>
      </w:tr>
      <w:tr>
        <w:trPr>
          <w:trHeight w:val="216"/>
        </w:trPr>
        <w:tc>
          <w:tcPr>
            <w:tcW w:w="824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44,447,365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37,184,406</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Notes Payable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266,825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206,675</w:t>
            </w:r>
          </w:p>
        </w:tc>
        <w:tc>
          <w:tcPr>
            <w:tcW w:w="0" w:type="dxa"/>
            <w:vAlign w:val="bottom"/>
          </w:tcPr>
          <w:p>
            <w:pPr>
              <w:spacing w:after="0"/>
              <w:rPr>
                <w:sz w:val="1"/>
                <w:szCs w:val="1"/>
                <w:color w:val="auto"/>
              </w:rPr>
            </w:pPr>
          </w:p>
        </w:tc>
      </w:tr>
      <w:tr>
        <w:trPr>
          <w:trHeight w:val="216"/>
        </w:trPr>
        <w:tc>
          <w:tcPr>
            <w:tcW w:w="8240" w:type="dxa"/>
            <w:vAlign w:val="bottom"/>
          </w:tcPr>
          <w:p>
            <w:pPr>
              <w:ind w:left="360"/>
              <w:spacing w:after="0"/>
              <w:rPr>
                <w:sz w:val="20"/>
                <w:szCs w:val="20"/>
                <w:color w:val="auto"/>
              </w:rPr>
            </w:pPr>
            <w:r>
              <w:rPr>
                <w:rFonts w:ascii="Arial" w:cs="Arial" w:eastAsia="Arial" w:hAnsi="Arial"/>
                <w:sz w:val="18"/>
                <w:szCs w:val="18"/>
                <w:color w:val="auto"/>
              </w:rPr>
              <w:t>Current Portion of Lease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3,988,489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3,833,268</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Liability for Acquisition of Noncontrolling Interest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5,500,000</w:t>
            </w:r>
          </w:p>
        </w:tc>
        <w:tc>
          <w:tcPr>
            <w:tcW w:w="0" w:type="dxa"/>
            <w:vAlign w:val="bottom"/>
          </w:tcPr>
          <w:p>
            <w:pPr>
              <w:spacing w:after="0"/>
              <w:rPr>
                <w:sz w:val="1"/>
                <w:szCs w:val="1"/>
                <w:color w:val="auto"/>
              </w:rPr>
            </w:pPr>
          </w:p>
        </w:tc>
      </w:tr>
      <w:tr>
        <w:trPr>
          <w:trHeight w:val="216"/>
        </w:trPr>
        <w:tc>
          <w:tcPr>
            <w:tcW w:w="8240" w:type="dxa"/>
            <w:vAlign w:val="bottom"/>
          </w:tcPr>
          <w:p>
            <w:pPr>
              <w:ind w:left="360"/>
              <w:spacing w:after="0"/>
              <w:rPr>
                <w:sz w:val="20"/>
                <w:szCs w:val="20"/>
                <w:color w:val="auto"/>
              </w:rPr>
            </w:pPr>
            <w:r>
              <w:rPr>
                <w:rFonts w:ascii="Arial" w:cs="Arial" w:eastAsia="Arial" w:hAnsi="Arial"/>
                <w:sz w:val="18"/>
                <w:szCs w:val="18"/>
                <w:color w:val="auto"/>
              </w:rPr>
              <w:t>Contingent Consideration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27,542,989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50,391,181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34,078,640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5,505,904</w:t>
            </w:r>
          </w:p>
        </w:tc>
        <w:tc>
          <w:tcPr>
            <w:tcW w:w="0" w:type="dxa"/>
            <w:vAlign w:val="bottom"/>
          </w:tcPr>
          <w:p>
            <w:pPr>
              <w:spacing w:after="0"/>
              <w:rPr>
                <w:sz w:val="1"/>
                <w:szCs w:val="1"/>
                <w:color w:val="auto"/>
              </w:rPr>
            </w:pPr>
          </w:p>
        </w:tc>
      </w:tr>
      <w:tr>
        <w:trPr>
          <w:trHeight w:val="223"/>
        </w:trPr>
        <w:tc>
          <w:tcPr>
            <w:tcW w:w="82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133,444,994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111,367,255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360"/>
              <w:spacing w:after="0"/>
              <w:rPr>
                <w:sz w:val="20"/>
                <w:szCs w:val="20"/>
                <w:color w:val="auto"/>
              </w:rPr>
            </w:pPr>
            <w:r>
              <w:rPr>
                <w:rFonts w:ascii="Arial" w:cs="Arial" w:eastAsia="Arial" w:hAnsi="Arial"/>
                <w:sz w:val="18"/>
                <w:szCs w:val="18"/>
                <w:color w:val="auto"/>
              </w:rPr>
              <w:t>Lease Liabilities, Net of Current Portion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103,427,201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61,115,737</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Net of Current Portion and Debt Discount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94,938,332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91,140,194</w:t>
            </w:r>
          </w:p>
        </w:tc>
        <w:tc>
          <w:tcPr>
            <w:tcW w:w="0" w:type="dxa"/>
            <w:vAlign w:val="bottom"/>
          </w:tcPr>
          <w:p>
            <w:pPr>
              <w:spacing w:after="0"/>
              <w:rPr>
                <w:sz w:val="1"/>
                <w:szCs w:val="1"/>
                <w:color w:val="auto"/>
              </w:rPr>
            </w:pPr>
          </w:p>
        </w:tc>
      </w:tr>
      <w:tr>
        <w:trPr>
          <w:trHeight w:val="216"/>
        </w:trPr>
        <w:tc>
          <w:tcPr>
            <w:tcW w:w="8240" w:type="dxa"/>
            <w:vAlign w:val="bottom"/>
          </w:tcPr>
          <w:p>
            <w:pPr>
              <w:ind w:left="360"/>
              <w:spacing w:after="0"/>
              <w:rPr>
                <w:sz w:val="20"/>
                <w:szCs w:val="20"/>
                <w:color w:val="auto"/>
              </w:rPr>
            </w:pPr>
            <w:r>
              <w:rPr>
                <w:rFonts w:ascii="Arial" w:cs="Arial" w:eastAsia="Arial" w:hAnsi="Arial"/>
                <w:sz w:val="18"/>
                <w:szCs w:val="18"/>
                <w:color w:val="auto"/>
              </w:rPr>
              <w:t>Contingent Consideration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8,985,735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8,545,558</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15,331,887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15,879,843</w:t>
            </w:r>
          </w:p>
        </w:tc>
        <w:tc>
          <w:tcPr>
            <w:tcW w:w="0" w:type="dxa"/>
            <w:vAlign w:val="bottom"/>
          </w:tcPr>
          <w:p>
            <w:pPr>
              <w:spacing w:after="0"/>
              <w:rPr>
                <w:sz w:val="1"/>
                <w:szCs w:val="1"/>
                <w:color w:val="auto"/>
              </w:rPr>
            </w:pPr>
          </w:p>
        </w:tc>
      </w:tr>
      <w:tr>
        <w:trPr>
          <w:trHeight w:val="223"/>
        </w:trPr>
        <w:tc>
          <w:tcPr>
            <w:tcW w:w="824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33,194,661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36,279,361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389,322,810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324,327,948</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 HOLDERS’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240" w:type="dxa"/>
            <w:vAlign w:val="bottom"/>
          </w:tcPr>
          <w:p>
            <w:pPr>
              <w:spacing w:after="0" w:line="201" w:lineRule="exact"/>
              <w:rPr>
                <w:sz w:val="20"/>
                <w:szCs w:val="20"/>
                <w:color w:val="auto"/>
              </w:rPr>
            </w:pPr>
            <w:r>
              <w:rPr>
                <w:rFonts w:ascii="Arial" w:cs="Arial" w:eastAsia="Arial" w:hAnsi="Arial"/>
                <w:sz w:val="18"/>
                <w:szCs w:val="18"/>
                <w:color w:val="auto"/>
              </w:rPr>
              <w:t>Subordinate Voting Shares (Shares Authorized, Issued and Outstanding at June 30, 2020: Unlimited,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180"/>
              <w:spacing w:after="0"/>
              <w:rPr>
                <w:sz w:val="20"/>
                <w:szCs w:val="20"/>
                <w:color w:val="auto"/>
              </w:rPr>
            </w:pPr>
            <w:r>
              <w:rPr>
                <w:rFonts w:ascii="Arial" w:cs="Arial" w:eastAsia="Arial" w:hAnsi="Arial"/>
                <w:sz w:val="18"/>
                <w:szCs w:val="18"/>
                <w:color w:val="auto"/>
                <w:w w:val="92"/>
              </w:rPr>
              <w:t>158,517,401 and 158,517,401, respectively, at December 31, 2019: Unlimited, 128,999,964 and 128,999,964,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Multiple Voting Shares (Shares Authorized, Issued and Outstanding at June 30, 2020: Unlimited, 126,712 and</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126,712, respectively, at December 31, 2019: Unlimited, 373,350 and 373,350, respectively)</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240" w:type="dxa"/>
            <w:vAlign w:val="bottom"/>
          </w:tcPr>
          <w:p>
            <w:pPr>
              <w:spacing w:after="0" w:line="201" w:lineRule="exact"/>
              <w:rPr>
                <w:sz w:val="20"/>
                <w:szCs w:val="20"/>
                <w:color w:val="auto"/>
              </w:rPr>
            </w:pPr>
            <w:r>
              <w:rPr>
                <w:rFonts w:ascii="Arial" w:cs="Arial" w:eastAsia="Arial" w:hAnsi="Arial"/>
                <w:sz w:val="18"/>
                <w:szCs w:val="18"/>
                <w:color w:val="auto"/>
                <w:w w:val="95"/>
              </w:rPr>
              <w:t>Super Voting Shares (Shares Authorized, Issued and Outstanding at June 30, 2020: Unlimited, 388,336 and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388,336, respectively, at December 31, 2019: Unlimited, 402,289 and 402,289, respectively)</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Capital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1,004,812,062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980,638,701</w:t>
            </w:r>
          </w:p>
        </w:tc>
        <w:tc>
          <w:tcPr>
            <w:tcW w:w="0" w:type="dxa"/>
            <w:vAlign w:val="bottom"/>
          </w:tcPr>
          <w:p>
            <w:pPr>
              <w:spacing w:after="0"/>
              <w:rPr>
                <w:sz w:val="1"/>
                <w:szCs w:val="1"/>
                <w:color w:val="auto"/>
              </w:rPr>
            </w:pPr>
          </w:p>
        </w:tc>
      </w:tr>
      <w:tr>
        <w:trPr>
          <w:trHeight w:val="216"/>
        </w:trPr>
        <w:tc>
          <w:tcPr>
            <w:tcW w:w="8240" w:type="dxa"/>
            <w:vAlign w:val="bottom"/>
          </w:tcPr>
          <w:p>
            <w:pPr>
              <w:ind w:left="360"/>
              <w:spacing w:after="0"/>
              <w:rPr>
                <w:sz w:val="20"/>
                <w:szCs w:val="20"/>
                <w:color w:val="auto"/>
              </w:rPr>
            </w:pPr>
            <w:r>
              <w:rPr>
                <w:rFonts w:ascii="Arial" w:cs="Arial" w:eastAsia="Arial" w:hAnsi="Arial"/>
                <w:sz w:val="18"/>
                <w:szCs w:val="18"/>
                <w:color w:val="auto"/>
              </w:rPr>
              <w:t>Contributed Surplus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6,545,712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3,960,854</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Share Issuances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15,280,000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16,587,798</w:t>
            </w:r>
          </w:p>
        </w:tc>
        <w:tc>
          <w:tcPr>
            <w:tcW w:w="0" w:type="dxa"/>
            <w:vAlign w:val="bottom"/>
          </w:tcPr>
          <w:p>
            <w:pPr>
              <w:spacing w:after="0"/>
              <w:rPr>
                <w:sz w:val="1"/>
                <w:szCs w:val="1"/>
                <w:color w:val="auto"/>
              </w:rPr>
            </w:pPr>
          </w:p>
        </w:tc>
      </w:tr>
      <w:tr>
        <w:trPr>
          <w:trHeight w:val="223"/>
        </w:trPr>
        <w:tc>
          <w:tcPr>
            <w:tcW w:w="824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(177,607,359)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(160,491,590)</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Equity of Green Thumb Industries Inc.</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849,030,415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840,695,763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2,367,904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2,512,913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851,398,319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843,208,676</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1,240,721,129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1,167,536,624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196850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Interim Condensed Consolidated Statements of Operations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Three and Six Months Ended June 30, 2020 and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6"/>
              </w:rPr>
              <w:t>Three Months Ended June 30,</w:t>
            </w:r>
          </w:p>
        </w:tc>
        <w:tc>
          <w:tcPr>
            <w:tcW w:w="100" w:type="dxa"/>
            <w:vAlign w:val="bottom"/>
          </w:tcPr>
          <w:p>
            <w:pPr>
              <w:spacing w:after="0"/>
              <w:rPr>
                <w:sz w:val="14"/>
                <w:szCs w:val="14"/>
                <w:color w:val="auto"/>
              </w:rPr>
            </w:pPr>
          </w:p>
        </w:tc>
        <w:tc>
          <w:tcPr>
            <w:tcW w:w="23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119,639,924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44,726,777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222,242,526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72,639,940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Cost of Goods Sold, net</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(55,946,010)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(23,223,025)</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(105,561,198)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(38,346,967)</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63,693,914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21,503,752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116,681,328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34,292,973</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49,643,211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30,830,482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95,077,968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57,249,363</w:t>
            </w:r>
          </w:p>
        </w:tc>
        <w:tc>
          <w:tcPr>
            <w:tcW w:w="0" w:type="dxa"/>
            <w:vAlign w:val="bottom"/>
          </w:tcPr>
          <w:p>
            <w:pPr>
              <w:spacing w:after="0"/>
              <w:rPr>
                <w:sz w:val="1"/>
                <w:szCs w:val="1"/>
                <w:color w:val="auto"/>
              </w:rPr>
            </w:pPr>
          </w:p>
        </w:tc>
      </w:tr>
      <w:tr>
        <w:trPr>
          <w:trHeight w:val="230"/>
        </w:trPr>
        <w:tc>
          <w:tcPr>
            <w:tcW w:w="6120" w:type="dxa"/>
            <w:vAlign w:val="bottom"/>
          </w:tcPr>
          <w:p>
            <w:pPr>
              <w:ind w:left="720"/>
              <w:spacing w:after="0"/>
              <w:rPr>
                <w:sz w:val="20"/>
                <w:szCs w:val="20"/>
                <w:color w:val="auto"/>
              </w:rPr>
            </w:pPr>
            <w:r>
              <w:rPr>
                <w:rFonts w:ascii="Arial" w:cs="Arial" w:eastAsia="Arial" w:hAnsi="Arial"/>
                <w:sz w:val="18"/>
                <w:szCs w:val="18"/>
                <w:b w:val="1"/>
                <w:bCs w:val="1"/>
                <w:color w:val="auto"/>
              </w:rPr>
              <w:t>Total Expenses</w:t>
            </w: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49,643,211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30,830,482</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95,077,968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57,249,363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14,050,703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(9,326,730)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21,603,360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(22,956,390)</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(5,717,427)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(6,640,546)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1,068,683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(1,383,893)</w:t>
            </w: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Interest Income, net</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16,410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535,894</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104,525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892,724</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(4,734,908)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(5,398,054)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(9,776,350)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(5,849,932)</w:t>
            </w:r>
          </w:p>
        </w:tc>
        <w:tc>
          <w:tcPr>
            <w:tcW w:w="0" w:type="dxa"/>
            <w:vAlign w:val="bottom"/>
          </w:tcPr>
          <w:p>
            <w:pPr>
              <w:spacing w:after="0"/>
              <w:rPr>
                <w:sz w:val="1"/>
                <w:szCs w:val="1"/>
                <w:color w:val="auto"/>
              </w:rPr>
            </w:pPr>
          </w:p>
        </w:tc>
      </w:tr>
      <w:tr>
        <w:trPr>
          <w:trHeight w:val="230"/>
        </w:trPr>
        <w:tc>
          <w:tcPr>
            <w:tcW w:w="6120" w:type="dxa"/>
            <w:vAlign w:val="bottom"/>
          </w:tcPr>
          <w:p>
            <w:pPr>
              <w:ind w:left="720"/>
              <w:spacing w:after="0"/>
              <w:rPr>
                <w:sz w:val="20"/>
                <w:szCs w:val="20"/>
                <w:color w:val="auto"/>
              </w:rPr>
            </w:pPr>
            <w:r>
              <w:rPr>
                <w:rFonts w:ascii="Arial" w:cs="Arial" w:eastAsia="Arial" w:hAnsi="Arial"/>
                <w:sz w:val="18"/>
                <w:szCs w:val="18"/>
                <w:b w:val="1"/>
                <w:bCs w:val="1"/>
                <w:color w:val="auto"/>
              </w:rPr>
              <w:t>Total Other Income (Expense)</w:t>
            </w: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(10,435,925)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(11,502,706)</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(8,603,142)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(6,341,101)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1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Income (Loss) Before Provision for Income Taxes And Non-Controlling</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Interest</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3,614,778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(20,829,436)</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13,000,218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(29,297,491)</w:t>
            </w: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b w:val="1"/>
                <w:bCs w:val="1"/>
                <w:color w:val="auto"/>
              </w:rPr>
              <w:t>Provision For Income Taxes</w:t>
            </w: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15,378,715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(154,333)</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28,527,715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1,081,667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Before Non-Controlling Interest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(11,763,937)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(20,675,103)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(15,527,497)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(30,379,158)</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b w:val="1"/>
                <w:bCs w:val="1"/>
                <w:color w:val="auto"/>
              </w:rPr>
              <w:t>Net Income Attributable to Non-Controlling Interest</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1,145,568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216,946</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1,588,272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75,947</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Green Thumb Industries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(12,909,505)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(20,892,049)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(17,115,769)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(30,455,105)</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outstanding—basic and diluted</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209,902,732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182,261,947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209,185,544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174,758,602</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196850</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Interim Condensed Consolidated Statements of Changes in Shareholders’ Equity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8"/>
              </w:rPr>
              <w:t>Shares to Be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right"/>
              <w:ind w:right="221"/>
              <w:spacing w:after="0"/>
              <w:rPr>
                <w:sz w:val="20"/>
                <w:szCs w:val="20"/>
                <w:color w:val="auto"/>
              </w:rPr>
            </w:pPr>
            <w:r>
              <w:rPr>
                <w:rFonts w:ascii="Arial" w:cs="Arial" w:eastAsia="Arial" w:hAnsi="Arial"/>
                <w:sz w:val="14"/>
                <w:szCs w:val="14"/>
                <w:b w:val="1"/>
                <w:bCs w:val="1"/>
                <w:color w:val="auto"/>
                <w:w w:val="95"/>
              </w:rPr>
              <w:t>Contributed</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Deferred</w:t>
            </w:r>
          </w:p>
        </w:tc>
        <w:tc>
          <w:tcPr>
            <w:tcW w:w="1240" w:type="dxa"/>
            <w:vAlign w:val="bottom"/>
            <w:gridSpan w:val="2"/>
          </w:tcPr>
          <w:p>
            <w:pPr>
              <w:jc w:val="center"/>
              <w:ind w:right="61"/>
              <w:spacing w:after="0"/>
              <w:rPr>
                <w:sz w:val="20"/>
                <w:szCs w:val="20"/>
                <w:color w:val="auto"/>
              </w:rPr>
            </w:pPr>
            <w:r>
              <w:rPr>
                <w:rFonts w:ascii="Arial" w:cs="Arial" w:eastAsia="Arial" w:hAnsi="Arial"/>
                <w:sz w:val="14"/>
                <w:szCs w:val="14"/>
                <w:b w:val="1"/>
                <w:bCs w:val="1"/>
                <w:color w:val="auto"/>
                <w:w w:val="93"/>
              </w:rPr>
              <w:t>Accumulated</w:t>
            </w:r>
          </w:p>
        </w:tc>
        <w:tc>
          <w:tcPr>
            <w:tcW w:w="12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Non-Controlling</w:t>
            </w: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Share Capital</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40" w:type="dxa"/>
            <w:vAlign w:val="bottom"/>
            <w:gridSpan w:val="2"/>
          </w:tcPr>
          <w:p>
            <w:pPr>
              <w:jc w:val="center"/>
              <w:ind w:right="41"/>
              <w:spacing w:after="0" w:line="149" w:lineRule="exact"/>
              <w:rPr>
                <w:sz w:val="20"/>
                <w:szCs w:val="20"/>
                <w:color w:val="auto"/>
              </w:rPr>
            </w:pPr>
            <w:r>
              <w:rPr>
                <w:rFonts w:ascii="Arial" w:cs="Arial" w:eastAsia="Arial" w:hAnsi="Arial"/>
                <w:sz w:val="14"/>
                <w:szCs w:val="14"/>
                <w:b w:val="1"/>
                <w:bCs w:val="1"/>
                <w:color w:val="auto"/>
                <w:w w:val="93"/>
              </w:rPr>
              <w:t>Earnings</w:t>
            </w:r>
          </w:p>
        </w:tc>
        <w:tc>
          <w:tcPr>
            <w:tcW w:w="122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Issued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rPr>
              <w:t>Surplus</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Share Issuance</w:t>
            </w:r>
          </w:p>
        </w:tc>
        <w:tc>
          <w:tcPr>
            <w:tcW w:w="1240" w:type="dxa"/>
            <w:vAlign w:val="bottom"/>
            <w:gridSpan w:val="2"/>
          </w:tcPr>
          <w:p>
            <w:pPr>
              <w:jc w:val="center"/>
              <w:ind w:right="61"/>
              <w:spacing w:after="0"/>
              <w:rPr>
                <w:sz w:val="20"/>
                <w:szCs w:val="20"/>
                <w:color w:val="auto"/>
              </w:rPr>
            </w:pPr>
            <w:r>
              <w:rPr>
                <w:rFonts w:ascii="Arial" w:cs="Arial" w:eastAsia="Arial" w:hAnsi="Arial"/>
                <w:sz w:val="14"/>
                <w:szCs w:val="14"/>
                <w:b w:val="1"/>
                <w:bCs w:val="1"/>
                <w:color w:val="auto"/>
                <w:w w:val="95"/>
              </w:rPr>
              <w:t>(Deficit)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321"/>
              <w:spacing w:after="0"/>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January 1, 2019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397,590,465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27,773,234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14,202,659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(100,876,937)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3,497,459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$ 342,186,880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 xml:space="preserve">Adoption of ASC 842, </w:t>
            </w:r>
            <w:r>
              <w:rPr>
                <w:rFonts w:ascii="Arial" w:cs="Arial" w:eastAsia="Arial" w:hAnsi="Arial"/>
                <w:sz w:val="18"/>
                <w:szCs w:val="18"/>
                <w:i w:val="1"/>
                <w:iCs w:val="1"/>
                <w:color w:val="auto"/>
              </w:rPr>
              <w:t>Leases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
              <w:spacing w:after="0"/>
              <w:rPr>
                <w:sz w:val="20"/>
                <w:szCs w:val="20"/>
                <w:color w:val="auto"/>
              </w:rPr>
            </w:pPr>
            <w:r>
              <w:rPr>
                <w:rFonts w:ascii="Arial" w:cs="Arial" w:eastAsia="Arial" w:hAnsi="Arial"/>
                <w:sz w:val="18"/>
                <w:szCs w:val="18"/>
                <w:color w:val="auto"/>
              </w:rPr>
              <w:t>(498,246)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(498,246)</w:t>
            </w:r>
          </w:p>
        </w:tc>
        <w:tc>
          <w:tcPr>
            <w:tcW w:w="0" w:type="dxa"/>
            <w:vAlign w:val="bottom"/>
          </w:tcPr>
          <w:p>
            <w:pPr>
              <w:spacing w:after="0"/>
              <w:rPr>
                <w:sz w:val="1"/>
                <w:szCs w:val="1"/>
                <w:color w:val="auto"/>
              </w:rPr>
            </w:pP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Noncontrolling interests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 for change 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ownership</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27,773,234</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(27,773,234)</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4,200,382</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4,200,382</w:t>
            </w:r>
          </w:p>
        </w:tc>
        <w:tc>
          <w:tcPr>
            <w:tcW w:w="0" w:type="dxa"/>
            <w:vAlign w:val="bottom"/>
          </w:tcPr>
          <w:p>
            <w:pPr>
              <w:spacing w:after="0"/>
              <w:rPr>
                <w:sz w:val="1"/>
                <w:szCs w:val="1"/>
                <w:color w:val="auto"/>
              </w:rPr>
            </w:pP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color w:val="auto"/>
              </w:rPr>
              <w:t>Contributions from limited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180"/>
              <w:spacing w:after="0"/>
              <w:rPr>
                <w:sz w:val="20"/>
                <w:szCs w:val="20"/>
                <w:color w:val="auto"/>
              </w:rPr>
            </w:pPr>
            <w:r>
              <w:rPr>
                <w:rFonts w:ascii="Arial" w:cs="Arial" w:eastAsia="Arial" w:hAnsi="Arial"/>
                <w:sz w:val="18"/>
                <w:szCs w:val="18"/>
                <w:color w:val="auto"/>
                <w:w w:val="99"/>
              </w:rPr>
              <w:t>liability company unit holders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1,650,000</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1,650,000</w:t>
            </w:r>
          </w:p>
        </w:tc>
        <w:tc>
          <w:tcPr>
            <w:tcW w:w="0" w:type="dxa"/>
            <w:vAlign w:val="bottom"/>
          </w:tcPr>
          <w:p>
            <w:pPr>
              <w:spacing w:after="0"/>
              <w:rPr>
                <w:sz w:val="1"/>
                <w:szCs w:val="1"/>
                <w:color w:val="auto"/>
              </w:rPr>
            </w:pP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shares under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business combinations and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495,483,427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0"/>
              </w:rPr>
              <w:t>(23,813,481)</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471,669,946</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w w:val="96"/>
              </w:rPr>
              <w:t>Reciprocal derivative instrument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w w:val="99"/>
              </w:rPr>
              <w:t>(4,526,401)</w:t>
            </w:r>
          </w:p>
        </w:tc>
        <w:tc>
          <w:tcPr>
            <w:tcW w:w="1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(4,526,401)</w:t>
            </w:r>
          </w:p>
        </w:tc>
        <w:tc>
          <w:tcPr>
            <w:tcW w:w="0" w:type="dxa"/>
            <w:vAlign w:val="bottom"/>
          </w:tcPr>
          <w:p>
            <w:pPr>
              <w:spacing w:after="0"/>
              <w:rPr>
                <w:sz w:val="1"/>
                <w:szCs w:val="1"/>
                <w:color w:val="auto"/>
              </w:rPr>
            </w:pP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shares for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of noncontrolling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29,889,374</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9"/>
              </w:rPr>
              <w:t>(4,820,527)</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25,068,847</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Deferred share issuances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16,587,798</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16,587,798</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9,759,988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9,759,988</w:t>
            </w:r>
          </w:p>
        </w:tc>
        <w:tc>
          <w:tcPr>
            <w:tcW w:w="0" w:type="dxa"/>
            <w:vAlign w:val="bottom"/>
          </w:tcPr>
          <w:p>
            <w:pPr>
              <w:spacing w:after="0"/>
              <w:rPr>
                <w:sz w:val="1"/>
                <w:szCs w:val="1"/>
                <w:color w:val="auto"/>
              </w:rPr>
            </w:pP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color w:val="auto"/>
              </w:rPr>
              <w:t>Distributions to limited liability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180"/>
              <w:spacing w:after="0"/>
              <w:rPr>
                <w:sz w:val="20"/>
                <w:szCs w:val="20"/>
                <w:color w:val="auto"/>
              </w:rPr>
            </w:pPr>
            <w:r>
              <w:rPr>
                <w:rFonts w:ascii="Arial" w:cs="Arial" w:eastAsia="Arial" w:hAnsi="Arial"/>
                <w:sz w:val="18"/>
                <w:szCs w:val="18"/>
                <w:color w:val="auto"/>
              </w:rPr>
              <w:t>company unit holders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w w:val="95"/>
              </w:rPr>
              <w:t>(5,616,061)</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(5,616,061)</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(30,455,105)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75,947</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(30,379,158)</w:t>
            </w:r>
          </w:p>
        </w:tc>
        <w:tc>
          <w:tcPr>
            <w:tcW w:w="0" w:type="dxa"/>
            <w:vAlign w:val="bottom"/>
          </w:tcPr>
          <w:p>
            <w:pPr>
              <w:spacing w:after="0"/>
              <w:rPr>
                <w:sz w:val="1"/>
                <w:szCs w:val="1"/>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b w:val="1"/>
                <w:bCs w:val="1"/>
                <w:color w:val="auto"/>
              </w:rPr>
              <w:t>Balance, June 30, 2019</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950,736,500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(4,997,380</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16,587,798</w:t>
            </w:r>
          </w:p>
        </w:tc>
        <w:tc>
          <w:tcPr>
            <w:tcW w:w="2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 (131,830,288</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(392,655</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$ 830,103,975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January 1, 2020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980,638,701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3,960,854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16,587,798</w:t>
            </w: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9"/>
              </w:rPr>
              <w:t>$ (160,491,590)</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2,512,913</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3"/>
              </w:rPr>
              <w:t>$ 843,208,676</w:t>
            </w:r>
          </w:p>
        </w:tc>
        <w:tc>
          <w:tcPr>
            <w:tcW w:w="0" w:type="dxa"/>
            <w:vAlign w:val="bottom"/>
          </w:tcPr>
          <w:p>
            <w:pPr>
              <w:spacing w:after="0"/>
              <w:rPr>
                <w:sz w:val="1"/>
                <w:szCs w:val="1"/>
                <w:color w:val="auto"/>
              </w:rPr>
            </w:pP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180"/>
              <w:spacing w:after="0"/>
              <w:rPr>
                <w:sz w:val="20"/>
                <w:szCs w:val="20"/>
                <w:color w:val="auto"/>
              </w:rPr>
            </w:pPr>
            <w:r>
              <w:rPr>
                <w:rFonts w:ascii="Arial" w:cs="Arial" w:eastAsia="Arial" w:hAnsi="Arial"/>
                <w:sz w:val="18"/>
                <w:szCs w:val="18"/>
                <w:color w:val="auto"/>
              </w:rPr>
              <w:t>adjustment for change 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180"/>
              <w:spacing w:after="0"/>
              <w:rPr>
                <w:sz w:val="20"/>
                <w:szCs w:val="20"/>
                <w:color w:val="auto"/>
              </w:rPr>
            </w:pPr>
            <w:r>
              <w:rPr>
                <w:rFonts w:ascii="Arial" w:cs="Arial" w:eastAsia="Arial" w:hAnsi="Arial"/>
                <w:sz w:val="18"/>
                <w:szCs w:val="18"/>
                <w:color w:val="auto"/>
              </w:rPr>
              <w:t>ownership</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w w:val="99"/>
              </w:rPr>
              <w:t>(5,700,000)</w:t>
            </w:r>
          </w:p>
        </w:tc>
        <w:tc>
          <w:tcPr>
            <w:tcW w:w="12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(5,700,000)</w:t>
            </w:r>
          </w:p>
        </w:tc>
        <w:tc>
          <w:tcPr>
            <w:tcW w:w="0" w:type="dxa"/>
            <w:vAlign w:val="bottom"/>
          </w:tcPr>
          <w:p>
            <w:pPr>
              <w:spacing w:after="0"/>
              <w:rPr>
                <w:sz w:val="1"/>
                <w:szCs w:val="1"/>
                <w:color w:val="auto"/>
              </w:rPr>
            </w:pP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Contributions from limited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liability company unit holders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50,000</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color w:val="auto"/>
              </w:rPr>
              <w:t>Issuance of shares under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180"/>
              <w:spacing w:after="0"/>
              <w:rPr>
                <w:sz w:val="20"/>
                <w:szCs w:val="20"/>
                <w:color w:val="auto"/>
              </w:rPr>
            </w:pPr>
            <w:r>
              <w:rPr>
                <w:rFonts w:ascii="Arial" w:cs="Arial" w:eastAsia="Arial" w:hAnsi="Arial"/>
                <w:sz w:val="18"/>
                <w:szCs w:val="18"/>
                <w:color w:val="auto"/>
              </w:rPr>
              <w:t>business combinations 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2,524,560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w w:val="99"/>
              </w:rPr>
              <w:t>(2,678,489)</w:t>
            </w:r>
          </w:p>
        </w:tc>
        <w:tc>
          <w:tcPr>
            <w:tcW w:w="12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(153,929)</w:t>
            </w:r>
          </w:p>
        </w:tc>
        <w:tc>
          <w:tcPr>
            <w:tcW w:w="0" w:type="dxa"/>
            <w:vAlign w:val="bottom"/>
          </w:tcPr>
          <w:p>
            <w:pPr>
              <w:spacing w:after="0"/>
              <w:rPr>
                <w:sz w:val="1"/>
                <w:szCs w:val="1"/>
                <w:color w:val="auto"/>
              </w:rPr>
            </w:pP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Distribution of contingent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consideration</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20,194,899</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20,194,899</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Distribution of deferred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1,307,798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(1,307,798)</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Issueance of warrants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181,272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181,272</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Exercise of options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146,104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61,568</w:t>
            </w:r>
          </w:p>
        </w:tc>
        <w:tc>
          <w:tcPr>
            <w:tcW w:w="1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207,672</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5"/>
              </w:rPr>
              <w:t>10,773,884</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10,773,884</w:t>
            </w:r>
          </w:p>
        </w:tc>
        <w:tc>
          <w:tcPr>
            <w:tcW w:w="0" w:type="dxa"/>
            <w:vAlign w:val="bottom"/>
          </w:tcPr>
          <w:p>
            <w:pPr>
              <w:spacing w:after="0"/>
              <w:rPr>
                <w:sz w:val="1"/>
                <w:szCs w:val="1"/>
                <w:color w:val="auto"/>
              </w:rPr>
            </w:pP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color w:val="auto"/>
              </w:rPr>
              <w:t>Distributions to third party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180"/>
              <w:spacing w:after="0"/>
              <w:rPr>
                <w:sz w:val="20"/>
                <w:szCs w:val="20"/>
                <w:color w:val="auto"/>
              </w:rPr>
            </w:pPr>
            <w:r>
              <w:rPr>
                <w:rFonts w:ascii="Arial" w:cs="Arial" w:eastAsia="Arial" w:hAnsi="Arial"/>
                <w:sz w:val="18"/>
                <w:szCs w:val="18"/>
                <w:color w:val="auto"/>
              </w:rPr>
              <w:t>limited liability company unit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180"/>
              <w:spacing w:after="0"/>
              <w:rPr>
                <w:sz w:val="20"/>
                <w:szCs w:val="20"/>
                <w:color w:val="auto"/>
              </w:rPr>
            </w:pPr>
            <w:r>
              <w:rPr>
                <w:rFonts w:ascii="Arial" w:cs="Arial" w:eastAsia="Arial" w:hAnsi="Arial"/>
                <w:sz w:val="18"/>
                <w:szCs w:val="18"/>
                <w:color w:val="auto"/>
              </w:rPr>
              <w:t>holders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(53,377)</w:t>
            </w:r>
          </w:p>
        </w:tc>
        <w:tc>
          <w:tcPr>
            <w:tcW w:w="12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w w:val="95"/>
              </w:rPr>
              <w:t>(1,783,281)</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(1,836,658)</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(17,115,769)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1,588,272</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(15,527,497)</w:t>
            </w:r>
          </w:p>
        </w:tc>
        <w:tc>
          <w:tcPr>
            <w:tcW w:w="0" w:type="dxa"/>
            <w:vAlign w:val="bottom"/>
          </w:tcPr>
          <w:p>
            <w:pPr>
              <w:spacing w:after="0"/>
              <w:rPr>
                <w:sz w:val="1"/>
                <w:szCs w:val="1"/>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b w:val="1"/>
                <w:bCs w:val="1"/>
                <w:color w:val="auto"/>
              </w:rPr>
              <w:t>Balance, June 30, 2020</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1,004,812,062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6,545,712</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15,280,000</w:t>
            </w:r>
          </w:p>
        </w:tc>
        <w:tc>
          <w:tcPr>
            <w:tcW w:w="2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 (177,607,359</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2,367,904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$ 851,398,319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196850</wp:posOffset>
            </wp:positionV>
            <wp:extent cx="6995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Interim Condensed Consolidated Statements of Cash Flows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jc w:val="right"/>
              <w:ind w:right="341"/>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86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8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Net loss attributable to Green Thumb Industries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(17,115,769)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7"/>
              </w:rPr>
              <w:t>(30,455,105)</w:t>
            </w: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1,588,272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75,947</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26,945,085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9,615,078</w:t>
            </w:r>
          </w:p>
        </w:tc>
      </w:tr>
      <w:tr>
        <w:trPr>
          <w:trHeight w:val="216"/>
        </w:trPr>
        <w:tc>
          <w:tcPr>
            <w:tcW w:w="8600" w:type="dxa"/>
            <w:vAlign w:val="bottom"/>
          </w:tcPr>
          <w:p>
            <w:pPr>
              <w:ind w:left="720"/>
              <w:spacing w:after="0"/>
              <w:rPr>
                <w:sz w:val="20"/>
                <w:szCs w:val="20"/>
                <w:color w:val="auto"/>
              </w:rPr>
            </w:pPr>
            <w:r>
              <w:rPr>
                <w:rFonts w:ascii="Arial" w:cs="Arial" w:eastAsia="Arial" w:hAnsi="Arial"/>
                <w:sz w:val="18"/>
                <w:szCs w:val="18"/>
                <w:color w:val="auto"/>
              </w:rPr>
              <w:t>Amortization of operating lease assets</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12,430,640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2,267,327</w:t>
            </w:r>
          </w:p>
        </w:tc>
      </w:tr>
      <w:tr>
        <w:trPr>
          <w:trHeight w:val="216"/>
        </w:trPr>
        <w:tc>
          <w:tcPr>
            <w:tcW w:w="8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on disposal of property and equipment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8600" w:type="dxa"/>
            <w:vAlign w:val="bottom"/>
          </w:tcPr>
          <w:p>
            <w:pPr>
              <w:ind w:left="720"/>
              <w:spacing w:after="0"/>
              <w:rPr>
                <w:sz w:val="20"/>
                <w:szCs w:val="20"/>
                <w:color w:val="auto"/>
              </w:rPr>
            </w:pPr>
            <w:r>
              <w:rPr>
                <w:rFonts w:ascii="Arial" w:cs="Arial" w:eastAsia="Arial" w:hAnsi="Arial"/>
                <w:sz w:val="18"/>
                <w:szCs w:val="18"/>
                <w:color w:val="auto"/>
              </w:rPr>
              <w:t>(Gain) loss from investment in associate</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(550,000)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56,423</w:t>
            </w:r>
          </w:p>
        </w:tc>
      </w:tr>
      <w:tr>
        <w:trPr>
          <w:trHeight w:val="216"/>
        </w:trPr>
        <w:tc>
          <w:tcPr>
            <w:tcW w:w="8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Bad debt expense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318,896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8600" w:type="dxa"/>
            <w:vAlign w:val="bottom"/>
          </w:tcPr>
          <w:p>
            <w:pPr>
              <w:ind w:left="72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(593,000)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(4,131,000)</w:t>
            </w:r>
          </w:p>
        </w:tc>
      </w:tr>
      <w:tr>
        <w:trPr>
          <w:trHeight w:val="216"/>
        </w:trPr>
        <w:tc>
          <w:tcPr>
            <w:tcW w:w="8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 based compensation</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10,773,886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9,759,988</w:t>
            </w:r>
          </w:p>
        </w:tc>
      </w:tr>
      <w:tr>
        <w:trPr>
          <w:trHeight w:val="216"/>
        </w:trPr>
        <w:tc>
          <w:tcPr>
            <w:tcW w:w="8600" w:type="dxa"/>
            <w:vAlign w:val="bottom"/>
          </w:tcPr>
          <w:p>
            <w:pPr>
              <w:ind w:left="720"/>
              <w:spacing w:after="0"/>
              <w:rPr>
                <w:sz w:val="20"/>
                <w:szCs w:val="20"/>
                <w:color w:val="auto"/>
              </w:rPr>
            </w:pPr>
            <w:r>
              <w:rPr>
                <w:rFonts w:ascii="Arial" w:cs="Arial" w:eastAsia="Arial" w:hAnsi="Arial"/>
                <w:sz w:val="18"/>
                <w:szCs w:val="18"/>
                <w:color w:val="auto"/>
              </w:rPr>
              <w:t>Decrease (increase) in fair value of investments</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17,035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(310,674)</w:t>
            </w:r>
          </w:p>
        </w:tc>
      </w:tr>
      <w:tr>
        <w:trPr>
          <w:trHeight w:val="216"/>
        </w:trPr>
        <w:tc>
          <w:tcPr>
            <w:tcW w:w="8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Changes in value of liabilities related to put option and purchase of noncontrolling interests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(389,569)</w:t>
            </w:r>
          </w:p>
        </w:tc>
      </w:tr>
      <w:tr>
        <w:trPr>
          <w:trHeight w:val="216"/>
        </w:trPr>
        <w:tc>
          <w:tcPr>
            <w:tcW w:w="8600" w:type="dxa"/>
            <w:vAlign w:val="bottom"/>
          </w:tcPr>
          <w:p>
            <w:pPr>
              <w:ind w:left="720"/>
              <w:spacing w:after="0"/>
              <w:rPr>
                <w:sz w:val="20"/>
                <w:szCs w:val="20"/>
                <w:color w:val="auto"/>
              </w:rPr>
            </w:pPr>
            <w:r>
              <w:rPr>
                <w:rFonts w:ascii="Arial" w:cs="Arial" w:eastAsia="Arial" w:hAnsi="Arial"/>
                <w:sz w:val="18"/>
                <w:szCs w:val="18"/>
                <w:color w:val="auto"/>
              </w:rPr>
              <w:t>Interest on contingent consideration payable and acquisition liabilities</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769,217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2,175,957</w:t>
            </w:r>
          </w:p>
        </w:tc>
      </w:tr>
      <w:tr>
        <w:trPr>
          <w:trHeight w:val="216"/>
        </w:trPr>
        <w:tc>
          <w:tcPr>
            <w:tcW w:w="8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Increase in fair value of contingent consideration</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8600" w:type="dxa"/>
            <w:vAlign w:val="bottom"/>
          </w:tcPr>
          <w:p>
            <w:pPr>
              <w:ind w:left="720"/>
              <w:spacing w:after="0"/>
              <w:rPr>
                <w:sz w:val="20"/>
                <w:szCs w:val="20"/>
                <w:color w:val="auto"/>
              </w:rPr>
            </w:pPr>
            <w:r>
              <w:rPr>
                <w:rFonts w:ascii="Arial" w:cs="Arial" w:eastAsia="Arial" w:hAnsi="Arial"/>
                <w:sz w:val="18"/>
                <w:szCs w:val="18"/>
                <w:color w:val="auto"/>
              </w:rPr>
              <w:t>Decrease in fair value of warrant liability</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(1,120,343)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8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Decrease in fair value of note receivable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815,937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1,996,185</w:t>
            </w:r>
          </w:p>
        </w:tc>
      </w:tr>
      <w:tr>
        <w:trPr>
          <w:trHeight w:val="216"/>
        </w:trPr>
        <w:tc>
          <w:tcPr>
            <w:tcW w:w="8600" w:type="dxa"/>
            <w:vAlign w:val="bottom"/>
          </w:tcPr>
          <w:p>
            <w:pPr>
              <w:ind w:left="720"/>
              <w:spacing w:after="0"/>
              <w:rPr>
                <w:sz w:val="20"/>
                <w:szCs w:val="20"/>
                <w:color w:val="auto"/>
              </w:rPr>
            </w:pPr>
            <w:r>
              <w:rPr>
                <w:rFonts w:ascii="Arial" w:cs="Arial" w:eastAsia="Arial" w:hAnsi="Arial"/>
                <w:sz w:val="18"/>
                <w:szCs w:val="18"/>
                <w:color w:val="auto"/>
              </w:rPr>
              <w:t>Amortization of debt discount</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2,959,016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1,189,346</w:t>
            </w: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0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(2,535,533)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(542,879)</w:t>
            </w:r>
          </w:p>
        </w:tc>
      </w:tr>
      <w:tr>
        <w:trPr>
          <w:trHeight w:val="216"/>
        </w:trPr>
        <w:tc>
          <w:tcPr>
            <w:tcW w:w="8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(7,950,215)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(3,139,733)</w:t>
            </w:r>
          </w:p>
        </w:tc>
      </w:tr>
      <w:tr>
        <w:trPr>
          <w:trHeight w:val="216"/>
        </w:trPr>
        <w:tc>
          <w:tcPr>
            <w:tcW w:w="860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2,858,221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(770,793)</w:t>
            </w:r>
          </w:p>
        </w:tc>
      </w:tr>
      <w:tr>
        <w:trPr>
          <w:trHeight w:val="216"/>
        </w:trPr>
        <w:tc>
          <w:tcPr>
            <w:tcW w:w="8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Deposits and other assets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977,444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752,414</w:t>
            </w:r>
          </w:p>
        </w:tc>
      </w:tr>
      <w:tr>
        <w:trPr>
          <w:trHeight w:val="216"/>
        </w:trPr>
        <w:tc>
          <w:tcPr>
            <w:tcW w:w="860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3,174,865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14,205,312</w:t>
            </w:r>
          </w:p>
        </w:tc>
      </w:tr>
      <w:tr>
        <w:trPr>
          <w:trHeight w:val="216"/>
        </w:trPr>
        <w:tc>
          <w:tcPr>
            <w:tcW w:w="8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5,820,802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(4,270,799)</w:t>
            </w:r>
          </w:p>
        </w:tc>
      </w:tr>
      <w:tr>
        <w:trPr>
          <w:trHeight w:val="216"/>
        </w:trPr>
        <w:tc>
          <w:tcPr>
            <w:tcW w:w="8600" w:type="dxa"/>
            <w:vAlign w:val="bottom"/>
          </w:tcPr>
          <w:p>
            <w:pPr>
              <w:ind w:left="720"/>
              <w:spacing w:after="0"/>
              <w:rPr>
                <w:sz w:val="20"/>
                <w:szCs w:val="20"/>
                <w:color w:val="auto"/>
              </w:rPr>
            </w:pPr>
            <w:r>
              <w:rPr>
                <w:rFonts w:ascii="Arial" w:cs="Arial" w:eastAsia="Arial" w:hAnsi="Arial"/>
                <w:sz w:val="18"/>
                <w:szCs w:val="18"/>
                <w:color w:val="auto"/>
              </w:rPr>
              <w:t>Operating lease liabilities</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(7,928,586)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(1,885,327)</w:t>
            </w:r>
          </w:p>
        </w:tc>
      </w:tr>
      <w:tr>
        <w:trPr>
          <w:trHeight w:val="216"/>
        </w:trPr>
        <w:tc>
          <w:tcPr>
            <w:tcW w:w="8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 payable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28,572,736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(1,072,286)</w:t>
            </w:r>
          </w:p>
        </w:tc>
      </w:tr>
      <w:tr>
        <w:trPr>
          <w:trHeight w:val="230"/>
        </w:trPr>
        <w:tc>
          <w:tcPr>
            <w:tcW w:w="8600" w:type="dxa"/>
            <w:vAlign w:val="bottom"/>
          </w:tcPr>
          <w:p>
            <w:pPr>
              <w:ind w:left="108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60,250,326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(4,874,188)</w:t>
            </w:r>
          </w:p>
        </w:tc>
        <w:tc>
          <w:tcPr>
            <w:tcW w:w="120" w:type="dxa"/>
            <w:vAlign w:val="bottom"/>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(34,033,957)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7"/>
              </w:rPr>
              <w:t>(36,839,428)</w:t>
            </w: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disposal of assets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11,799,025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Repayment of debenture investments</w:t>
            </w: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3,000,000</w:t>
            </w: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businesses, net of cash acquired</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(66,258,102)</w:t>
            </w:r>
          </w:p>
        </w:tc>
      </w:tr>
      <w:tr>
        <w:trPr>
          <w:trHeight w:val="230"/>
        </w:trPr>
        <w:tc>
          <w:tcPr>
            <w:tcW w:w="8600" w:type="dxa"/>
            <w:vAlign w:val="bottom"/>
          </w:tcPr>
          <w:p>
            <w:pPr>
              <w:ind w:left="108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(22,234,932)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(100,097,530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Contributions from limited liability company unit holders</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1,650,000</w:t>
            </w: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to third parties and limited liability company unit holders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(1,836,658)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(5,616,061)</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Proceeds from exercise of options</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207,672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notes payable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3"/>
              </w:rPr>
              <w:t>117,435,724</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Principal repayment of notes payable</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(161,070)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7"/>
              </w:rPr>
              <w:t>(18,724,591)</w:t>
            </w:r>
          </w:p>
        </w:tc>
      </w:tr>
      <w:tr>
        <w:trPr>
          <w:trHeight w:val="27"/>
        </w:trPr>
        <w:tc>
          <w:tcPr>
            <w:tcW w:w="8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0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(1,740,056)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94,745,072</w:t>
            </w:r>
          </w:p>
        </w:tc>
      </w:tr>
      <w:tr>
        <w:trPr>
          <w:trHeight w:val="223"/>
        </w:trPr>
        <w:tc>
          <w:tcPr>
            <w:tcW w:w="86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36,275,338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(10,226,646)</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46,667,334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w w:val="93"/>
              </w:rPr>
              <w:t>145,986,072</w:t>
            </w:r>
          </w:p>
        </w:tc>
      </w:tr>
      <w:tr>
        <w:trPr>
          <w:trHeight w:val="27"/>
        </w:trPr>
        <w:tc>
          <w:tcPr>
            <w:tcW w:w="8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82,942,672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3"/>
              </w:rPr>
              <w:t>135,759,426</w:t>
            </w:r>
          </w:p>
        </w:tc>
      </w:tr>
      <w:tr>
        <w:trPr>
          <w:trHeight w:val="20"/>
        </w:trPr>
        <w:tc>
          <w:tcPr>
            <w:tcW w:w="8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69951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11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Interim Condensed Consolidated Statements of Cash Flows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86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Interest paid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6,048,116</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1,955,015</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Accrued capital expenditures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(3,564,688)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3,100,000</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Noncash increase in right of use asset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2"/>
              </w:rPr>
              <w:t>(37,863,550)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(22,233,609)</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8"/>
                <w:szCs w:val="18"/>
                <w:color w:val="auto"/>
              </w:rPr>
              <w:t>Noncash increase in lease liability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37,863,550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22,731,855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liability upon adoption of ASC 842, </w:t>
            </w:r>
            <w:r>
              <w:rPr>
                <w:rFonts w:ascii="Arial" w:cs="Arial" w:eastAsia="Arial" w:hAnsi="Arial"/>
                <w:sz w:val="18"/>
                <w:szCs w:val="18"/>
                <w:i w:val="1"/>
                <w:iCs w:val="1"/>
                <w:color w:val="auto"/>
              </w:rPr>
              <w:t>Leases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(498,246)</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8"/>
                <w:szCs w:val="18"/>
                <w:color w:val="auto"/>
              </w:rPr>
              <w:t>Exercise of put option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4,200,382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Warrants attributable to debt issuance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753,658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11,334,657</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8"/>
                <w:szCs w:val="18"/>
                <w:color w:val="auto"/>
              </w:rPr>
              <w:t>Mortgage associated with Illinois dispensary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Liability for purchase of noncontrolling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8"/>
                <w:szCs w:val="18"/>
                <w:color w:val="auto"/>
              </w:rPr>
              <w:t>Liability associated with acquisition agreement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under acquisition agreement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20,194,899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8"/>
                <w:szCs w:val="18"/>
                <w:color w:val="auto"/>
              </w:rPr>
              <w:t>Deferred share issuances to prior owners of noncontrolling interest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(1,707,941</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16,587,798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under business combinations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471,409,462</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8"/>
                <w:szCs w:val="18"/>
                <w:color w:val="auto"/>
              </w:rPr>
              <w:t>Acquisitions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12,705,211</w:t>
            </w: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2,117,412</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14,938,008</w:t>
            </w: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Right of use assets</w:t>
            </w:r>
          </w:p>
        </w:tc>
        <w:tc>
          <w:tcPr>
            <w:tcW w:w="12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2,717,014</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Identifiable intangible assets</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(145,000)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271,625,592</w:t>
            </w: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(2,003,275)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355,192,079</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 and other assets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603,988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2,582,251</w:t>
            </w: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Liabilities assumed</w:t>
            </w:r>
          </w:p>
        </w:tc>
        <w:tc>
          <w:tcPr>
            <w:tcW w:w="12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(1,302,604)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(9,739,467)</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(2,717,014)</w:t>
            </w: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Contingent liabilities</w:t>
            </w:r>
          </w:p>
        </w:tc>
        <w:tc>
          <w:tcPr>
            <w:tcW w:w="12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(51,079,705)</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share issuances</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(16,587,798)</w:t>
            </w: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Equity interests issued</w:t>
            </w: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503,389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(471,409,462)</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Conversion of note receivable previously issued</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(14,132,800)</w:t>
            </w: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Acquisition liability</w:t>
            </w:r>
          </w:p>
        </w:tc>
        <w:tc>
          <w:tcPr>
            <w:tcW w:w="12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(228,813)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(2,106,908)</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2,491,700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(27,846,311)</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66,258,102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CASH, AND CASH EQUIVALENTS AND RESTRICTED CASH</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78,537,236</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135,759,426</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4,405,436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Arial" w:cs="Arial" w:eastAsia="Arial" w:hAnsi="Arial"/>
                <w:sz w:val="18"/>
                <w:szCs w:val="18"/>
                <w:b w:val="1"/>
                <w:bCs w:val="1"/>
                <w:color w:val="auto"/>
              </w:rPr>
              <w:t>TOTAL CASH, AND CASH EQUIVALENTS AND RESTRICTED CASH</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82,942,672</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135,759,426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196850</wp:posOffset>
            </wp:positionV>
            <wp:extent cx="6995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4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Overview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 Description of Business</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Green Thumb Industries Inc. (“Green Thumb” or the “Company”) is promoting well-being through the power of cannabis through branded consumer packaged goods and people-first retail experiences, while being committed to community and sustainable profitable growth. Green Thumb owns, manufactures, and distributes a portfolio of cannabis consumer packaged goods brands including Beboe, Dogwalkers, Dr. Solomon’s, incredibles, Rythm and The Feel Collection, primarily to third-party retail stores across the United States as well as to Green Thumb owned retail stores. The Company also owns and operates retail cannabis stores that include a rapidly growing national chain of retail cannabis stores called Rise</w:t>
      </w:r>
      <w:r>
        <w:rPr>
          <w:rFonts w:ascii="Arial" w:cs="Arial" w:eastAsia="Arial" w:hAnsi="Arial"/>
          <w:sz w:val="13"/>
          <w:szCs w:val="13"/>
          <w:color w:val="auto"/>
        </w:rPr>
        <w:t>™</w:t>
      </w:r>
      <w:r>
        <w:rPr>
          <w:rFonts w:ascii="Arial" w:cs="Arial" w:eastAsia="Arial" w:hAnsi="Arial"/>
          <w:sz w:val="16"/>
          <w:szCs w:val="16"/>
          <w:color w:val="auto"/>
        </w:rPr>
        <w:t xml:space="preserve"> and a Las Vegas, Nevada area chain of retail cannabis stores called Essence. As of June 30, 2020, Green Thumb has operating revenue in twelve markets (California, Colorado, Connecticut, Florida, Illinois, Maryland, Massachusetts, Nevada, New Jersey, New York, Ohio, and Pennsylvania).</w:t>
      </w:r>
    </w:p>
    <w:p>
      <w:pPr>
        <w:spacing w:after="0" w:line="166"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On June 12, 2018, the Company completed a reverse takeover transaction (“RTO”) as further described in Note 3 of Green Thumb’s Annual Report on Form 10-K for the year ended December 31, 2019 filed with the SEC on April 15, 2020 (“2019 Form 10-K”). Following the RTO, the Company was listed on the Canadian Securities Exchange (the “CSE”) under ticker symbol “GTII” and on the OTCQX, part of the OTC Markets Group, under the ticker “GTBIF”.</w:t>
      </w:r>
    </w:p>
    <w:p>
      <w:pPr>
        <w:spacing w:after="0" w:line="18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Company’s registered office is located at 885 West Georgia Street, Suite 2200, Vancouver, British Columbia, V6C 3E8, Canada. The Company’s U.S. headquarters are at 325 W. Huron St., Suite 412, Chicago, IL 60654.</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 Basis of Presentation</w:t>
      </w:r>
    </w:p>
    <w:p>
      <w:pPr>
        <w:spacing w:after="0" w:line="117" w:lineRule="exact"/>
        <w:rPr>
          <w:sz w:val="20"/>
          <w:szCs w:val="20"/>
          <w:color w:val="auto"/>
        </w:rPr>
      </w:pPr>
    </w:p>
    <w:p>
      <w:pPr>
        <w:ind w:left="120" w:right="100" w:firstLine="440"/>
        <w:spacing w:after="0" w:line="284" w:lineRule="auto"/>
        <w:rPr>
          <w:sz w:val="20"/>
          <w:szCs w:val="20"/>
          <w:color w:val="auto"/>
        </w:rPr>
      </w:pPr>
      <w:r>
        <w:rPr>
          <w:rFonts w:ascii="Arial" w:cs="Arial" w:eastAsia="Arial" w:hAnsi="Arial"/>
          <w:sz w:val="16"/>
          <w:szCs w:val="16"/>
          <w:color w:val="auto"/>
        </w:rPr>
        <w:t>The accompanying unaudited interim condensed consolidated financial statements include the accounts of Green Thumb Industries Inc. and have been prepared in accordance with accounting principles generally accepted in the United States (“GAAP”) for interim financial information and in accordance with the rules and regulations of the SEC. Accordingly, they do not include all of the information and footnotes required by GAAP for complete financial statements and, accordingly, certain information, footnotes and disclosures normally included in the annual financial statements, prepared in accordance with GAAP, have been condensed or omitted in accordance with SEC rules and regulations. The financial data presented herein should be read in conjunction with the audited consolidated and combined financial statements and accompanying notes included in the 2019 Form</w:t>
      </w:r>
    </w:p>
    <w:p>
      <w:pPr>
        <w:spacing w:after="0" w:line="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10-K. In the opinion of management, the financial data presented includes all adjustments necessary to present fairly the financial position, results of operations and cash flows for the interim periods presented. Results of interim periods should not be considered indicative of the results for the full year. These unaudited interim condensed consolidated financial statements include estimates and assumptions of management that affect the amounts reported in the unaudited condensed consolidated financial statements. Actual results could differ from these estimates.</w:t>
      </w:r>
    </w:p>
    <w:p>
      <w:pPr>
        <w:spacing w:after="0" w:line="17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Certain previously reported amounts have been reclassified between line items to conform to the current presentation. The reclassifications did not affect the Company’s previously reported consolidated balance sheets, consolidated statements of operations, statements of cash flows or statements of changes in shareholders’ equity.</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results of operations for the three and six months ended June 30, 2020 are not necessarily indicative of the results to be expected for the entire year ending December 31, 2020.</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 Significant Accounting Policies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There have been no changes to the Company’s significant accounting policies as described in Note 2 of the Company’s 2019 Form 10-K.</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4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1. Overview and Basis of Presentation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 Loss per Share</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Basic loss per share is calculated using the treasury stock method, by dividing the net loss attributable to shareholders by the weighted average number of common shares (Subordinate Voting Shares, Multiple Voting Shares on an as converted basis, and Super Voting Shares on an as converted basis) outstanding during each of the periods presented. Contingently issuable shares (including shares held in escrow)/ are not considered outstanding common shares and consequently are not included in the loss per share calculations. Diluted loss per share is calculated by adjusting the weighted average number of common shares outstanding to assume conversion of all dilutive potential common shares. The Company has three categories of potentially dilutive common share equivalents: restricted stock units, stock options and warrants. At June 30, 2020, the Company had 5,857,045 options outstanding, 906,173 restricted stock units and 2,526,735 warrants outstanding. At June 30, 2019, the Company had 4,179,927 options outstanding, 1,711,101 restricted stock units outstanding and 2,041,735 warrants outstanding.</w:t>
      </w:r>
    </w:p>
    <w:p>
      <w:pPr>
        <w:spacing w:after="0" w:line="178" w:lineRule="exact"/>
        <w:rPr>
          <w:sz w:val="20"/>
          <w:szCs w:val="20"/>
          <w:color w:val="auto"/>
        </w:rPr>
      </w:pPr>
    </w:p>
    <w:p>
      <w:pPr>
        <w:ind w:left="120" w:right="320" w:firstLine="440"/>
        <w:spacing w:after="0" w:line="301" w:lineRule="auto"/>
        <w:rPr>
          <w:sz w:val="20"/>
          <w:szCs w:val="20"/>
          <w:color w:val="auto"/>
        </w:rPr>
      </w:pPr>
      <w:r>
        <w:rPr>
          <w:rFonts w:ascii="Arial" w:cs="Arial" w:eastAsia="Arial" w:hAnsi="Arial"/>
          <w:sz w:val="16"/>
          <w:szCs w:val="16"/>
          <w:color w:val="auto"/>
        </w:rPr>
        <w:t>In order to determine diluted loss per share, it is assumed that any proceeds from the exercise of dilutive stock options would be used to repurchase common shares at the average market price during the period. The diluted loss per share calculation excludes any potential conversion of stock options and convertible debt that would decrease loss per share. No potentially dilutive common share equivalents were included in the computation of diluted loss per share for the three and six months ended June 30, 2020 and 2019 because their impact was anti-dilutive.</w:t>
      </w:r>
    </w:p>
    <w:p>
      <w:pPr>
        <w:spacing w:after="0" w:line="265" w:lineRule="exact"/>
        <w:rPr>
          <w:sz w:val="20"/>
          <w:szCs w:val="20"/>
          <w:color w:val="auto"/>
        </w:rPr>
      </w:pPr>
    </w:p>
    <w:p>
      <w:pPr>
        <w:ind w:left="800" w:hanging="244"/>
        <w:spacing w:after="0"/>
        <w:tabs>
          <w:tab w:leader="none" w:pos="8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Recently Adopted Accounting Standards</w:t>
      </w:r>
    </w:p>
    <w:p>
      <w:pPr>
        <w:spacing w:after="0" w:line="130" w:lineRule="exact"/>
        <w:rPr>
          <w:rFonts w:ascii="Arial" w:cs="Arial" w:eastAsia="Arial" w:hAnsi="Arial"/>
          <w:sz w:val="18"/>
          <w:szCs w:val="18"/>
          <w:i w:val="1"/>
          <w:iCs w:val="1"/>
          <w:color w:val="auto"/>
        </w:rPr>
      </w:pPr>
    </w:p>
    <w:p>
      <w:pPr>
        <w:ind w:left="1540" w:right="40" w:hanging="439"/>
        <w:spacing w:after="0" w:line="290" w:lineRule="auto"/>
        <w:tabs>
          <w:tab w:leader="none" w:pos="1540" w:val="left"/>
        </w:tabs>
        <w:numPr>
          <w:ilvl w:val="1"/>
          <w:numId w:val="3"/>
        </w:numPr>
        <w:rPr>
          <w:rFonts w:ascii="Arial" w:cs="Arial" w:eastAsia="Arial" w:hAnsi="Arial"/>
          <w:sz w:val="16"/>
          <w:szCs w:val="16"/>
          <w:color w:val="auto"/>
        </w:rPr>
      </w:pPr>
      <w:r>
        <w:rPr>
          <w:rFonts w:ascii="Arial" w:cs="Arial" w:eastAsia="Arial" w:hAnsi="Arial"/>
          <w:sz w:val="16"/>
          <w:szCs w:val="16"/>
          <w:color w:val="auto"/>
        </w:rPr>
        <w:t xml:space="preserve">In June 2016, the Financial Accounting Standards Board (“FASB”) issued an Accounting Standards Update (“ASU”) No. 2016-13, </w:t>
      </w:r>
      <w:r>
        <w:rPr>
          <w:rFonts w:ascii="Arial" w:cs="Arial" w:eastAsia="Arial" w:hAnsi="Arial"/>
          <w:sz w:val="16"/>
          <w:szCs w:val="16"/>
          <w:i w:val="1"/>
          <w:iCs w:val="1"/>
          <w:color w:val="auto"/>
        </w:rPr>
        <w:t xml:space="preserve">Financial Instruments—Credit Losses (Topic 326) Measurement of Credit Losses on Financial Instruments </w:t>
      </w:r>
      <w:r>
        <w:rPr>
          <w:rFonts w:ascii="Arial" w:cs="Arial" w:eastAsia="Arial" w:hAnsi="Arial"/>
          <w:sz w:val="16"/>
          <w:szCs w:val="16"/>
          <w:color w:val="auto"/>
        </w:rPr>
        <w:t>(“ASU 2016-13”), which</w:t>
      </w:r>
      <w:r>
        <w:rPr>
          <w:rFonts w:ascii="Arial" w:cs="Arial" w:eastAsia="Arial" w:hAnsi="Arial"/>
          <w:sz w:val="16"/>
          <w:szCs w:val="16"/>
          <w:i w:val="1"/>
          <w:iCs w:val="1"/>
          <w:color w:val="auto"/>
        </w:rPr>
        <w:t xml:space="preserve"> </w:t>
      </w:r>
      <w:r>
        <w:rPr>
          <w:rFonts w:ascii="Arial" w:cs="Arial" w:eastAsia="Arial" w:hAnsi="Arial"/>
          <w:sz w:val="16"/>
          <w:szCs w:val="16"/>
          <w:color w:val="auto"/>
        </w:rPr>
        <w:t>replaces the incurred loss model with a current expected credit loss (“CECL”) model and requires consideration of a broader range of reasonable and supportable information to explain credit loss estimates. This standard applies to financial assets, measured at amortized cost, including loans, held-to-maturity debt securities, net investments in leases and trade accounts receivable. The guidance must be adopted using a modified retrospective transition method through a cumulative-effect adjustment to retained earnings in the period of adoption. The Company adopted the new standard in the first quarter of 2020. The adoption of the standard did not have a material impact on the Company’s unaudited interim condensed consolidated financial statements.</w:t>
      </w:r>
    </w:p>
    <w:p>
      <w:pPr>
        <w:spacing w:after="0" w:line="70" w:lineRule="exact"/>
        <w:rPr>
          <w:rFonts w:ascii="Arial" w:cs="Arial" w:eastAsia="Arial" w:hAnsi="Arial"/>
          <w:sz w:val="16"/>
          <w:szCs w:val="16"/>
          <w:color w:val="auto"/>
        </w:rPr>
      </w:pPr>
    </w:p>
    <w:p>
      <w:pPr>
        <w:ind w:left="1540" w:hanging="439"/>
        <w:spacing w:after="0" w:line="271" w:lineRule="auto"/>
        <w:tabs>
          <w:tab w:leader="none" w:pos="1540" w:val="left"/>
        </w:tabs>
        <w:numPr>
          <w:ilvl w:val="1"/>
          <w:numId w:val="3"/>
        </w:numPr>
        <w:rPr>
          <w:rFonts w:ascii="Arial" w:cs="Arial" w:eastAsia="Arial" w:hAnsi="Arial"/>
          <w:sz w:val="17"/>
          <w:szCs w:val="17"/>
          <w:color w:val="auto"/>
        </w:rPr>
      </w:pPr>
      <w:r>
        <w:rPr>
          <w:rFonts w:ascii="Arial" w:cs="Arial" w:eastAsia="Arial" w:hAnsi="Arial"/>
          <w:sz w:val="17"/>
          <w:szCs w:val="17"/>
          <w:color w:val="auto"/>
        </w:rPr>
        <w:t>In January 2017, the FASB issued Accounting Standards Update No. 2017-04 “</w:t>
      </w:r>
      <w:r>
        <w:rPr>
          <w:rFonts w:ascii="Arial" w:cs="Arial" w:eastAsia="Arial" w:hAnsi="Arial"/>
          <w:sz w:val="17"/>
          <w:szCs w:val="17"/>
          <w:i w:val="1"/>
          <w:iCs w:val="1"/>
          <w:color w:val="auto"/>
        </w:rPr>
        <w:t>Intangibles— Goodwill and Other (Topic 350):</w:t>
      </w:r>
      <w:r>
        <w:rPr>
          <w:rFonts w:ascii="Arial" w:cs="Arial" w:eastAsia="Arial" w:hAnsi="Arial"/>
          <w:sz w:val="17"/>
          <w:szCs w:val="17"/>
          <w:color w:val="auto"/>
        </w:rPr>
        <w:t xml:space="preserve">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(“ASU 2017-04”), which simplifies the accounting for goodwill impairment. ASU</w:t>
      </w:r>
      <w:r>
        <w:rPr>
          <w:rFonts w:ascii="Arial" w:cs="Arial" w:eastAsia="Arial" w:hAnsi="Arial"/>
          <w:sz w:val="17"/>
          <w:szCs w:val="17"/>
          <w:i w:val="1"/>
          <w:iCs w:val="1"/>
          <w:color w:val="auto"/>
        </w:rPr>
        <w:t xml:space="preserve"> </w:t>
      </w:r>
      <w:r>
        <w:rPr>
          <w:rFonts w:ascii="Arial" w:cs="Arial" w:eastAsia="Arial" w:hAnsi="Arial"/>
          <w:sz w:val="17"/>
          <w:szCs w:val="17"/>
          <w:color w:val="auto"/>
        </w:rPr>
        <w:t>2017-04 requires entities to record an impairment charge based on the excess of a reporting unit’s carrying amount over its fair value (Step 1 under the current impairment test). The standard eliminates Step 2 from the current goodwill impairment test, which included determining the implied fair value of goodwill and comparing it with the carrying amount of that goodwill. ASU 2017-04 must be applied prospectively and is effective in the first quarter of 2020. Early adoption is permitted. The Company adopted the new standard in the first quarter of 2020. The adoption of the standard did not have a material impact on the Company’s unaudited interim condensed consolidated financial statements.</w:t>
      </w:r>
    </w:p>
    <w:p>
      <w:pPr>
        <w:spacing w:after="0" w:line="110" w:lineRule="exact"/>
        <w:rPr>
          <w:rFonts w:ascii="Arial" w:cs="Arial" w:eastAsia="Arial" w:hAnsi="Arial"/>
          <w:sz w:val="17"/>
          <w:szCs w:val="17"/>
          <w:color w:val="auto"/>
        </w:rPr>
      </w:pPr>
    </w:p>
    <w:p>
      <w:pPr>
        <w:ind w:left="5540" w:hanging="111"/>
        <w:spacing w:after="0"/>
        <w:tabs>
          <w:tab w:leader="none" w:pos="5540" w:val="left"/>
        </w:tabs>
        <w:numPr>
          <w:ilvl w:val="2"/>
          <w:numId w:val="3"/>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4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300" w:hanging="184"/>
        <w:spacing w:after="0"/>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Overview and Basis of Presentation </w:t>
      </w:r>
      <w:r>
        <w:rPr>
          <w:rFonts w:ascii="Arial" w:cs="Arial" w:eastAsia="Arial" w:hAnsi="Arial"/>
          <w:sz w:val="18"/>
          <w:szCs w:val="18"/>
          <w:color w:val="auto"/>
        </w:rPr>
        <w:t>(Continued)</w:t>
      </w:r>
    </w:p>
    <w:p>
      <w:pPr>
        <w:spacing w:after="0" w:line="188" w:lineRule="exact"/>
        <w:rPr>
          <w:rFonts w:ascii="Arial" w:cs="Arial" w:eastAsia="Arial" w:hAnsi="Arial"/>
          <w:sz w:val="18"/>
          <w:szCs w:val="18"/>
          <w:b w:val="1"/>
          <w:bCs w:val="1"/>
          <w:color w:val="auto"/>
        </w:rPr>
      </w:pPr>
    </w:p>
    <w:p>
      <w:pPr>
        <w:ind w:left="800" w:hanging="244"/>
        <w:spacing w:after="0"/>
        <w:tabs>
          <w:tab w:leader="none" w:pos="800" w:val="left"/>
        </w:tabs>
        <w:numPr>
          <w:ilvl w:val="1"/>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Recently Adopted Accounting Standards (Continued)</w:t>
      </w:r>
    </w:p>
    <w:p>
      <w:pPr>
        <w:spacing w:after="0" w:line="130" w:lineRule="exact"/>
        <w:rPr>
          <w:rFonts w:ascii="Arial" w:cs="Arial" w:eastAsia="Arial" w:hAnsi="Arial"/>
          <w:sz w:val="18"/>
          <w:szCs w:val="18"/>
          <w:i w:val="1"/>
          <w:iCs w:val="1"/>
          <w:color w:val="auto"/>
        </w:rPr>
      </w:pPr>
    </w:p>
    <w:p>
      <w:pPr>
        <w:ind w:left="1540" w:right="20" w:hanging="439"/>
        <w:spacing w:after="0" w:line="257" w:lineRule="auto"/>
        <w:tabs>
          <w:tab w:leader="none" w:pos="1540" w:val="left"/>
        </w:tabs>
        <w:numPr>
          <w:ilvl w:val="2"/>
          <w:numId w:val="4"/>
        </w:numPr>
        <w:rPr>
          <w:rFonts w:ascii="Arial" w:cs="Arial" w:eastAsia="Arial" w:hAnsi="Arial"/>
          <w:sz w:val="18"/>
          <w:szCs w:val="18"/>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Disclosure Framework—Changes to the Disclosure Requirements for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(Topic 820)</w:t>
      </w:r>
      <w:r>
        <w:rPr>
          <w:rFonts w:ascii="Arial" w:cs="Arial" w:eastAsia="Arial" w:hAnsi="Arial"/>
          <w:sz w:val="18"/>
          <w:szCs w:val="18"/>
          <w:color w:val="auto"/>
        </w:rPr>
        <w:t>. ASU 2018-13 adds, modifies, and removes certain fair value measurement disclosure requirements. ASU</w:t>
      </w:r>
      <w:r>
        <w:rPr>
          <w:rFonts w:ascii="Arial" w:cs="Arial" w:eastAsia="Arial" w:hAnsi="Arial"/>
          <w:sz w:val="18"/>
          <w:szCs w:val="18"/>
          <w:i w:val="1"/>
          <w:iCs w:val="1"/>
          <w:color w:val="auto"/>
        </w:rPr>
        <w:t xml:space="preserve"> </w:t>
      </w:r>
      <w:r>
        <w:rPr>
          <w:rFonts w:ascii="Arial" w:cs="Arial" w:eastAsia="Arial" w:hAnsi="Arial"/>
          <w:sz w:val="18"/>
          <w:szCs w:val="18"/>
          <w:color w:val="auto"/>
        </w:rPr>
        <w:t>2018-13 is effective for annual and interim periods beginning after December 15, 2019. The Company adopted the new standard in the first quarter of 2020. The adoption of the standard did not have a material impact on the Company’s unaudited interim condensed consolidated financial statements.</w:t>
      </w:r>
    </w:p>
    <w:p>
      <w:pPr>
        <w:spacing w:after="0" w:line="295" w:lineRule="exact"/>
        <w:rPr>
          <w:rFonts w:ascii="Arial" w:cs="Arial" w:eastAsia="Arial" w:hAnsi="Arial"/>
          <w:sz w:val="18"/>
          <w:szCs w:val="18"/>
          <w:color w:val="auto"/>
        </w:rPr>
      </w:pPr>
    </w:p>
    <w:p>
      <w:pPr>
        <w:ind w:left="780" w:hanging="224"/>
        <w:spacing w:after="0"/>
        <w:tabs>
          <w:tab w:leader="none" w:pos="780" w:val="left"/>
        </w:tabs>
        <w:numPr>
          <w:ilvl w:val="1"/>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Recently Issued Accounting Standards</w:t>
      </w:r>
    </w:p>
    <w:p>
      <w:pPr>
        <w:spacing w:after="0" w:line="130" w:lineRule="exact"/>
        <w:rPr>
          <w:rFonts w:ascii="Arial" w:cs="Arial" w:eastAsia="Arial" w:hAnsi="Arial"/>
          <w:sz w:val="18"/>
          <w:szCs w:val="18"/>
          <w:i w:val="1"/>
          <w:iCs w:val="1"/>
          <w:color w:val="auto"/>
        </w:rPr>
      </w:pPr>
    </w:p>
    <w:p>
      <w:pPr>
        <w:ind w:left="1540" w:hanging="439"/>
        <w:spacing w:after="0" w:line="257" w:lineRule="auto"/>
        <w:tabs>
          <w:tab w:leader="none" w:pos="1540" w:val="left"/>
        </w:tabs>
        <w:numPr>
          <w:ilvl w:val="2"/>
          <w:numId w:val="5"/>
        </w:numPr>
        <w:rPr>
          <w:rFonts w:ascii="Arial" w:cs="Arial" w:eastAsia="Arial" w:hAnsi="Arial"/>
          <w:sz w:val="18"/>
          <w:szCs w:val="18"/>
          <w:color w:val="auto"/>
        </w:rPr>
      </w:pPr>
      <w:r>
        <w:rPr>
          <w:rFonts w:ascii="Arial" w:cs="Arial" w:eastAsia="Arial" w:hAnsi="Arial"/>
          <w:sz w:val="18"/>
          <w:szCs w:val="18"/>
          <w:color w:val="auto"/>
        </w:rPr>
        <w:t>In December 2019, the FASB issued ASU 2019-12, Income Taxes (Topic 740)—Simplifying the Accounting for Income Taxes, which is intended to simplify various aspects related to accounting for income taxes. ASU 2019-12 removes certain exceptions to the general principles in Topic 740 and also clarifies and amends existing guidance to improve consistent application. ASU 2019-12 is effective for the Company beginning January 1, 2021. The Company is currently evaluating the effect of adopting this ASU on the Company’s financial statements.</w:t>
      </w:r>
    </w:p>
    <w:p>
      <w:pPr>
        <w:spacing w:after="0" w:line="93" w:lineRule="exact"/>
        <w:rPr>
          <w:rFonts w:ascii="Arial" w:cs="Arial" w:eastAsia="Arial" w:hAnsi="Arial"/>
          <w:sz w:val="18"/>
          <w:szCs w:val="18"/>
          <w:color w:val="auto"/>
        </w:rPr>
      </w:pPr>
    </w:p>
    <w:p>
      <w:pPr>
        <w:ind w:left="1540" w:right="120" w:hanging="439"/>
        <w:spacing w:after="0" w:line="255" w:lineRule="auto"/>
        <w:tabs>
          <w:tab w:leader="none" w:pos="1540" w:val="left"/>
        </w:tabs>
        <w:numPr>
          <w:ilvl w:val="2"/>
          <w:numId w:val="5"/>
        </w:numPr>
        <w:rPr>
          <w:rFonts w:ascii="Arial" w:cs="Arial" w:eastAsia="Arial" w:hAnsi="Arial"/>
          <w:sz w:val="18"/>
          <w:szCs w:val="18"/>
          <w:color w:val="auto"/>
        </w:rPr>
      </w:pPr>
      <w:r>
        <w:rPr>
          <w:rFonts w:ascii="Arial" w:cs="Arial" w:eastAsia="Arial" w:hAnsi="Arial"/>
          <w:sz w:val="18"/>
          <w:szCs w:val="18"/>
          <w:color w:val="auto"/>
        </w:rPr>
        <w:t>In January 2020, the FASB issued ASU 2020-01, Investments—Equity Securities (Topic 321), Investments—Equity Method and Joint Ventures (Topic 323), and Derivatives and Hedging (Topic 815) (“ASU 2020-01”), which is intended to clarify the interaction of the accounting for equity securities under Topic 321 and investments accounted for under the equity method of accounting in Topic 323 and the accounting for certain forward contracts and purchased options accounted for under Topic 815. ASU 2020-01 is effective for the Company beginning January 1, 2021. The Company is currently evaluating the effect of adopting this ASU on the Company’s financial statements.</w:t>
      </w:r>
    </w:p>
    <w:p>
      <w:pPr>
        <w:spacing w:after="0" w:line="97" w:lineRule="exact"/>
        <w:rPr>
          <w:rFonts w:ascii="Arial" w:cs="Arial" w:eastAsia="Arial" w:hAnsi="Arial"/>
          <w:sz w:val="18"/>
          <w:szCs w:val="18"/>
          <w:color w:val="auto"/>
        </w:rPr>
      </w:pPr>
    </w:p>
    <w:p>
      <w:pPr>
        <w:ind w:left="1540" w:right="100" w:hanging="439"/>
        <w:spacing w:after="0" w:line="269" w:lineRule="auto"/>
        <w:tabs>
          <w:tab w:leader="none" w:pos="1540" w:val="left"/>
        </w:tabs>
        <w:numPr>
          <w:ilvl w:val="2"/>
          <w:numId w:val="5"/>
        </w:numPr>
        <w:rPr>
          <w:rFonts w:ascii="Arial" w:cs="Arial" w:eastAsia="Arial" w:hAnsi="Arial"/>
          <w:sz w:val="17"/>
          <w:szCs w:val="17"/>
          <w:color w:val="auto"/>
        </w:rPr>
      </w:pPr>
      <w:r>
        <w:rPr>
          <w:rFonts w:ascii="Arial" w:cs="Arial" w:eastAsia="Arial" w:hAnsi="Arial"/>
          <w:sz w:val="17"/>
          <w:szCs w:val="17"/>
          <w:color w:val="auto"/>
        </w:rPr>
        <w:t xml:space="preserve">On August 5, 2020, the FASB issued Accounting Standards Update No. 2020-06, </w:t>
      </w:r>
      <w:r>
        <w:rPr>
          <w:rFonts w:ascii="Arial" w:cs="Arial" w:eastAsia="Arial" w:hAnsi="Arial"/>
          <w:sz w:val="17"/>
          <w:szCs w:val="17"/>
          <w:i w:val="1"/>
          <w:iCs w:val="1"/>
          <w:color w:val="auto"/>
        </w:rPr>
        <w:t>Debt—Debt with Conversion and Other Options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(Subtopic 470-20) and Derivatives and Hedging—Contracts in Entity’s Own Equity (Subtopic 815-40): Accounting for Convertible Instruments and Contracts in an Entity’s Own Equity, </w:t>
      </w:r>
      <w:r>
        <w:rPr>
          <w:rFonts w:ascii="Arial" w:cs="Arial" w:eastAsia="Arial" w:hAnsi="Arial"/>
          <w:sz w:val="17"/>
          <w:szCs w:val="17"/>
          <w:color w:val="auto"/>
        </w:rPr>
        <w:t>to improve financial reporting associated with accounting for convertible</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and contracts in an entity’s own equity. The amendments in this Update are effective for public business entities that meet the definition of a Securities and Exchange Commission (SEC) filer, excluding entities eligible to be smaller reporting companies as defined by the SEC, for fiscal years beginning after December 15, 2021, including interim periods within those fiscal years. For all other entities, the amendments are effective for fiscal years beginning after December 15, 2023, including interim periods within those fiscal years. Early adoption is permitted, but no earlier than fiscal years beginning after December 15, 2020, including interim periods within those fiscal years. The Board specified that an entity should adopt the guidance as of the beginning of its annual fiscal year. The Company is currently evaluating the effect of adopting this ASU on the Company’s financial statements.</w:t>
      </w:r>
    </w:p>
    <w:p>
      <w:pPr>
        <w:spacing w:after="0" w:line="289" w:lineRule="exact"/>
        <w:rPr>
          <w:rFonts w:ascii="Arial" w:cs="Arial" w:eastAsia="Arial" w:hAnsi="Arial"/>
          <w:sz w:val="17"/>
          <w:szCs w:val="17"/>
          <w:color w:val="auto"/>
        </w:rPr>
      </w:pPr>
    </w:p>
    <w:p>
      <w:pPr>
        <w:ind w:left="820" w:hanging="264"/>
        <w:spacing w:after="0"/>
        <w:tabs>
          <w:tab w:leader="none" w:pos="820" w:val="left"/>
        </w:tabs>
        <w:numPr>
          <w:ilvl w:val="1"/>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Coronavirus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-4896485</wp:posOffset>
            </wp:positionV>
            <wp:extent cx="6995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7" w:lineRule="exact"/>
        <w:rPr>
          <w:sz w:val="20"/>
          <w:szCs w:val="20"/>
          <w:color w:val="auto"/>
        </w:rPr>
      </w:pPr>
    </w:p>
    <w:p>
      <w:pPr>
        <w:jc w:val="both"/>
        <w:ind w:left="120" w:right="360" w:firstLine="440"/>
        <w:spacing w:after="0" w:line="311" w:lineRule="auto"/>
        <w:rPr>
          <w:sz w:val="20"/>
          <w:szCs w:val="20"/>
          <w:color w:val="auto"/>
        </w:rPr>
      </w:pPr>
      <w:r>
        <w:rPr>
          <w:rFonts w:ascii="Arial" w:cs="Arial" w:eastAsia="Arial" w:hAnsi="Arial"/>
          <w:sz w:val="16"/>
          <w:szCs w:val="16"/>
          <w:color w:val="auto"/>
        </w:rPr>
        <w:t>In March 2020, the World Health Organization categorized coronavirus disease 2019 (“COVID-19”) as a pandemic. COVID-19 continues to spread throughout the U.S. and other countries across the world, and the duration and severity of its effects are currently unknown. The Company is implementing and evaluating actions to strengthen its financial position and support the continuity of its business and operations.</w:t>
      </w:r>
    </w:p>
    <w:p>
      <w:pPr>
        <w:spacing w:after="0" w:line="14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Company’s unaudited interim condensed consolidated financial statements presented herein reflect estimates and assumptions made by management that affect the reported amounts of assets and liabilities and disclosure of contingent assets and liabilities at the date of the unaudited interim condensed consolidated financial statements and reported amounts of revenue and expenses during the periods presented. Such estimates and assumptions affect, among other things, the Company’s goodwill, long-lived asset and intangible assets; operating lease right of use assets and operating lease liabilities; assessment of the annual effective tax rate; valuation of deferred income taxes; the allowance for doubtful accounts; assessment of the Company’s lease and non-lease contract expenses; and measurement of compensation cost for bonus and other compensation plans. While the Company’s revenue, gross profit and operating income were not impacted during the first six months of 2020, the uncertain nature of the spread of COVID-19 may impact the Company’s business operations for reasons including the potential quarantine of the Company’s employees or those of its supply chain partners and continued designation as “essential” in states where we do business that currently or in the future impose restrictions on business operations. The estimates and assumptions used in the unaudited interim condensed consolidated financial statements, which include but are not limited to certain judgmental reserves requiring management to makes estimates based on current information, the carrying value of the Company’s goodwill and other long-lived assets, for the three and six months ended June 30, 2020 may change in future periods as the expected impacts from COVID-19 are revised, resulting in further potential impacts to the Company’s financial statements.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inventories include the following at June 30, 2020 and December 31,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6"/>
          </w:tcPr>
          <w:p>
            <w:pPr>
              <w:jc w:val="right"/>
              <w:ind w:right="450"/>
              <w:spacing w:after="0"/>
              <w:rPr>
                <w:sz w:val="20"/>
                <w:szCs w:val="20"/>
                <w:color w:val="auto"/>
              </w:rPr>
            </w:pPr>
            <w:r>
              <w:rPr>
                <w:rFonts w:ascii="Arial" w:cs="Arial" w:eastAsia="Arial" w:hAnsi="Arial"/>
                <w:sz w:val="14"/>
                <w:szCs w:val="14"/>
                <w:b w:val="1"/>
                <w:bCs w:val="1"/>
                <w:color w:val="auto"/>
              </w:rPr>
              <w:t>June 30,</w:t>
            </w:r>
          </w:p>
        </w:tc>
        <w:tc>
          <w:tcPr>
            <w:tcW w:w="12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ind w:right="233"/>
              <w:spacing w:after="0"/>
              <w:rPr>
                <w:sz w:val="20"/>
                <w:szCs w:val="20"/>
                <w:color w:val="auto"/>
              </w:rPr>
            </w:pPr>
            <w:r>
              <w:rPr>
                <w:rFonts w:ascii="Arial" w:cs="Arial" w:eastAsia="Arial" w:hAnsi="Arial"/>
                <w:sz w:val="14"/>
                <w:szCs w:val="14"/>
                <w:b w:val="1"/>
                <w:bCs w:val="1"/>
                <w:color w:val="auto"/>
                <w:w w:val="89"/>
              </w:rPr>
              <w:t>2020</w:t>
            </w: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4"/>
              </w:rPr>
              <w:t>$ 2,888,356</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  6,375,032</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w w:val="90"/>
              </w:rPr>
              <w:t>Packaging and Miscellaneous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7"/>
          </w:tcPr>
          <w:p>
            <w:pPr>
              <w:jc w:val="right"/>
              <w:ind w:right="250"/>
              <w:spacing w:after="0"/>
              <w:rPr>
                <w:sz w:val="20"/>
                <w:szCs w:val="20"/>
                <w:color w:val="auto"/>
              </w:rPr>
            </w:pPr>
            <w:r>
              <w:rPr>
                <w:rFonts w:ascii="Arial" w:cs="Arial" w:eastAsia="Arial" w:hAnsi="Arial"/>
                <w:sz w:val="18"/>
                <w:szCs w:val="18"/>
                <w:color w:val="auto"/>
              </w:rPr>
              <w:t>5,654,661</w:t>
            </w:r>
          </w:p>
        </w:tc>
        <w:tc>
          <w:tcPr>
            <w:tcW w:w="1060" w:type="dxa"/>
            <w:vAlign w:val="bottom"/>
            <w:gridSpan w:val="4"/>
          </w:tcPr>
          <w:p>
            <w:pPr>
              <w:jc w:val="right"/>
              <w:ind w:right="100"/>
              <w:spacing w:after="0"/>
              <w:rPr>
                <w:sz w:val="20"/>
                <w:szCs w:val="20"/>
                <w:color w:val="auto"/>
              </w:rPr>
            </w:pPr>
            <w:r>
              <w:rPr>
                <w:rFonts w:ascii="Arial" w:cs="Arial" w:eastAsia="Arial" w:hAnsi="Arial"/>
                <w:sz w:val="18"/>
                <w:szCs w:val="18"/>
                <w:color w:val="auto"/>
              </w:rPr>
              <w:t>4,887,970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7"/>
            <w:shd w:val="clear" w:color="auto" w:fill="CCEEFF"/>
          </w:tcPr>
          <w:p>
            <w:pPr>
              <w:jc w:val="right"/>
              <w:ind w:right="250"/>
              <w:spacing w:after="0"/>
              <w:rPr>
                <w:sz w:val="20"/>
                <w:szCs w:val="20"/>
                <w:color w:val="auto"/>
              </w:rPr>
            </w:pPr>
            <w:r>
              <w:rPr>
                <w:rFonts w:ascii="Arial" w:cs="Arial" w:eastAsia="Arial" w:hAnsi="Arial"/>
                <w:sz w:val="18"/>
                <w:szCs w:val="18"/>
                <w:color w:val="auto"/>
              </w:rPr>
              <w:t>24,036,171</w:t>
            </w:r>
          </w:p>
        </w:tc>
        <w:tc>
          <w:tcPr>
            <w:tcW w:w="1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20,162,723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7"/>
          </w:tcPr>
          <w:p>
            <w:pPr>
              <w:jc w:val="right"/>
              <w:ind w:right="250"/>
              <w:spacing w:after="0"/>
              <w:rPr>
                <w:sz w:val="20"/>
                <w:szCs w:val="20"/>
                <w:color w:val="auto"/>
              </w:rPr>
            </w:pPr>
            <w:r>
              <w:rPr>
                <w:rFonts w:ascii="Arial" w:cs="Arial" w:eastAsia="Arial" w:hAnsi="Arial"/>
                <w:sz w:val="18"/>
                <w:szCs w:val="18"/>
                <w:color w:val="auto"/>
              </w:rPr>
              <w:t>22,762,425</w:t>
            </w:r>
          </w:p>
        </w:tc>
        <w:tc>
          <w:tcPr>
            <w:tcW w:w="1060" w:type="dxa"/>
            <w:vAlign w:val="bottom"/>
            <w:gridSpan w:val="4"/>
          </w:tcPr>
          <w:p>
            <w:pPr>
              <w:jc w:val="right"/>
              <w:ind w:right="100"/>
              <w:spacing w:after="0"/>
              <w:rPr>
                <w:sz w:val="20"/>
                <w:szCs w:val="20"/>
                <w:color w:val="auto"/>
              </w:rPr>
            </w:pPr>
            <w:r>
              <w:rPr>
                <w:rFonts w:ascii="Arial" w:cs="Arial" w:eastAsia="Arial" w:hAnsi="Arial"/>
                <w:sz w:val="18"/>
                <w:szCs w:val="18"/>
                <w:color w:val="auto"/>
              </w:rPr>
              <w:t>16,640,629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0"/>
              </w:rPr>
              <w:t>Reserve for Obsolete Inventory</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7"/>
            <w:shd w:val="clear" w:color="auto" w:fill="CCEEFF"/>
          </w:tcPr>
          <w:p>
            <w:pPr>
              <w:jc w:val="right"/>
              <w:ind w:right="190"/>
              <w:spacing w:after="0"/>
              <w:rPr>
                <w:sz w:val="20"/>
                <w:szCs w:val="20"/>
                <w:color w:val="auto"/>
              </w:rPr>
            </w:pPr>
            <w:r>
              <w:rPr>
                <w:rFonts w:ascii="Arial" w:cs="Arial" w:eastAsia="Arial" w:hAnsi="Arial"/>
                <w:sz w:val="18"/>
                <w:szCs w:val="18"/>
                <w:color w:val="auto"/>
              </w:rPr>
              <w:t>(1,356,917)</w:t>
            </w: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(2,031,873)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Total Inventories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53,984,696</w:t>
            </w:r>
          </w:p>
        </w:tc>
        <w:tc>
          <w:tcPr>
            <w:tcW w:w="340" w:type="dxa"/>
            <w:vAlign w:val="bottom"/>
          </w:tcPr>
          <w:p>
            <w:pPr>
              <w:spacing w:after="0"/>
              <w:rPr>
                <w:sz w:val="19"/>
                <w:szCs w:val="19"/>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$ 46,034,481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3. PROPERTY AND EQUIPMENT</w:t>
            </w: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50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240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660" w:type="dxa"/>
            <w:vAlign w:val="bottom"/>
            <w:gridSpan w:val="12"/>
          </w:tcPr>
          <w:p>
            <w:pPr>
              <w:spacing w:after="0"/>
              <w:rPr>
                <w:sz w:val="20"/>
                <w:szCs w:val="20"/>
                <w:color w:val="auto"/>
              </w:rPr>
            </w:pPr>
            <w:r>
              <w:rPr>
                <w:rFonts w:ascii="Arial" w:cs="Arial" w:eastAsia="Arial" w:hAnsi="Arial"/>
                <w:sz w:val="18"/>
                <w:szCs w:val="18"/>
                <w:color w:val="auto"/>
              </w:rPr>
              <w:t>At June 30, 2020, property and equipment consisted of the following:</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color w:val="auto"/>
                <w:w w:val="95"/>
              </w:rPr>
              <w:t>Equipment,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w w:val="99"/>
              </w:rPr>
              <w:t>Buildings and</w:t>
            </w: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Computers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2"/>
              </w:rPr>
              <w:t>Leasehold</w:t>
            </w:r>
          </w:p>
        </w:tc>
        <w:tc>
          <w:tcPr>
            <w:tcW w:w="140" w:type="dxa"/>
            <w:vAlign w:val="bottom"/>
          </w:tcPr>
          <w:p>
            <w:pPr>
              <w:spacing w:after="0"/>
              <w:rPr>
                <w:sz w:val="12"/>
                <w:szCs w:val="12"/>
                <w:color w:val="auto"/>
              </w:rPr>
            </w:pP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Capitalized</w:t>
            </w:r>
          </w:p>
        </w:tc>
        <w:tc>
          <w:tcPr>
            <w:tcW w:w="160" w:type="dxa"/>
            <w:vAlign w:val="bottom"/>
          </w:tcPr>
          <w:p>
            <w:pPr>
              <w:spacing w:after="0"/>
              <w:rPr>
                <w:sz w:val="12"/>
                <w:szCs w:val="12"/>
                <w:color w:val="auto"/>
              </w:rPr>
            </w:pPr>
          </w:p>
        </w:tc>
        <w:tc>
          <w:tcPr>
            <w:tcW w:w="1120" w:type="dxa"/>
            <w:vAlign w:val="bottom"/>
            <w:gridSpan w:val="4"/>
          </w:tcPr>
          <w:p>
            <w:pPr>
              <w:jc w:val="right"/>
              <w:ind w:right="280"/>
              <w:spacing w:after="0" w:line="149" w:lineRule="exact"/>
              <w:rPr>
                <w:sz w:val="20"/>
                <w:szCs w:val="20"/>
                <w:color w:val="auto"/>
              </w:rPr>
            </w:pPr>
            <w:r>
              <w:rPr>
                <w:rFonts w:ascii="Arial" w:cs="Arial" w:eastAsia="Arial" w:hAnsi="Arial"/>
                <w:sz w:val="14"/>
                <w:szCs w:val="14"/>
                <w:color w:val="auto"/>
                <w:w w:val="97"/>
              </w:rPr>
              <w:t>Assets Under</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color w:val="auto"/>
              </w:rPr>
              <w:t>Land</w:t>
            </w:r>
          </w:p>
        </w:tc>
        <w:tc>
          <w:tcPr>
            <w:tcW w:w="8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w w:val="96"/>
              </w:rPr>
              <w:t>Improvements</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color w:val="auto"/>
                <w:w w:val="93"/>
              </w:rPr>
              <w:t>and Furniture</w:t>
            </w:r>
          </w:p>
        </w:tc>
        <w:tc>
          <w:tcPr>
            <w:tcW w:w="80" w:type="dxa"/>
            <w:vAlign w:val="bottom"/>
          </w:tcPr>
          <w:p>
            <w:pPr>
              <w:spacing w:after="0"/>
              <w:rPr>
                <w:sz w:val="14"/>
                <w:szCs w:val="14"/>
                <w:color w:val="auto"/>
              </w:rPr>
            </w:pPr>
          </w:p>
        </w:tc>
        <w:tc>
          <w:tcPr>
            <w:tcW w:w="920" w:type="dxa"/>
            <w:vAlign w:val="bottom"/>
            <w:gridSpan w:val="4"/>
          </w:tcPr>
          <w:p>
            <w:pPr>
              <w:jc w:val="center"/>
              <w:ind w:right="40"/>
              <w:spacing w:after="0"/>
              <w:rPr>
                <w:sz w:val="20"/>
                <w:szCs w:val="20"/>
                <w:color w:val="auto"/>
              </w:rPr>
            </w:pPr>
            <w:r>
              <w:rPr>
                <w:rFonts w:ascii="Arial" w:cs="Arial" w:eastAsia="Arial" w:hAnsi="Arial"/>
                <w:sz w:val="14"/>
                <w:szCs w:val="14"/>
                <w:color w:val="auto"/>
                <w:w w:val="94"/>
              </w:rPr>
              <w:t>Improvements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10"/>
              <w:spacing w:after="0"/>
              <w:rPr>
                <w:sz w:val="20"/>
                <w:szCs w:val="20"/>
                <w:color w:val="auto"/>
              </w:rPr>
            </w:pPr>
            <w:r>
              <w:rPr>
                <w:rFonts w:ascii="Arial" w:cs="Arial" w:eastAsia="Arial" w:hAnsi="Arial"/>
                <w:sz w:val="14"/>
                <w:szCs w:val="14"/>
                <w:color w:val="auto"/>
              </w:rPr>
              <w:t>Interest</w:t>
            </w:r>
          </w:p>
        </w:tc>
        <w:tc>
          <w:tcPr>
            <w:tcW w:w="160" w:type="dxa"/>
            <w:vAlign w:val="bottom"/>
          </w:tcPr>
          <w:p>
            <w:pPr>
              <w:spacing w:after="0"/>
              <w:rPr>
                <w:sz w:val="14"/>
                <w:szCs w:val="14"/>
                <w:color w:val="auto"/>
              </w:rPr>
            </w:pPr>
          </w:p>
        </w:tc>
        <w:tc>
          <w:tcPr>
            <w:tcW w:w="1120" w:type="dxa"/>
            <w:vAlign w:val="bottom"/>
            <w:gridSpan w:val="4"/>
          </w:tcPr>
          <w:p>
            <w:pPr>
              <w:jc w:val="right"/>
              <w:ind w:right="300"/>
              <w:spacing w:after="0"/>
              <w:rPr>
                <w:sz w:val="20"/>
                <w:szCs w:val="20"/>
                <w:color w:val="auto"/>
              </w:rPr>
            </w:pPr>
            <w:r>
              <w:rPr>
                <w:rFonts w:ascii="Arial" w:cs="Arial" w:eastAsia="Arial" w:hAnsi="Arial"/>
                <w:sz w:val="14"/>
                <w:szCs w:val="14"/>
                <w:color w:val="auto"/>
              </w:rPr>
              <w:t>Construction</w:t>
            </w:r>
          </w:p>
        </w:tc>
        <w:tc>
          <w:tcPr>
            <w:tcW w:w="10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5"/>
        </w:trPr>
        <w:tc>
          <w:tcPr>
            <w:tcW w:w="3500" w:type="dxa"/>
            <w:vAlign w:val="bottom"/>
            <w:tcBorders>
              <w:top w:val="single" w:sz="8" w:color="CCEEFF"/>
            </w:tcBorders>
            <w:gridSpan w:val="5"/>
            <w:shd w:val="clear" w:color="auto" w:fill="CCEEFF"/>
          </w:tcPr>
          <w:p>
            <w:pPr>
              <w:spacing w:after="0" w:line="156" w:lineRule="exact"/>
              <w:rPr>
                <w:sz w:val="20"/>
                <w:szCs w:val="20"/>
                <w:color w:val="auto"/>
              </w:rPr>
            </w:pPr>
            <w:r>
              <w:rPr>
                <w:rFonts w:ascii="Arial" w:cs="Arial" w:eastAsia="Arial" w:hAnsi="Arial"/>
                <w:sz w:val="18"/>
                <w:szCs w:val="18"/>
                <w:color w:val="auto"/>
              </w:rPr>
              <w:t>Cost</w:t>
            </w: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2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gridSpan w:val="5"/>
          </w:tcPr>
          <w:p>
            <w:pPr>
              <w:spacing w:after="0"/>
              <w:rPr>
                <w:sz w:val="20"/>
                <w:szCs w:val="20"/>
                <w:color w:val="auto"/>
              </w:rPr>
            </w:pPr>
            <w:r>
              <w:rPr>
                <w:rFonts w:ascii="Arial" w:cs="Arial" w:eastAsia="Arial" w:hAnsi="Arial"/>
                <w:sz w:val="18"/>
                <w:szCs w:val="18"/>
                <w:color w:val="auto"/>
              </w:rPr>
              <w:t>As at January 1, 2020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3,272,439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33,377,471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35,509,871</w:t>
            </w: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w w:val="95"/>
              </w:rPr>
              <w:t>$68,681,497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2,500,000</w:t>
            </w:r>
          </w:p>
        </w:tc>
        <w:tc>
          <w:tcPr>
            <w:tcW w:w="1280" w:type="dxa"/>
            <w:vAlign w:val="bottom"/>
            <w:gridSpan w:val="5"/>
          </w:tcPr>
          <w:p>
            <w:pPr>
              <w:jc w:val="right"/>
              <w:ind w:right="220"/>
              <w:spacing w:after="0"/>
              <w:rPr>
                <w:sz w:val="20"/>
                <w:szCs w:val="20"/>
                <w:color w:val="auto"/>
              </w:rPr>
            </w:pPr>
            <w:r>
              <w:rPr>
                <w:rFonts w:ascii="Arial" w:cs="Arial" w:eastAsia="Arial" w:hAnsi="Arial"/>
                <w:sz w:val="18"/>
                <w:szCs w:val="18"/>
                <w:color w:val="auto"/>
              </w:rPr>
              <w:t>$21,372,116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164,713,394</w:t>
            </w:r>
          </w:p>
        </w:tc>
        <w:tc>
          <w:tcPr>
            <w:tcW w:w="0" w:type="dxa"/>
            <w:vAlign w:val="bottom"/>
          </w:tcPr>
          <w:p>
            <w:pPr>
              <w:spacing w:after="0"/>
              <w:rPr>
                <w:sz w:val="1"/>
                <w:szCs w:val="1"/>
                <w:color w:val="auto"/>
              </w:rPr>
            </w:pPr>
          </w:p>
        </w:tc>
      </w:tr>
      <w:tr>
        <w:trPr>
          <w:trHeight w:val="216"/>
        </w:trPr>
        <w:tc>
          <w:tcPr>
            <w:tcW w:w="3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Additions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182,219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20,033,308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2,923,306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8,579,566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263,437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625,299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32,607,135</w:t>
            </w:r>
          </w:p>
        </w:tc>
        <w:tc>
          <w:tcPr>
            <w:tcW w:w="0" w:type="dxa"/>
            <w:vAlign w:val="bottom"/>
          </w:tcPr>
          <w:p>
            <w:pPr>
              <w:spacing w:after="0"/>
              <w:rPr>
                <w:sz w:val="1"/>
                <w:szCs w:val="1"/>
                <w:color w:val="auto"/>
              </w:rPr>
            </w:pPr>
          </w:p>
        </w:tc>
      </w:tr>
      <w:tr>
        <w:trPr>
          <w:trHeight w:val="216"/>
        </w:trPr>
        <w:tc>
          <w:tcPr>
            <w:tcW w:w="3500" w:type="dxa"/>
            <w:vAlign w:val="bottom"/>
            <w:gridSpan w:val="5"/>
          </w:tcPr>
          <w:p>
            <w:pPr>
              <w:spacing w:after="0"/>
              <w:rPr>
                <w:sz w:val="20"/>
                <w:szCs w:val="20"/>
                <w:color w:val="auto"/>
              </w:rPr>
            </w:pPr>
            <w:r>
              <w:rPr>
                <w:rFonts w:ascii="Arial" w:cs="Arial" w:eastAsia="Arial" w:hAnsi="Arial"/>
                <w:sz w:val="18"/>
                <w:szCs w:val="18"/>
                <w:color w:val="auto"/>
              </w:rPr>
              <w:t>Disposals</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(979,930)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(4,508,578)</w:t>
            </w:r>
          </w:p>
        </w:tc>
        <w:tc>
          <w:tcPr>
            <w:tcW w:w="10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(6,934,600)</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(12,423,108)</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As at June 30, 2020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2,474,728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48,902,201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38,433,177</w:t>
            </w:r>
          </w:p>
        </w:tc>
        <w:tc>
          <w:tcPr>
            <w:tcW w:w="10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77,261,063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2,763,437</w:t>
            </w:r>
          </w:p>
        </w:tc>
        <w:tc>
          <w:tcPr>
            <w:tcW w:w="12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15,062,815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184,897,421</w:t>
            </w:r>
          </w:p>
        </w:tc>
        <w:tc>
          <w:tcPr>
            <w:tcW w:w="0" w:type="dxa"/>
            <w:vAlign w:val="bottom"/>
          </w:tcPr>
          <w:p>
            <w:pPr>
              <w:spacing w:after="0"/>
              <w:rPr>
                <w:sz w:val="1"/>
                <w:szCs w:val="1"/>
                <w:color w:val="auto"/>
              </w:rPr>
            </w:pPr>
          </w:p>
        </w:tc>
      </w:tr>
      <w:tr>
        <w:trPr>
          <w:trHeight w:val="20"/>
        </w:trPr>
        <w:tc>
          <w:tcPr>
            <w:tcW w:w="3500" w:type="dxa"/>
            <w:vAlign w:val="bottom"/>
            <w:gridSpan w:val="5"/>
            <w:vMerge w:val="restart"/>
          </w:tcPr>
          <w:p>
            <w:pPr>
              <w:spacing w:after="0"/>
              <w:rPr>
                <w:sz w:val="20"/>
                <w:szCs w:val="20"/>
                <w:color w:val="auto"/>
              </w:rPr>
            </w:pPr>
            <w:r>
              <w:rPr>
                <w:rFonts w:ascii="Arial" w:cs="Arial" w:eastAsia="Arial" w:hAnsi="Arial"/>
                <w:sz w:val="18"/>
                <w:szCs w:val="18"/>
                <w:color w:val="auto"/>
              </w:rPr>
              <w:t>Accumulated Depreciation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50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As at January 1, 2020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2,236,254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3,882,178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2,998,287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9,116,719</w:t>
            </w:r>
          </w:p>
        </w:tc>
        <w:tc>
          <w:tcPr>
            <w:tcW w:w="0" w:type="dxa"/>
            <w:vAlign w:val="bottom"/>
          </w:tcPr>
          <w:p>
            <w:pPr>
              <w:spacing w:after="0"/>
              <w:rPr>
                <w:sz w:val="1"/>
                <w:szCs w:val="1"/>
                <w:color w:val="auto"/>
              </w:rPr>
            </w:pPr>
          </w:p>
        </w:tc>
      </w:tr>
      <w:tr>
        <w:trPr>
          <w:trHeight w:val="216"/>
        </w:trPr>
        <w:tc>
          <w:tcPr>
            <w:tcW w:w="3500" w:type="dxa"/>
            <w:vAlign w:val="bottom"/>
            <w:gridSpan w:val="5"/>
          </w:tcPr>
          <w:p>
            <w:pPr>
              <w:spacing w:after="0"/>
              <w:rPr>
                <w:sz w:val="20"/>
                <w:szCs w:val="20"/>
                <w:color w:val="auto"/>
              </w:rPr>
            </w:pPr>
            <w:r>
              <w:rPr>
                <w:rFonts w:ascii="Arial" w:cs="Arial" w:eastAsia="Arial" w:hAnsi="Arial"/>
                <w:sz w:val="18"/>
                <w:szCs w:val="18"/>
                <w:color w:val="auto"/>
              </w:rPr>
              <w:t>As at June 30, 2020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2,859,973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6,870,663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8,090,163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109,228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17,930,027</w:t>
            </w:r>
          </w:p>
        </w:tc>
        <w:tc>
          <w:tcPr>
            <w:tcW w:w="0" w:type="dxa"/>
            <w:vAlign w:val="bottom"/>
          </w:tcPr>
          <w:p>
            <w:pPr>
              <w:spacing w:after="0"/>
              <w:rPr>
                <w:sz w:val="1"/>
                <w:szCs w:val="1"/>
                <w:color w:val="auto"/>
              </w:rPr>
            </w:pPr>
          </w:p>
        </w:tc>
      </w:tr>
      <w:tr>
        <w:trPr>
          <w:trHeight w:val="196"/>
        </w:trPr>
        <w:tc>
          <w:tcPr>
            <w:tcW w:w="11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9"/>
              </w:rPr>
              <w:t>Net book value</w:t>
            </w:r>
          </w:p>
        </w:tc>
        <w:tc>
          <w:tcPr>
            <w:tcW w:w="240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gridSpan w:val="5"/>
          </w:tcPr>
          <w:p>
            <w:pPr>
              <w:spacing w:after="0"/>
              <w:rPr>
                <w:sz w:val="20"/>
                <w:szCs w:val="20"/>
                <w:color w:val="auto"/>
              </w:rPr>
            </w:pPr>
            <w:r>
              <w:rPr>
                <w:rFonts w:ascii="Arial" w:cs="Arial" w:eastAsia="Arial" w:hAnsi="Arial"/>
                <w:sz w:val="18"/>
                <w:szCs w:val="18"/>
                <w:color w:val="auto"/>
              </w:rPr>
              <w:t>As at January 1, 2020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3,272,439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31,141,217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31,627,693</w:t>
            </w: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w w:val="95"/>
              </w:rPr>
              <w:t>$65,683,210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2,500,000</w:t>
            </w:r>
          </w:p>
        </w:tc>
        <w:tc>
          <w:tcPr>
            <w:tcW w:w="1280" w:type="dxa"/>
            <w:vAlign w:val="bottom"/>
            <w:gridSpan w:val="5"/>
          </w:tcPr>
          <w:p>
            <w:pPr>
              <w:jc w:val="right"/>
              <w:ind w:right="220"/>
              <w:spacing w:after="0"/>
              <w:rPr>
                <w:sz w:val="20"/>
                <w:szCs w:val="20"/>
                <w:color w:val="auto"/>
              </w:rPr>
            </w:pPr>
            <w:r>
              <w:rPr>
                <w:rFonts w:ascii="Arial" w:cs="Arial" w:eastAsia="Arial" w:hAnsi="Arial"/>
                <w:sz w:val="18"/>
                <w:szCs w:val="18"/>
                <w:color w:val="auto"/>
              </w:rPr>
              <w:t>$21,372,116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155,596,675</w:t>
            </w:r>
          </w:p>
        </w:tc>
        <w:tc>
          <w:tcPr>
            <w:tcW w:w="0" w:type="dxa"/>
            <w:vAlign w:val="bottom"/>
          </w:tcPr>
          <w:p>
            <w:pPr>
              <w:spacing w:after="0"/>
              <w:rPr>
                <w:sz w:val="1"/>
                <w:szCs w:val="1"/>
                <w:color w:val="auto"/>
              </w:rPr>
            </w:pPr>
          </w:p>
        </w:tc>
      </w:tr>
      <w:tr>
        <w:trPr>
          <w:trHeight w:val="216"/>
        </w:trPr>
        <w:tc>
          <w:tcPr>
            <w:tcW w:w="3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As at June 30, 2020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2,474,728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46,042,229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31,562,514</w:t>
            </w:r>
          </w:p>
        </w:tc>
        <w:tc>
          <w:tcPr>
            <w:tcW w:w="10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5"/>
              </w:rPr>
              <w:t>$69,170,899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2,654,209</w:t>
            </w:r>
          </w:p>
        </w:tc>
        <w:tc>
          <w:tcPr>
            <w:tcW w:w="12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$15,062,815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166,967,394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2019, property and equipment consisted of the following:</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Equipment,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8"/>
        </w:trPr>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Buildings and</w:t>
            </w: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Computers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Leasehold</w:t>
            </w:r>
          </w:p>
        </w:tc>
        <w:tc>
          <w:tcPr>
            <w:tcW w:w="90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Capitalized</w:t>
            </w:r>
          </w:p>
        </w:tc>
        <w:tc>
          <w:tcPr>
            <w:tcW w:w="80" w:type="dxa"/>
            <w:vAlign w:val="bottom"/>
          </w:tcPr>
          <w:p>
            <w:pPr>
              <w:spacing w:after="0"/>
              <w:rPr>
                <w:sz w:val="12"/>
                <w:szCs w:val="12"/>
                <w:color w:val="auto"/>
              </w:rPr>
            </w:pP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97"/>
              </w:rPr>
              <w:t>Assets Under</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color w:val="auto"/>
              </w:rPr>
              <w:t>Land</w:t>
            </w:r>
          </w:p>
        </w:tc>
        <w:tc>
          <w:tcPr>
            <w:tcW w:w="1180" w:type="dxa"/>
            <w:vAlign w:val="bottom"/>
            <w:gridSpan w:val="3"/>
          </w:tcPr>
          <w:p>
            <w:pPr>
              <w:jc w:val="right"/>
              <w:ind w:right="280"/>
              <w:spacing w:after="0"/>
              <w:rPr>
                <w:sz w:val="20"/>
                <w:szCs w:val="20"/>
                <w:color w:val="auto"/>
              </w:rPr>
            </w:pPr>
            <w:r>
              <w:rPr>
                <w:rFonts w:ascii="Arial" w:cs="Arial" w:eastAsia="Arial" w:hAnsi="Arial"/>
                <w:sz w:val="14"/>
                <w:szCs w:val="14"/>
                <w:color w:val="auto"/>
                <w:w w:val="99"/>
              </w:rPr>
              <w:t>Improvements</w:t>
            </w: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color w:val="auto"/>
                <w:w w:val="93"/>
              </w:rPr>
              <w:t>and Furniture</w:t>
            </w:r>
          </w:p>
        </w:tc>
        <w:tc>
          <w:tcPr>
            <w:tcW w:w="8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color w:val="auto"/>
                <w:w w:val="94"/>
              </w:rPr>
              <w:t>Improvements</w:t>
            </w:r>
          </w:p>
        </w:tc>
        <w:tc>
          <w:tcPr>
            <w:tcW w:w="8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color w:val="auto"/>
              </w:rPr>
              <w:t>Interest</w:t>
            </w:r>
          </w:p>
        </w:tc>
        <w:tc>
          <w:tcPr>
            <w:tcW w:w="80" w:type="dxa"/>
            <w:vAlign w:val="bottom"/>
          </w:tcPr>
          <w:p>
            <w:pPr>
              <w:spacing w:after="0"/>
              <w:rPr>
                <w:sz w:val="14"/>
                <w:szCs w:val="14"/>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4"/>
                <w:szCs w:val="14"/>
                <w:color w:val="auto"/>
              </w:rPr>
              <w:t>Construction</w:t>
            </w:r>
          </w:p>
        </w:tc>
        <w:tc>
          <w:tcPr>
            <w:tcW w:w="10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color w:val="auto"/>
              </w:rPr>
              <w:t>Total</w:t>
            </w:r>
          </w:p>
        </w:tc>
      </w:tr>
      <w:tr>
        <w:trPr>
          <w:trHeight w:val="155"/>
        </w:trPr>
        <w:tc>
          <w:tcPr>
            <w:tcW w:w="270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Cost</w:t>
            </w:r>
          </w:p>
        </w:tc>
        <w:tc>
          <w:tcPr>
            <w:tcW w:w="6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r>
      <w:tr>
        <w:trPr>
          <w:trHeight w:val="20"/>
        </w:trPr>
        <w:tc>
          <w:tcPr>
            <w:tcW w:w="32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700" w:type="dxa"/>
            <w:vAlign w:val="bottom"/>
            <w:gridSpan w:val="4"/>
          </w:tcPr>
          <w:p>
            <w:pPr>
              <w:spacing w:after="0"/>
              <w:rPr>
                <w:sz w:val="20"/>
                <w:szCs w:val="20"/>
                <w:color w:val="auto"/>
              </w:rPr>
            </w:pPr>
            <w:r>
              <w:rPr>
                <w:rFonts w:ascii="Arial" w:cs="Arial" w:eastAsia="Arial" w:hAnsi="Arial"/>
                <w:sz w:val="18"/>
                <w:szCs w:val="18"/>
                <w:color w:val="auto"/>
              </w:rPr>
              <w:t>As at January 1, 2019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2,243,085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20,861,988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11,001,498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18,435,893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16,664,958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69,207,422</w:t>
            </w:r>
          </w:p>
        </w:tc>
      </w:tr>
      <w:tr>
        <w:trPr>
          <w:trHeight w:val="216"/>
        </w:trPr>
        <w:tc>
          <w:tcPr>
            <w:tcW w:w="2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4,393,030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28,217,500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23,109,209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38,002,678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2,500,000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4,678,084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100,900,501</w:t>
            </w:r>
          </w:p>
        </w:tc>
      </w:tr>
      <w:tr>
        <w:trPr>
          <w:trHeight w:val="216"/>
        </w:trPr>
        <w:tc>
          <w:tcPr>
            <w:tcW w:w="2700" w:type="dxa"/>
            <w:vAlign w:val="bottom"/>
            <w:gridSpan w:val="4"/>
          </w:tcPr>
          <w:p>
            <w:pPr>
              <w:spacing w:after="0"/>
              <w:rPr>
                <w:sz w:val="20"/>
                <w:szCs w:val="20"/>
                <w:color w:val="auto"/>
              </w:rPr>
            </w:pPr>
            <w:r>
              <w:rPr>
                <w:rFonts w:ascii="Arial" w:cs="Arial" w:eastAsia="Arial" w:hAnsi="Arial"/>
                <w:sz w:val="18"/>
                <w:szCs w:val="18"/>
                <w:color w:val="auto"/>
              </w:rPr>
              <w:t>Additions from acquisitions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4,253,362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12,242,926</w:t>
            </w:r>
          </w:p>
        </w:tc>
        <w:tc>
          <w:tcPr>
            <w:tcW w:w="8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29,074</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16,525,362</w:t>
            </w:r>
          </w:p>
        </w:tc>
      </w:tr>
      <w:tr>
        <w:trPr>
          <w:trHeight w:val="216"/>
        </w:trPr>
        <w:tc>
          <w:tcPr>
            <w:tcW w:w="2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Disposals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(3,363,676)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(15,702,017)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(2,854,198)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(21,919,891)</w:t>
            </w:r>
          </w:p>
        </w:tc>
      </w:tr>
      <w:tr>
        <w:trPr>
          <w:trHeight w:val="223"/>
        </w:trPr>
        <w:tc>
          <w:tcPr>
            <w:tcW w:w="2700" w:type="dxa"/>
            <w:vAlign w:val="bottom"/>
            <w:gridSpan w:val="4"/>
          </w:tcPr>
          <w:p>
            <w:pPr>
              <w:spacing w:after="0"/>
              <w:rPr>
                <w:sz w:val="20"/>
                <w:szCs w:val="20"/>
                <w:color w:val="auto"/>
              </w:rPr>
            </w:pPr>
            <w:r>
              <w:rPr>
                <w:rFonts w:ascii="Arial" w:cs="Arial" w:eastAsia="Arial" w:hAnsi="Arial"/>
                <w:sz w:val="18"/>
                <w:szCs w:val="18"/>
                <w:color w:val="auto"/>
              </w:rPr>
              <w:t>As at December 31, 2019</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3,272,439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33,377,471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35,509,871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68,681,497</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7"/>
              </w:rPr>
              <w:t>2,500,000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21,372,116</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164,713,394</w:t>
            </w:r>
          </w:p>
        </w:tc>
        <w:tc>
          <w:tcPr>
            <w:tcW w:w="12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0"/>
        </w:trPr>
        <w:tc>
          <w:tcPr>
            <w:tcW w:w="270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Accumulated Depreciation</w:t>
            </w: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6"/>
        </w:trPr>
        <w:tc>
          <w:tcPr>
            <w:tcW w:w="19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As at January 1, 2019</w:t>
            </w: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1,351,230</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w w:val="99"/>
              </w:rPr>
              <w:t>1,524,114</w:t>
            </w:r>
          </w:p>
        </w:tc>
        <w:tc>
          <w:tcPr>
            <w:tcW w:w="1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w w:val="99"/>
              </w:rPr>
              <w:t>1,007,998</w:t>
            </w: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CCEEFF"/>
            </w:tcBorders>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3,883,342</w:t>
            </w:r>
          </w:p>
        </w:tc>
      </w:tr>
      <w:tr>
        <w:trPr>
          <w:trHeight w:val="216"/>
        </w:trPr>
        <w:tc>
          <w:tcPr>
            <w:tcW w:w="2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 at December 31, 2019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2,236,254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3,882,178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2,998,287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9,116,719</w:t>
            </w:r>
          </w:p>
        </w:tc>
      </w:tr>
      <w:tr>
        <w:trPr>
          <w:trHeight w:val="175"/>
        </w:trPr>
        <w:tc>
          <w:tcPr>
            <w:tcW w:w="2700" w:type="dxa"/>
            <w:vAlign w:val="bottom"/>
            <w:gridSpan w:val="4"/>
          </w:tcPr>
          <w:p>
            <w:pPr>
              <w:spacing w:after="0" w:line="176" w:lineRule="exact"/>
              <w:rPr>
                <w:sz w:val="20"/>
                <w:szCs w:val="20"/>
                <w:color w:val="auto"/>
              </w:rPr>
            </w:pPr>
            <w:r>
              <w:rPr>
                <w:rFonts w:ascii="Arial" w:cs="Arial" w:eastAsia="Arial" w:hAnsi="Arial"/>
                <w:sz w:val="18"/>
                <w:szCs w:val="18"/>
                <w:color w:val="auto"/>
              </w:rPr>
              <w:t>Net book value</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3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2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 at January 1, 2019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2,243,085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19,510,758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9,477,384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17,427,895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16,664,958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65,324,080</w:t>
            </w:r>
          </w:p>
        </w:tc>
      </w:tr>
      <w:tr>
        <w:trPr>
          <w:trHeight w:val="230"/>
        </w:trPr>
        <w:tc>
          <w:tcPr>
            <w:tcW w:w="2700" w:type="dxa"/>
            <w:vAlign w:val="bottom"/>
            <w:gridSpan w:val="4"/>
          </w:tcPr>
          <w:p>
            <w:pPr>
              <w:spacing w:after="0"/>
              <w:rPr>
                <w:sz w:val="20"/>
                <w:szCs w:val="20"/>
                <w:color w:val="auto"/>
              </w:rPr>
            </w:pPr>
            <w:r>
              <w:rPr>
                <w:rFonts w:ascii="Arial" w:cs="Arial" w:eastAsia="Arial" w:hAnsi="Arial"/>
                <w:sz w:val="18"/>
                <w:szCs w:val="18"/>
                <w:color w:val="auto"/>
              </w:rPr>
              <w:t>As at December 31, 2019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3,272,439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31,141,217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31,627,693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65,683,210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w w:val="97"/>
              </w:rPr>
              <w:t>2,500,000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21,372,116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155,596,675</w:t>
            </w:r>
          </w:p>
        </w:tc>
      </w:tr>
    </w:tbl>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Assets under construction represent construction in progress related to both cultivation and dispensary facilities not yet completed or otherwise not ready for use.</w:t>
      </w:r>
    </w:p>
    <w:p>
      <w:pPr>
        <w:spacing w:after="0" w:line="170"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Depreciation expense for the three and six months ended June 30, 2020 totaled $5,402,980 and $9,189,985, respectively of which $2,582,435 and $5,260,162, respectively, is included in cost of goods sold. Depreciation expense for the three and six months ended June 30, 2019 totaled $1,567,268 and $2,618,594, respectively of which $1,159,993 and $1,809,090, respectively, is included in cost of goods sold.</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3. PROPERTY AND EQUIPMENT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On January 31, 2020, the Company closed on a sale and lease back transaction to sell its Toledo, Ohio processing facility to Innovative Industrial Properties (IIP). Under the long-term agreement, the Company will lease back the facility and continue to operate and manage it. As a result of the sale, the Company disposed of $205,000 of land and $2,695,000 of construction in progress. There was no gain or loss on the sale.</w:t>
      </w:r>
    </w:p>
    <w:p>
      <w:pPr>
        <w:spacing w:after="0" w:line="16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On March 6, 2020, the Company closed on a sale and lease back transaction to sell its Oglesby, Illinois cultivation and processing facility to IIP. Under the long-term agreement, the Company will lease back the facility and continue to operate and manage it. As a result of the sale, the Company disposed of $774,930 of land, $4,508,578 of buildings and improvements and $3,813,636 of construction in progress. The Company recognized a gain on the sale of Oglesby facility of $239,096 which was recorded within other income (expense) on the unaudited interim condensed consolidated statement of operations.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further information regarding these transactions, see Note 5—Leases.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9" w:lineRule="exact"/>
        <w:rPr>
          <w:sz w:val="20"/>
          <w:szCs w:val="20"/>
          <w:color w:val="auto"/>
        </w:rPr>
      </w:pPr>
    </w:p>
    <w:p>
      <w:pPr>
        <w:jc w:val="both"/>
        <w:ind w:left="120" w:right="120"/>
        <w:spacing w:after="0" w:line="259" w:lineRule="auto"/>
        <w:rPr>
          <w:sz w:val="20"/>
          <w:szCs w:val="20"/>
          <w:color w:val="auto"/>
        </w:rPr>
      </w:pPr>
      <w:r>
        <w:rPr>
          <w:rFonts w:ascii="Arial" w:cs="Arial" w:eastAsia="Arial" w:hAnsi="Arial"/>
          <w:sz w:val="18"/>
          <w:szCs w:val="18"/>
          <w:color w:val="auto"/>
        </w:rPr>
        <w:t>Intangible assets are recorded at cost less accumulated amortization and impairment losses, if any.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June 30, 2020 intangible assets consisted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Licenses and</w:t>
            </w:r>
          </w:p>
        </w:tc>
        <w:tc>
          <w:tcPr>
            <w:tcW w:w="120" w:type="dxa"/>
            <w:vAlign w:val="bottom"/>
          </w:tcPr>
          <w:p>
            <w:pPr>
              <w:spacing w:after="0"/>
              <w:rPr>
                <w:sz w:val="14"/>
                <w:szCs w:val="14"/>
                <w:color w:val="auto"/>
              </w:rPr>
            </w:pPr>
          </w:p>
        </w:tc>
        <w:tc>
          <w:tcPr>
            <w:tcW w:w="10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9"/>
              </w:rPr>
              <w:t>Tradenames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Customer</w:t>
            </w:r>
          </w:p>
        </w:tc>
        <w:tc>
          <w:tcPr>
            <w:tcW w:w="1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Non-Competition</w:t>
            </w:r>
          </w:p>
        </w:tc>
        <w:tc>
          <w:tcPr>
            <w:tcW w:w="100" w:type="dxa"/>
            <w:vAlign w:val="bottom"/>
          </w:tcPr>
          <w:p>
            <w:pPr>
              <w:spacing w:after="0"/>
              <w:rPr>
                <w:sz w:val="14"/>
                <w:szCs w:val="14"/>
                <w:color w:val="auto"/>
              </w:rPr>
            </w:pPr>
          </w:p>
        </w:tc>
        <w:tc>
          <w:tcPr>
            <w:tcW w:w="9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Permits</w:t>
            </w:r>
          </w:p>
        </w:tc>
        <w:tc>
          <w:tcPr>
            <w:tcW w:w="12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1"/>
              </w:rPr>
              <w:t>Relationships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Cost</w:t>
            </w:r>
          </w:p>
        </w:tc>
        <w:tc>
          <w:tcPr>
            <w:tcW w:w="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auto"/>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3"/>
          </w:tcPr>
          <w:p>
            <w:pPr>
              <w:spacing w:after="0"/>
              <w:rPr>
                <w:sz w:val="20"/>
                <w:szCs w:val="20"/>
                <w:color w:val="auto"/>
              </w:rPr>
            </w:pPr>
            <w:r>
              <w:rPr>
                <w:rFonts w:ascii="Arial" w:cs="Arial" w:eastAsia="Arial" w:hAnsi="Arial"/>
                <w:sz w:val="18"/>
                <w:szCs w:val="18"/>
                <w:color w:val="auto"/>
              </w:rPr>
              <w:t>As at January 1, 2020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336,954,213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97,455,590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25,258,000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2,585,480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462,253,283</w:t>
            </w: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 to Purchase Price Allocation</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1,840,009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1,695,009</w:t>
            </w:r>
          </w:p>
        </w:tc>
        <w:tc>
          <w:tcPr>
            <w:tcW w:w="0" w:type="dxa"/>
            <w:vAlign w:val="bottom"/>
          </w:tcPr>
          <w:p>
            <w:pPr>
              <w:spacing w:after="0"/>
              <w:rPr>
                <w:sz w:val="1"/>
                <w:szCs w:val="1"/>
                <w:color w:val="auto"/>
              </w:rPr>
            </w:pPr>
          </w:p>
        </w:tc>
      </w:tr>
      <w:tr>
        <w:trPr>
          <w:trHeight w:val="223"/>
        </w:trPr>
        <w:tc>
          <w:tcPr>
            <w:tcW w:w="5000" w:type="dxa"/>
            <w:vAlign w:val="bottom"/>
            <w:gridSpan w:val="3"/>
          </w:tcPr>
          <w:p>
            <w:pPr>
              <w:spacing w:after="0"/>
              <w:rPr>
                <w:sz w:val="20"/>
                <w:szCs w:val="20"/>
                <w:color w:val="auto"/>
              </w:rPr>
            </w:pPr>
            <w:r>
              <w:rPr>
                <w:rFonts w:ascii="Arial" w:cs="Arial" w:eastAsia="Arial" w:hAnsi="Arial"/>
                <w:sz w:val="18"/>
                <w:szCs w:val="18"/>
                <w:color w:val="auto"/>
              </w:rPr>
              <w:t>As at June 30, 2020</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336,809,213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99,295,599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25,258,000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2,585,480</w:t>
            </w:r>
          </w:p>
        </w:tc>
        <w:tc>
          <w:tcPr>
            <w:tcW w:w="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463,948,292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9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Accumulated Amortization</w:t>
            </w:r>
          </w:p>
        </w:tc>
        <w:tc>
          <w:tcPr>
            <w:tcW w:w="30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rPr>
                <w:sz w:val="20"/>
                <w:szCs w:val="20"/>
                <w:color w:val="auto"/>
              </w:rPr>
            </w:pPr>
            <w:r>
              <w:rPr>
                <w:rFonts w:ascii="Arial" w:cs="Arial" w:eastAsia="Arial" w:hAnsi="Arial"/>
                <w:sz w:val="18"/>
                <w:szCs w:val="18"/>
                <w:color w:val="auto"/>
              </w:rPr>
              <w:t>As at January 1, 2020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18,477,500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4,121,800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3,932,416</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474,669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27,006,385</w:t>
            </w: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12,005,936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3,603,759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1,882,238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263,167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17,755,100</w:t>
            </w:r>
          </w:p>
        </w:tc>
        <w:tc>
          <w:tcPr>
            <w:tcW w:w="0" w:type="dxa"/>
            <w:vAlign w:val="bottom"/>
          </w:tcPr>
          <w:p>
            <w:pPr>
              <w:spacing w:after="0"/>
              <w:rPr>
                <w:sz w:val="1"/>
                <w:szCs w:val="1"/>
                <w:color w:val="auto"/>
              </w:rPr>
            </w:pPr>
          </w:p>
        </w:tc>
      </w:tr>
      <w:tr>
        <w:trPr>
          <w:trHeight w:val="223"/>
        </w:trPr>
        <w:tc>
          <w:tcPr>
            <w:tcW w:w="5000" w:type="dxa"/>
            <w:vAlign w:val="bottom"/>
            <w:gridSpan w:val="3"/>
          </w:tcPr>
          <w:p>
            <w:pPr>
              <w:spacing w:after="0"/>
              <w:rPr>
                <w:sz w:val="20"/>
                <w:szCs w:val="20"/>
                <w:color w:val="auto"/>
              </w:rPr>
            </w:pPr>
            <w:r>
              <w:rPr>
                <w:rFonts w:ascii="Arial" w:cs="Arial" w:eastAsia="Arial" w:hAnsi="Arial"/>
                <w:sz w:val="18"/>
                <w:szCs w:val="18"/>
                <w:color w:val="auto"/>
              </w:rPr>
              <w:t>As at June 30, 2020</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30,483,436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7,725,559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5,814,654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737,836</w:t>
            </w:r>
          </w:p>
        </w:tc>
        <w:tc>
          <w:tcPr>
            <w:tcW w:w="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44,761,485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rPr>
                <w:sz w:val="20"/>
                <w:szCs w:val="20"/>
                <w:color w:val="auto"/>
              </w:rPr>
            </w:pPr>
            <w:r>
              <w:rPr>
                <w:rFonts w:ascii="Arial" w:cs="Arial" w:eastAsia="Arial" w:hAnsi="Arial"/>
                <w:sz w:val="18"/>
                <w:szCs w:val="18"/>
                <w:color w:val="auto"/>
              </w:rPr>
              <w:t>As at January 1, 2020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318,476,713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93,333,790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21,325,584</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2,110,811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435,246,898</w:t>
            </w: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June 30, 2020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306,325,777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91,570,040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19,443,346</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1,847,644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419,186,807</w:t>
            </w:r>
          </w:p>
        </w:tc>
        <w:tc>
          <w:tcPr>
            <w:tcW w:w="0" w:type="dxa"/>
            <w:vAlign w:val="bottom"/>
          </w:tcPr>
          <w:p>
            <w:pPr>
              <w:spacing w:after="0"/>
              <w:rPr>
                <w:sz w:val="1"/>
                <w:szCs w:val="1"/>
                <w:color w:val="auto"/>
              </w:rPr>
            </w:pPr>
          </w:p>
        </w:tc>
      </w:tr>
      <w:tr>
        <w:trPr>
          <w:trHeight w:val="365"/>
        </w:trPr>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4. INTANGIBLE ASSETS AND GOODWILL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2019 intangible assets consisted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Licenses and</w:t>
            </w:r>
          </w:p>
        </w:tc>
        <w:tc>
          <w:tcPr>
            <w:tcW w:w="120" w:type="dxa"/>
            <w:vAlign w:val="bottom"/>
          </w:tcPr>
          <w:p>
            <w:pPr>
              <w:spacing w:after="0"/>
              <w:rPr>
                <w:sz w:val="14"/>
                <w:szCs w:val="14"/>
                <w:color w:val="auto"/>
              </w:rPr>
            </w:pPr>
          </w:p>
        </w:tc>
        <w:tc>
          <w:tcPr>
            <w:tcW w:w="10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9"/>
              </w:rPr>
              <w:t>Tradenames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Customer</w:t>
            </w:r>
          </w:p>
        </w:tc>
        <w:tc>
          <w:tcPr>
            <w:tcW w:w="1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Non-Competition</w:t>
            </w:r>
          </w:p>
        </w:tc>
        <w:tc>
          <w:tcPr>
            <w:tcW w:w="100" w:type="dxa"/>
            <w:vAlign w:val="bottom"/>
          </w:tcPr>
          <w:p>
            <w:pPr>
              <w:spacing w:after="0"/>
              <w:rPr>
                <w:sz w:val="14"/>
                <w:szCs w:val="14"/>
                <w:color w:val="auto"/>
              </w:rPr>
            </w:pPr>
          </w:p>
        </w:tc>
        <w:tc>
          <w:tcPr>
            <w:tcW w:w="9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Permits</w:t>
            </w:r>
          </w:p>
        </w:tc>
        <w:tc>
          <w:tcPr>
            <w:tcW w:w="12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1"/>
              </w:rPr>
              <w:t>Relationships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4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Cost</w:t>
            </w: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2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gridSpan w:val="4"/>
          </w:tcPr>
          <w:p>
            <w:pPr>
              <w:spacing w:after="0"/>
              <w:rPr>
                <w:sz w:val="20"/>
                <w:szCs w:val="20"/>
                <w:color w:val="auto"/>
              </w:rPr>
            </w:pPr>
            <w:r>
              <w:rPr>
                <w:rFonts w:ascii="Arial" w:cs="Arial" w:eastAsia="Arial" w:hAnsi="Arial"/>
                <w:sz w:val="18"/>
                <w:szCs w:val="18"/>
                <w:color w:val="auto"/>
              </w:rPr>
              <w:t>As at January 1, 2019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89,705,213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360,000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820,000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20,480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90,905,693</w:t>
            </w:r>
          </w:p>
        </w:tc>
        <w:tc>
          <w:tcPr>
            <w:tcW w:w="0" w:type="dxa"/>
            <w:vAlign w:val="bottom"/>
          </w:tcPr>
          <w:p>
            <w:pPr>
              <w:spacing w:after="0"/>
              <w:rPr>
                <w:sz w:val="1"/>
                <w:szCs w:val="1"/>
                <w:color w:val="auto"/>
              </w:rPr>
            </w:pPr>
          </w:p>
        </w:tc>
      </w:tr>
      <w:tr>
        <w:trPr>
          <w:trHeight w:val="216"/>
        </w:trPr>
        <w:tc>
          <w:tcPr>
            <w:tcW w:w="5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Additions from acquisitions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247,249,000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97,095,590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24,438,000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2,565,000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371,347,590</w:t>
            </w:r>
          </w:p>
        </w:tc>
        <w:tc>
          <w:tcPr>
            <w:tcW w:w="0" w:type="dxa"/>
            <w:vAlign w:val="bottom"/>
          </w:tcPr>
          <w:p>
            <w:pPr>
              <w:spacing w:after="0"/>
              <w:rPr>
                <w:sz w:val="1"/>
                <w:szCs w:val="1"/>
                <w:color w:val="auto"/>
              </w:rPr>
            </w:pPr>
          </w:p>
        </w:tc>
      </w:tr>
      <w:tr>
        <w:trPr>
          <w:trHeight w:val="223"/>
        </w:trPr>
        <w:tc>
          <w:tcPr>
            <w:tcW w:w="5040" w:type="dxa"/>
            <w:vAlign w:val="bottom"/>
            <w:gridSpan w:val="4"/>
          </w:tcPr>
          <w:p>
            <w:pPr>
              <w:spacing w:after="0"/>
              <w:rPr>
                <w:sz w:val="20"/>
                <w:szCs w:val="20"/>
                <w:color w:val="auto"/>
              </w:rPr>
            </w:pPr>
            <w:r>
              <w:rPr>
                <w:rFonts w:ascii="Arial" w:cs="Arial" w:eastAsia="Arial" w:hAnsi="Arial"/>
                <w:sz w:val="18"/>
                <w:szCs w:val="18"/>
                <w:color w:val="auto"/>
              </w:rPr>
              <w:t>As at December 31, 2019</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336,954,213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97,455,590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25,258,000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2,585,480</w:t>
            </w:r>
          </w:p>
        </w:tc>
        <w:tc>
          <w:tcPr>
            <w:tcW w:w="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462,253,283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96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92"/>
              </w:rPr>
              <w:t>Accumulated Amortization</w:t>
            </w:r>
          </w:p>
        </w:tc>
        <w:tc>
          <w:tcPr>
            <w:tcW w:w="3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gridSpan w:val="4"/>
          </w:tcPr>
          <w:p>
            <w:pPr>
              <w:spacing w:after="0"/>
              <w:rPr>
                <w:sz w:val="20"/>
                <w:szCs w:val="20"/>
                <w:color w:val="auto"/>
              </w:rPr>
            </w:pPr>
            <w:r>
              <w:rPr>
                <w:rFonts w:ascii="Arial" w:cs="Arial" w:eastAsia="Arial" w:hAnsi="Arial"/>
                <w:sz w:val="18"/>
                <w:szCs w:val="18"/>
                <w:color w:val="auto"/>
              </w:rPr>
              <w:t>As at January 1, 2019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2,322,715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204,500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12,800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2,540,015</w:t>
            </w:r>
          </w:p>
        </w:tc>
        <w:tc>
          <w:tcPr>
            <w:tcW w:w="0" w:type="dxa"/>
            <w:vAlign w:val="bottom"/>
          </w:tcPr>
          <w:p>
            <w:pPr>
              <w:spacing w:after="0"/>
              <w:rPr>
                <w:sz w:val="1"/>
                <w:szCs w:val="1"/>
                <w:color w:val="auto"/>
              </w:rPr>
            </w:pPr>
          </w:p>
        </w:tc>
      </w:tr>
      <w:tr>
        <w:trPr>
          <w:trHeight w:val="216"/>
        </w:trPr>
        <w:tc>
          <w:tcPr>
            <w:tcW w:w="5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16,154,785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4,121,800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3,727,916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461,869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24,466,370</w:t>
            </w:r>
          </w:p>
        </w:tc>
        <w:tc>
          <w:tcPr>
            <w:tcW w:w="0" w:type="dxa"/>
            <w:vAlign w:val="bottom"/>
          </w:tcPr>
          <w:p>
            <w:pPr>
              <w:spacing w:after="0"/>
              <w:rPr>
                <w:sz w:val="1"/>
                <w:szCs w:val="1"/>
                <w:color w:val="auto"/>
              </w:rPr>
            </w:pPr>
          </w:p>
        </w:tc>
      </w:tr>
      <w:tr>
        <w:trPr>
          <w:trHeight w:val="223"/>
        </w:trPr>
        <w:tc>
          <w:tcPr>
            <w:tcW w:w="5040" w:type="dxa"/>
            <w:vAlign w:val="bottom"/>
            <w:gridSpan w:val="4"/>
          </w:tcPr>
          <w:p>
            <w:pPr>
              <w:spacing w:after="0"/>
              <w:rPr>
                <w:sz w:val="20"/>
                <w:szCs w:val="20"/>
                <w:color w:val="auto"/>
              </w:rPr>
            </w:pPr>
            <w:r>
              <w:rPr>
                <w:rFonts w:ascii="Arial" w:cs="Arial" w:eastAsia="Arial" w:hAnsi="Arial"/>
                <w:sz w:val="18"/>
                <w:szCs w:val="18"/>
                <w:color w:val="auto"/>
              </w:rPr>
              <w:t>As at December 31, 2019</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18,477,500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4,121,800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3,932,416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474,669</w:t>
            </w:r>
          </w:p>
        </w:tc>
        <w:tc>
          <w:tcPr>
            <w:tcW w:w="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27,006,385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9"/>
              </w:rPr>
              <w:t>Net book value</w:t>
            </w:r>
          </w:p>
        </w:tc>
        <w:tc>
          <w:tcPr>
            <w:tcW w:w="394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gridSpan w:val="4"/>
          </w:tcPr>
          <w:p>
            <w:pPr>
              <w:spacing w:after="0"/>
              <w:rPr>
                <w:sz w:val="20"/>
                <w:szCs w:val="20"/>
                <w:color w:val="auto"/>
              </w:rPr>
            </w:pPr>
            <w:r>
              <w:rPr>
                <w:rFonts w:ascii="Arial" w:cs="Arial" w:eastAsia="Arial" w:hAnsi="Arial"/>
                <w:sz w:val="18"/>
                <w:szCs w:val="18"/>
                <w:color w:val="auto"/>
              </w:rPr>
              <w:t>As at January 1, 2019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87,382,498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360,000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615,500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7,680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88,365,678</w:t>
            </w:r>
          </w:p>
        </w:tc>
        <w:tc>
          <w:tcPr>
            <w:tcW w:w="0" w:type="dxa"/>
            <w:vAlign w:val="bottom"/>
          </w:tcPr>
          <w:p>
            <w:pPr>
              <w:spacing w:after="0"/>
              <w:rPr>
                <w:sz w:val="1"/>
                <w:szCs w:val="1"/>
                <w:color w:val="auto"/>
              </w:rPr>
            </w:pPr>
          </w:p>
        </w:tc>
      </w:tr>
      <w:tr>
        <w:trPr>
          <w:trHeight w:val="216"/>
        </w:trPr>
        <w:tc>
          <w:tcPr>
            <w:tcW w:w="5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 at December 31, 2019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318,476,713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93,333,790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21,325,584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2,110,811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435,246,898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Company recorded amortization expense for the three and six months ended June 30, 2020 of $8,836,933 and $17,755,100, respectively, and for the three and six months ended June 30, 2019 of $4,747,944, and $6,996,484, respectively. During the second quarter of 2020, the Company recorded a measurement period adjustment in connection with its June 27, 2019 acquisition of MC Brands, LLC of $1,840,009 which increased intangible assets and share capital. The remainder of the adjustments to purchase price allocations relate to the finalization of several 2019 acquisitions.</w:t>
      </w:r>
    </w:p>
    <w:p>
      <w:pPr>
        <w:spacing w:after="0" w:line="157"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In addition, the Company reviewed the estimated useful lives of its Retail segment intangible assets as a result of the Company’s plans to rebrand one of its retail stores. Based on that review, the Company determined that certain intangible assets, associated with the Company’s retail tradenames have a useful life shorter than initially estimated. Beginning July 1, 2020, the Company expects to shorten the useful life of certain tradenames associated with its acquisition of the Essence retail brand from 15 years to 7 years. The change in useful life will be made as a prospective adjustment and result in an increase in amortization expense by $2,482,289 for the remainder of 2020, $4,964,578 annually for years 2021 through 2024, and a net reduction in amortization expense by $22,340,601 thereafter.</w:t>
      </w:r>
    </w:p>
    <w:p>
      <w:pPr>
        <w:spacing w:after="0" w:line="19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following table outlines the estimated annual amortization expense related to intangible assets as of June 30, 2020 and illustrates the effect of the change in useful life of the Essence tradename discussed above:</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Increase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(Decrease)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Estimated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from</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3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Change in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8"/>
        </w:trPr>
        <w:tc>
          <w:tcPr>
            <w:tcW w:w="1660" w:type="dxa"/>
            <w:vAlign w:val="bottom"/>
            <w:tcBorders>
              <w:bottom w:val="single" w:sz="8" w:color="auto"/>
            </w:tcBorders>
            <w:vMerge w:val="continue"/>
          </w:tcPr>
          <w:p>
            <w:pPr>
              <w:spacing w:after="0"/>
              <w:rPr>
                <w:sz w:val="15"/>
                <w:szCs w:val="15"/>
                <w:color w:val="auto"/>
              </w:rPr>
            </w:pPr>
          </w:p>
        </w:tc>
        <w:tc>
          <w:tcPr>
            <w:tcW w:w="3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5"/>
              </w:rPr>
              <w:t>Amortization</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Useful Life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5"/>
              </w:rPr>
              <w:t>(Adjusted)</w:t>
            </w:r>
          </w:p>
        </w:tc>
        <w:tc>
          <w:tcPr>
            <w:tcW w:w="0" w:type="dxa"/>
            <w:vAlign w:val="bottom"/>
          </w:tcPr>
          <w:p>
            <w:pPr>
              <w:spacing w:after="0"/>
              <w:rPr>
                <w:sz w:val="1"/>
                <w:szCs w:val="1"/>
                <w:color w:val="auto"/>
              </w:rPr>
            </w:pPr>
          </w:p>
        </w:tc>
      </w:tr>
      <w:tr>
        <w:trPr>
          <w:trHeight w:val="203"/>
        </w:trPr>
        <w:tc>
          <w:tcPr>
            <w:tcW w:w="16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Remainder of 2020</w:t>
            </w:r>
          </w:p>
        </w:tc>
        <w:tc>
          <w:tcPr>
            <w:tcW w:w="37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16,648,055</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2,482,289</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19,130,344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2021</w:t>
            </w:r>
          </w:p>
        </w:tc>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33,230,554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4,964,578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38,195,132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32,799,813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4,964,578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37,764,391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2023</w:t>
            </w:r>
          </w:p>
        </w:tc>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32,716,998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4,964,578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37,681,576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32,135,665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4,964,578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37,100,243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Thereafter</w:t>
            </w:r>
          </w:p>
        </w:tc>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271,655,722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(22,340,601)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249,315,121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419,186,807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419,186,807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3780" w:type="dxa"/>
            <w:vAlign w:val="bottom"/>
            <w:vMerge w:val="restart"/>
          </w:tcPr>
          <w:p>
            <w:pPr>
              <w:jc w:val="right"/>
              <w:ind w:right="530"/>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66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2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4. INTANGIBLE ASSETS AND GOODWILL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June 30, 2020, Goodwill consisted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Retail</w:t>
            </w:r>
          </w:p>
        </w:tc>
        <w:tc>
          <w:tcPr>
            <w:tcW w:w="340" w:type="dxa"/>
            <w:vAlign w:val="bottom"/>
          </w:tcPr>
          <w:p>
            <w:pPr>
              <w:spacing w:after="0"/>
              <w:rPr>
                <w:sz w:val="14"/>
                <w:szCs w:val="14"/>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Consumer</w:t>
            </w:r>
          </w:p>
        </w:tc>
        <w:tc>
          <w:tcPr>
            <w:tcW w:w="140" w:type="dxa"/>
            <w:vAlign w:val="bottom"/>
          </w:tcPr>
          <w:p>
            <w:pPr>
              <w:spacing w:after="0"/>
              <w:rPr>
                <w:sz w:val="14"/>
                <w:szCs w:val="14"/>
                <w:color w:val="auto"/>
              </w:rPr>
            </w:pPr>
          </w:p>
        </w:tc>
        <w:tc>
          <w:tcPr>
            <w:tcW w:w="106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5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Packaged Goods</w:t>
            </w:r>
          </w:p>
        </w:tc>
        <w:tc>
          <w:tcPr>
            <w:tcW w:w="1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at January 1, 2020</w:t>
            </w:r>
          </w:p>
        </w:tc>
        <w:tc>
          <w:tcPr>
            <w:tcW w:w="1100" w:type="dxa"/>
            <w:vAlign w:val="bottom"/>
            <w:tcBorders>
              <w:top w:val="single" w:sz="8" w:color="CCEEFF"/>
              <w:right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$119,873,759</w:t>
            </w:r>
          </w:p>
        </w:tc>
        <w:tc>
          <w:tcPr>
            <w:tcW w:w="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1"/>
              </w:rPr>
              <w:t>$ 255,211,232</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$375,084,991</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tcPr>
          <w:p>
            <w:pPr>
              <w:ind w:left="360"/>
              <w:spacing w:after="0"/>
              <w:rPr>
                <w:sz w:val="20"/>
                <w:szCs w:val="20"/>
                <w:color w:val="auto"/>
              </w:rPr>
            </w:pPr>
            <w:r>
              <w:rPr>
                <w:rFonts w:ascii="Arial" w:cs="Arial" w:eastAsia="Arial" w:hAnsi="Arial"/>
                <w:sz w:val="18"/>
                <w:szCs w:val="18"/>
                <w:color w:val="auto"/>
              </w:rPr>
              <w:t>Adjustments to Purchase Price Allocations</w:t>
            </w:r>
          </w:p>
        </w:tc>
        <w:tc>
          <w:tcPr>
            <w:tcW w:w="1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1,191,425</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(3,194,700)</w:t>
            </w:r>
          </w:p>
        </w:tc>
        <w:tc>
          <w:tcPr>
            <w:tcW w:w="14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(2,003,275)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at June 30, 2020</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121,065,184</w:t>
            </w:r>
          </w:p>
        </w:tc>
        <w:tc>
          <w:tcPr>
            <w:tcW w:w="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$ 252,016,532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6"/>
              </w:rPr>
              <w:t>$</w:t>
            </w:r>
            <w:r>
              <w:rPr>
                <w:rFonts w:ascii="Arial" w:cs="Arial" w:eastAsia="Arial" w:hAnsi="Arial"/>
                <w:sz w:val="18"/>
                <w:szCs w:val="18"/>
                <w:b w:val="1"/>
                <w:bCs w:val="1"/>
                <w:color w:val="auto"/>
                <w:w w:val="96"/>
              </w:rPr>
              <w:t>373,081,716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At December 31, 2019, Goodwill consisted of the following:</w:t>
            </w:r>
          </w:p>
        </w:tc>
        <w:tc>
          <w:tcPr>
            <w:tcW w:w="1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8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Retail</w:t>
            </w:r>
          </w:p>
        </w:tc>
        <w:tc>
          <w:tcPr>
            <w:tcW w:w="340" w:type="dxa"/>
            <w:vAlign w:val="bottom"/>
          </w:tcPr>
          <w:p>
            <w:pPr>
              <w:spacing w:after="0"/>
              <w:rPr>
                <w:sz w:val="24"/>
                <w:szCs w:val="24"/>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Consumer</w:t>
            </w:r>
          </w:p>
        </w:tc>
        <w:tc>
          <w:tcPr>
            <w:tcW w:w="140" w:type="dxa"/>
            <w:vAlign w:val="bottom"/>
          </w:tcPr>
          <w:p>
            <w:pPr>
              <w:spacing w:after="0"/>
              <w:rPr>
                <w:sz w:val="24"/>
                <w:szCs w:val="24"/>
                <w:color w:val="auto"/>
              </w:rPr>
            </w:pPr>
          </w:p>
        </w:tc>
        <w:tc>
          <w:tcPr>
            <w:tcW w:w="106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6"/>
              </w:rPr>
              <w:t>Packaged Goods</w:t>
            </w:r>
          </w:p>
        </w:tc>
        <w:tc>
          <w:tcPr>
            <w:tcW w:w="1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at January 1, 2019</w:t>
            </w:r>
          </w:p>
        </w:tc>
        <w:tc>
          <w:tcPr>
            <w:tcW w:w="1100" w:type="dxa"/>
            <w:vAlign w:val="bottom"/>
            <w:tcBorders>
              <w:top w:val="single" w:sz="8" w:color="CCEEFF"/>
              <w:right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$ 15,286,360</w:t>
            </w: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  23,918,000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$ 39,204,360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tcPr>
          <w:p>
            <w:pPr>
              <w:ind w:left="360"/>
              <w:spacing w:after="0"/>
              <w:rPr>
                <w:sz w:val="20"/>
                <w:szCs w:val="20"/>
                <w:color w:val="auto"/>
              </w:rPr>
            </w:pPr>
            <w:r>
              <w:rPr>
                <w:rFonts w:ascii="Arial" w:cs="Arial" w:eastAsia="Arial" w:hAnsi="Arial"/>
                <w:sz w:val="18"/>
                <w:szCs w:val="18"/>
                <w:color w:val="auto"/>
              </w:rPr>
              <w:t>Acquisition of Advanced Grow Labs, LLC</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16,756,250</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44,572,349</w:t>
            </w:r>
          </w:p>
        </w:tc>
        <w:tc>
          <w:tcPr>
            <w:tcW w:w="14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61,328,599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Integral Associates, LLC</w:t>
            </w:r>
          </w:p>
        </w:tc>
        <w:tc>
          <w:tcPr>
            <w:tcW w:w="2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46,655,753</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69,323,570</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115,979,323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tcPr>
          <w:p>
            <w:pPr>
              <w:ind w:left="360"/>
              <w:spacing w:after="0"/>
              <w:rPr>
                <w:sz w:val="20"/>
                <w:szCs w:val="20"/>
                <w:color w:val="auto"/>
              </w:rPr>
            </w:pPr>
            <w:r>
              <w:rPr>
                <w:rFonts w:ascii="Arial" w:cs="Arial" w:eastAsia="Arial" w:hAnsi="Arial"/>
                <w:sz w:val="18"/>
                <w:szCs w:val="18"/>
                <w:color w:val="auto"/>
              </w:rPr>
              <w:t>Other Acquisitions</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32,936,590</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120,963,598</w:t>
            </w:r>
          </w:p>
        </w:tc>
        <w:tc>
          <w:tcPr>
            <w:tcW w:w="14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153,900,188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Purchase Price Allocations</w:t>
            </w:r>
          </w:p>
        </w:tc>
        <w:tc>
          <w:tcPr>
            <w:tcW w:w="2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8,238,808</w:t>
            </w:r>
          </w:p>
        </w:tc>
        <w:tc>
          <w:tcPr>
            <w:tcW w:w="15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(3,566,285)</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4,672,523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gridSpan w:val="2"/>
          </w:tcPr>
          <w:p>
            <w:pPr>
              <w:ind w:left="880"/>
              <w:spacing w:after="0"/>
              <w:rPr>
                <w:sz w:val="20"/>
                <w:szCs w:val="20"/>
                <w:color w:val="auto"/>
              </w:rPr>
            </w:pPr>
            <w:r>
              <w:rPr>
                <w:rFonts w:ascii="Arial" w:cs="Arial" w:eastAsia="Arial" w:hAnsi="Arial"/>
                <w:sz w:val="18"/>
                <w:szCs w:val="18"/>
                <w:b w:val="1"/>
                <w:bCs w:val="1"/>
                <w:color w:val="auto"/>
              </w:rPr>
              <w:t>As at December 31, 2019</w:t>
            </w:r>
          </w:p>
        </w:tc>
        <w:tc>
          <w:tcPr>
            <w:tcW w:w="110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119,873,759</w:t>
            </w:r>
          </w:p>
        </w:tc>
        <w:tc>
          <w:tcPr>
            <w:tcW w:w="340" w:type="dxa"/>
            <w:vAlign w:val="bottom"/>
          </w:tcPr>
          <w:p>
            <w:pPr>
              <w:spacing w:after="0"/>
              <w:rPr>
                <w:sz w:val="19"/>
                <w:szCs w:val="19"/>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$ 255,211,232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375,084,991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As of June 30, 2020, the Company recorded measurement period adjustments resulting in a net decrease in goodwill of $2,003,275 associated various acquisitions. In regard to the Consumer Packaged Goods segment, the Company recorded measurement period adjustments associated with its acquisition of For Success Holdings Company and Advanced Grow Labs, LLC of $1,687,700 and $1,507,000, respectively, which represented a reduction in the value of goodwill and deferred tax liabilities. In regard to the Retail segment, the Company recorded measurement period adjustments associated with its acquisition of Fiorello Pharmaceuticals, Inc. of $1,000,000 which represented an increase in the value of goodwill and corresponding adjustment to current liabilities. The remainder of the adjustments to the Retail segment represent the finalization of purchase price allocations related to other 2019 acquisitions.</w:t>
      </w:r>
    </w:p>
    <w:p>
      <w:pPr>
        <w:spacing w:after="0" w:line="299" w:lineRule="exact"/>
        <w:rPr>
          <w:sz w:val="20"/>
          <w:szCs w:val="20"/>
          <w:color w:val="auto"/>
        </w:rPr>
      </w:pPr>
    </w:p>
    <w:p>
      <w:pPr>
        <w:ind w:left="300" w:hanging="184"/>
        <w:spacing w:after="0"/>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84" w:lineRule="exact"/>
        <w:rPr>
          <w:rFonts w:ascii="Arial" w:cs="Arial" w:eastAsia="Arial" w:hAnsi="Arial"/>
          <w:sz w:val="18"/>
          <w:szCs w:val="18"/>
          <w:b w:val="1"/>
          <w:bCs w:val="1"/>
          <w:color w:val="auto"/>
        </w:rPr>
      </w:pPr>
    </w:p>
    <w:p>
      <w:pPr>
        <w:ind w:left="820" w:hanging="264"/>
        <w:spacing w:after="0"/>
        <w:tabs>
          <w:tab w:leader="none" w:pos="82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 Under Accounting Standards Update No. 2016-02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6995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1" w:lineRule="exact"/>
        <w:rPr>
          <w:sz w:val="20"/>
          <w:szCs w:val="20"/>
          <w:color w:val="auto"/>
        </w:rPr>
      </w:pPr>
    </w:p>
    <w:p>
      <w:pPr>
        <w:ind w:left="560"/>
        <w:spacing w:after="0" w:line="255" w:lineRule="auto"/>
        <w:rPr>
          <w:sz w:val="20"/>
          <w:szCs w:val="20"/>
          <w:color w:val="auto"/>
        </w:rPr>
      </w:pPr>
      <w:r>
        <w:rPr>
          <w:rFonts w:ascii="Arial" w:cs="Arial" w:eastAsia="Arial" w:hAnsi="Arial"/>
          <w:sz w:val="18"/>
          <w:szCs w:val="18"/>
          <w:color w:val="auto"/>
        </w:rPr>
        <w:t>In February 2016, the FASB issued Accounting Standards Update No. 2016-02 “Leases (Topic 842)” (“ASU 2016-02”), which requires lessees to put most leases on the balance sheet but recognize expense on the income statement in a manner similar to current accounting. On January 1, 2019, the Company adopted the standard and all related amendments, using the optional transition method (modified retrospective approach) applied to leases at the adoption date. Under the modified retrospective approach, comparative periods have not been restated and continue to be reported under the accounting standards in effect for those periods. Additionally, an adjustment was recorded to accumulated deficit to account for the initial adoption of the standard.</w:t>
      </w:r>
    </w:p>
    <w:p>
      <w:pPr>
        <w:spacing w:after="0" w:line="84"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color w:val="auto"/>
        </w:rPr>
        <w:t>For additional information regarding the adoption of Account Standards Updated No. 2016-02, “Leases (Topic 842)” see Note 9 – Leases in the 2019 Form 10-K</w:t>
      </w:r>
      <w:r>
        <w:rPr>
          <w:rFonts w:ascii="Arial" w:cs="Arial" w:eastAsia="Arial" w:hAnsi="Arial"/>
          <w:sz w:val="18"/>
          <w:szCs w:val="18"/>
          <w:b w:val="1"/>
          <w:bCs w:val="1"/>
          <w:color w:val="auto"/>
        </w:rPr>
        <w:t>.</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information related to operating leases as of and for the three and six months ending June 30, 2020 were as follows: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As of</w:t>
            </w:r>
          </w:p>
        </w:tc>
      </w:tr>
      <w:tr>
        <w:trPr>
          <w:trHeight w:val="171"/>
        </w:trPr>
        <w:tc>
          <w:tcPr>
            <w:tcW w:w="32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June 30, 2020</w:t>
            </w: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Weighted average remaining lease term</w:t>
            </w:r>
          </w:p>
        </w:tc>
        <w:tc>
          <w:tcPr>
            <w:tcW w:w="3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200" w:type="dxa"/>
            <w:vAlign w:val="bottom"/>
            <w:tcBorders>
              <w:top w:val="single" w:sz="8" w:color="CCEEFF"/>
            </w:tcBorders>
            <w:shd w:val="clear" w:color="auto" w:fill="CCEEFF"/>
          </w:tcPr>
          <w:p>
            <w:pPr>
              <w:spacing w:after="0"/>
              <w:rPr>
                <w:sz w:val="18"/>
                <w:szCs w:val="18"/>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4280" w:type="dxa"/>
            <w:vAlign w:val="bottom"/>
            <w:gridSpan w:val="3"/>
          </w:tcPr>
          <w:p>
            <w:pPr>
              <w:jc w:val="right"/>
              <w:ind w:right="40"/>
              <w:spacing w:after="0"/>
              <w:rPr>
                <w:sz w:val="20"/>
                <w:szCs w:val="20"/>
                <w:color w:val="auto"/>
              </w:rPr>
            </w:pPr>
            <w:r>
              <w:rPr>
                <w:rFonts w:ascii="Arial" w:cs="Arial" w:eastAsia="Arial" w:hAnsi="Arial"/>
                <w:sz w:val="18"/>
                <w:szCs w:val="18"/>
                <w:color w:val="auto"/>
              </w:rPr>
              <w:t>13.1%</w:t>
            </w:r>
          </w:p>
        </w:tc>
      </w:tr>
      <w:tr>
        <w:trPr>
          <w:trHeight w:val="350"/>
        </w:trPr>
        <w:tc>
          <w:tcPr>
            <w:tcW w:w="3200" w:type="dxa"/>
            <w:vAlign w:val="bottom"/>
          </w:tcPr>
          <w:p>
            <w:pPr>
              <w:spacing w:after="0"/>
              <w:rPr>
                <w:sz w:val="24"/>
                <w:szCs w:val="24"/>
                <w:color w:val="auto"/>
              </w:rPr>
            </w:pPr>
          </w:p>
        </w:tc>
        <w:tc>
          <w:tcPr>
            <w:tcW w:w="3240" w:type="dxa"/>
            <w:vAlign w:val="bottom"/>
          </w:tcPr>
          <w:p>
            <w:pPr>
              <w:jc w:val="right"/>
              <w:ind w:right="2410"/>
              <w:spacing w:after="0"/>
              <w:rPr>
                <w:sz w:val="20"/>
                <w:szCs w:val="20"/>
                <w:color w:val="auto"/>
              </w:rPr>
            </w:pPr>
            <w:r>
              <w:rPr>
                <w:rFonts w:ascii="Arial" w:cs="Arial" w:eastAsia="Arial" w:hAnsi="Arial"/>
                <w:sz w:val="18"/>
                <w:szCs w:val="18"/>
                <w:color w:val="auto"/>
              </w:rPr>
              <w:t>-15-</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2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300" w:hanging="184"/>
        <w:spacing w:after="0"/>
        <w:tabs>
          <w:tab w:leader="none" w:pos="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Maturities of lease liabilities for operating leases as of June 30, 2020 were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Maturities of Lease Liability</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2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Third Party</w:t>
            </w:r>
          </w:p>
        </w:tc>
        <w:tc>
          <w:tcPr>
            <w:tcW w:w="180" w:type="dxa"/>
            <w:vAlign w:val="bottom"/>
          </w:tcPr>
          <w:p>
            <w:pPr>
              <w:spacing w:after="0"/>
              <w:rPr>
                <w:sz w:val="12"/>
                <w:szCs w:val="12"/>
                <w:color w:val="auto"/>
              </w:rPr>
            </w:pPr>
          </w:p>
        </w:tc>
        <w:tc>
          <w:tcPr>
            <w:tcW w:w="1340" w:type="dxa"/>
            <w:vAlign w:val="bottom"/>
            <w:gridSpan w:val="3"/>
          </w:tcPr>
          <w:p>
            <w:pPr>
              <w:jc w:val="right"/>
              <w:ind w:right="421"/>
              <w:spacing w:after="0" w:line="129" w:lineRule="exact"/>
              <w:rPr>
                <w:sz w:val="20"/>
                <w:szCs w:val="20"/>
                <w:color w:val="auto"/>
              </w:rPr>
            </w:pPr>
            <w:r>
              <w:rPr>
                <w:rFonts w:ascii="Arial" w:cs="Arial" w:eastAsia="Arial" w:hAnsi="Arial"/>
                <w:sz w:val="14"/>
                <w:szCs w:val="14"/>
                <w:b w:val="1"/>
                <w:bCs w:val="1"/>
                <w:color w:val="auto"/>
                <w:w w:val="96"/>
              </w:rPr>
              <w:t>Related Party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292"/>
              <w:spacing w:after="0" w:line="129"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Remainder of 2020</w:t>
            </w:r>
          </w:p>
        </w:tc>
        <w:tc>
          <w:tcPr>
            <w:tcW w:w="21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9,508,748</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644,060</w:t>
            </w: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10,152,808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2021</w:t>
            </w:r>
          </w:p>
        </w:tc>
        <w:tc>
          <w:tcPr>
            <w:tcW w:w="2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22,589,952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1,307,183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23,897,135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22,569,154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1,337,130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23,906,284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2023</w:t>
            </w:r>
          </w:p>
        </w:tc>
        <w:tc>
          <w:tcPr>
            <w:tcW w:w="2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22,349,279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1,367,771</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23,717,050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21,503,153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1,255,713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22,758,866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2025 and Thereafter</w:t>
            </w:r>
          </w:p>
        </w:tc>
        <w:tc>
          <w:tcPr>
            <w:tcW w:w="1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180,958,478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10,345,330</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191,303,808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Lease Payments</w:t>
            </w:r>
          </w:p>
        </w:tc>
        <w:tc>
          <w:tcPr>
            <w:tcW w:w="1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279,478,764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16,257,187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295,735,951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gridSpan w:val="3"/>
          </w:tcPr>
          <w:p>
            <w:pPr>
              <w:spacing w:after="0"/>
              <w:rPr>
                <w:sz w:val="20"/>
                <w:szCs w:val="20"/>
                <w:color w:val="auto"/>
              </w:rPr>
            </w:pPr>
            <w:r>
              <w:rPr>
                <w:rFonts w:ascii="Arial" w:cs="Arial" w:eastAsia="Arial" w:hAnsi="Arial"/>
                <w:sz w:val="18"/>
                <w:szCs w:val="18"/>
                <w:color w:val="auto"/>
              </w:rPr>
              <w:t>Less: Interest</w:t>
            </w:r>
          </w:p>
        </w:tc>
        <w:tc>
          <w:tcPr>
            <w:tcW w:w="1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(180,229,514</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(8,090,747</w:t>
            </w:r>
          </w:p>
        </w:tc>
        <w:tc>
          <w:tcPr>
            <w:tcW w:w="420" w:type="dxa"/>
            <w:vAlign w:val="bottom"/>
          </w:tcPr>
          <w:p>
            <w:pPr>
              <w:jc w:val="right"/>
              <w:ind w:right="341"/>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(188,320,261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Present Value of Lease Liability</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99,249,250</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8,166,440</w:t>
            </w:r>
          </w:p>
        </w:tc>
        <w:tc>
          <w:tcPr>
            <w:tcW w:w="4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107,415,690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the three and six months ended June 30, 2020 the Company recorded operating lease expense of $8,173,122 and $12,430,637, respectively.</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the three and six months ended June 30, 2019, the Company recorded operating lease expenses of $1,357,957 and $2,263,013, respectively.</w:t>
      </w:r>
    </w:p>
    <w:p>
      <w:pPr>
        <w:spacing w:after="0" w:line="33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Related Party Operating Leases</w:t>
      </w:r>
    </w:p>
    <w:p>
      <w:pPr>
        <w:spacing w:after="0" w:line="121" w:lineRule="exact"/>
        <w:rPr>
          <w:sz w:val="20"/>
          <w:szCs w:val="20"/>
          <w:color w:val="auto"/>
        </w:rPr>
      </w:pPr>
    </w:p>
    <w:p>
      <w:pPr>
        <w:ind w:left="560" w:right="780"/>
        <w:spacing w:after="0" w:line="277" w:lineRule="auto"/>
        <w:rPr>
          <w:sz w:val="20"/>
          <w:szCs w:val="20"/>
          <w:color w:val="auto"/>
        </w:rPr>
      </w:pPr>
      <w:r>
        <w:rPr>
          <w:rFonts w:ascii="Arial" w:cs="Arial" w:eastAsia="Arial" w:hAnsi="Arial"/>
          <w:sz w:val="18"/>
          <w:szCs w:val="18"/>
          <w:color w:val="auto"/>
        </w:rPr>
        <w:t>The Company entered into related party transactions with respect to its leasing arrangements for facilities in Florida, Illinois, Maryland, Massachusetts and Nevada.</w:t>
      </w:r>
    </w:p>
    <w:p>
      <w:pPr>
        <w:spacing w:after="0" w:line="62" w:lineRule="exact"/>
        <w:rPr>
          <w:sz w:val="20"/>
          <w:szCs w:val="20"/>
          <w:color w:val="auto"/>
        </w:rPr>
      </w:pPr>
    </w:p>
    <w:p>
      <w:pPr>
        <w:ind w:left="560" w:right="180"/>
        <w:spacing w:after="0" w:line="287" w:lineRule="auto"/>
        <w:rPr>
          <w:sz w:val="20"/>
          <w:szCs w:val="20"/>
          <w:color w:val="auto"/>
        </w:rPr>
      </w:pPr>
      <w:r>
        <w:rPr>
          <w:rFonts w:ascii="Arial" w:cs="Arial" w:eastAsia="Arial" w:hAnsi="Arial"/>
          <w:sz w:val="16"/>
          <w:szCs w:val="16"/>
          <w:color w:val="auto"/>
        </w:rPr>
        <w:t>Wendy Berger, a director of the Company, is a principal of WBS Equities, LLC, which is the Manager of Mosaic Real Estate, LLC, which owns the facilities leased by the Company. Additionally, Mosaic Real Estate, LLC is owned in part by Ms. Berger (through the Wendy Berger 1998 Revocable Trust), Benjamin Kovler, the Chief Executive Officer and a director of the Company (through KP Capital, LLC), and</w:t>
      </w:r>
    </w:p>
    <w:p>
      <w:pPr>
        <w:spacing w:after="0" w:line="2" w:lineRule="exact"/>
        <w:rPr>
          <w:sz w:val="20"/>
          <w:szCs w:val="20"/>
          <w:color w:val="auto"/>
        </w:rPr>
      </w:pPr>
    </w:p>
    <w:p>
      <w:pPr>
        <w:ind w:left="560" w:right="240"/>
        <w:spacing w:after="0" w:line="273" w:lineRule="auto"/>
        <w:rPr>
          <w:sz w:val="20"/>
          <w:szCs w:val="20"/>
          <w:color w:val="auto"/>
        </w:rPr>
      </w:pPr>
      <w:r>
        <w:rPr>
          <w:rFonts w:ascii="Arial" w:cs="Arial" w:eastAsia="Arial" w:hAnsi="Arial"/>
          <w:sz w:val="17"/>
          <w:szCs w:val="17"/>
          <w:color w:val="auto"/>
        </w:rPr>
        <w:t>Anthony Georgiadis, the Chief Financial Officer and a director of the Company (through Three One Four Holdings, LLC). The terms of these leases range from 7 years to 15 years. For the three and six months ended June 30, 2020, the Company recorded lease expense of $360,467 and $773,267, respectively, associated with these leasing arrangements. For the three and six month ended June 30, 2019, the Company recorded operating lease expenses of $308,108 and $467,990, respectively, associated with these leasing arrangements.</w:t>
      </w:r>
    </w:p>
    <w:p>
      <w:pPr>
        <w:spacing w:after="0" w:line="68" w:lineRule="exact"/>
        <w:rPr>
          <w:sz w:val="20"/>
          <w:szCs w:val="20"/>
          <w:color w:val="auto"/>
        </w:rPr>
      </w:pPr>
    </w:p>
    <w:p>
      <w:pPr>
        <w:jc w:val="both"/>
        <w:ind w:left="560" w:right="280"/>
        <w:spacing w:after="0" w:line="263" w:lineRule="auto"/>
        <w:rPr>
          <w:sz w:val="20"/>
          <w:szCs w:val="20"/>
          <w:color w:val="auto"/>
        </w:rPr>
      </w:pPr>
      <w:r>
        <w:rPr>
          <w:rFonts w:ascii="Arial" w:cs="Arial" w:eastAsia="Arial" w:hAnsi="Arial"/>
          <w:sz w:val="18"/>
          <w:szCs w:val="18"/>
          <w:color w:val="auto"/>
        </w:rPr>
        <w:t>On June 5, 2020, a wholly owned subsidiary of the Company purchased the building and building improvements of the Company’s dispensary located in Joliet, Illinois for $1,814,000 from Mosaic Real Estate Joliet, LLC. The transaction resulted in the termination of the Illinois related party leasing arrangement. For additional information see Note 6 – Notes Payable.</w:t>
      </w:r>
    </w:p>
    <w:p>
      <w:pPr>
        <w:spacing w:after="0" w:line="76"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color w:val="auto"/>
        </w:rPr>
        <w:t>In connection with the Company’s acquisition of Integral Associates, LLC, the Company, through a subsidiary, leases property from Durango Teco Partners, LLC, which commenced on June 27, 2020 for an Essence retail store in Nevada. Durango Teco Partners, LLC is owned in part by Armenco Capital LLC, which is in turn owned in part by Alejandro Yemenidjian, a former owner of Integral Associates, LLC and a current director of the Company. The lease has a ten year term. For the three and six months ended June 30, 2020, the Company recorded lease expense of $19,444 each, associated with this lease.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4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300" w:hanging="184"/>
        <w:spacing w:after="0"/>
        <w:tabs>
          <w:tab w:leader="none" w:pos="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6995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 Sales Lease Back Transactions</w:t>
      </w:r>
    </w:p>
    <w:p>
      <w:pPr>
        <w:spacing w:after="0" w:line="121" w:lineRule="exact"/>
        <w:rPr>
          <w:sz w:val="20"/>
          <w:szCs w:val="20"/>
          <w:color w:val="auto"/>
        </w:rPr>
      </w:pPr>
    </w:p>
    <w:p>
      <w:pPr>
        <w:ind w:left="560"/>
        <w:spacing w:after="0" w:line="293" w:lineRule="auto"/>
        <w:rPr>
          <w:sz w:val="20"/>
          <w:szCs w:val="20"/>
          <w:color w:val="auto"/>
        </w:rPr>
      </w:pPr>
      <w:r>
        <w:rPr>
          <w:rFonts w:ascii="Arial" w:cs="Arial" w:eastAsia="Arial" w:hAnsi="Arial"/>
          <w:sz w:val="16"/>
          <w:szCs w:val="16"/>
          <w:color w:val="auto"/>
        </w:rPr>
        <w:t>On January 31, 2020, the Company closed on a sale and lease back transaction to sell its Toledo, Ohio processing facility to IIP. Under a long-term agreement, the Company has leased back the facility and continues to operate and manage it. The purchase price for the property was $2,900,000, excluding transaction costs. The Company is making certain improvements to the property that will significantly enhance production capacity, for which IIP has agreed to provide reimbursement of up to $4,300,000. Assuming full reimbursement for such improvements, IIP’s total investment in the property will be $7,200,000. The lease has a term of 15 years and was recorded as an operating lease and resulted in a right of use asset and lease liability of $3,583,263 and was recorded net of the improvements allowance of $4,300,000.</w:t>
      </w:r>
    </w:p>
    <w:p>
      <w:pPr>
        <w:spacing w:after="0" w:line="56" w:lineRule="exact"/>
        <w:rPr>
          <w:sz w:val="20"/>
          <w:szCs w:val="20"/>
          <w:color w:val="auto"/>
        </w:rPr>
      </w:pPr>
    </w:p>
    <w:p>
      <w:pPr>
        <w:ind w:left="560" w:right="80"/>
        <w:spacing w:after="0" w:line="293" w:lineRule="auto"/>
        <w:rPr>
          <w:sz w:val="20"/>
          <w:szCs w:val="20"/>
          <w:color w:val="auto"/>
        </w:rPr>
      </w:pPr>
      <w:r>
        <w:rPr>
          <w:rFonts w:ascii="Arial" w:cs="Arial" w:eastAsia="Arial" w:hAnsi="Arial"/>
          <w:sz w:val="16"/>
          <w:szCs w:val="16"/>
          <w:color w:val="auto"/>
        </w:rPr>
        <w:t>On March 6, 2020, the Company closed on a sale and lease back transaction to sell its Oglesby, Illinois cultivation and processing facility to IIP. Under a long-term agreement, the Company has leased back the facility and continues to operate and manage it. The purchase price for the property was $9,000,000, excluding transaction costs. The Company is making certain improvements to the property that will significantly enhance production capacity, for which IIP has agreed to provide reimbursement of up to $41,000,000. Assuming full reimbursement for such improvements, IIP’s total investment in the property will be $50,000,000. The lease has a term of 16 years and was recorded as an operating lease and resulted in a right of use asset and related lease liability of $26,828,221 and was recorded net of the improvements allowance of $41,000,000.</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June 30, 2020 and December 31, 2019, notes payable consisted of the following: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1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8"/>
              </w:rPr>
              <w:t>In connection with an acquisition completed in 2017, the Company is required</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to make quarterly charitable contributions of $50,000 through October 2024.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The net present value of these required payments has been recorded as 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 with an interest rate of 2.17%.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809,887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970,957</w:t>
            </w:r>
          </w:p>
        </w:tc>
        <w:tc>
          <w:tcPr>
            <w:tcW w:w="0" w:type="dxa"/>
            <w:vAlign w:val="bottom"/>
          </w:tcPr>
          <w:p>
            <w:pPr>
              <w:spacing w:after="0"/>
              <w:rPr>
                <w:sz w:val="1"/>
                <w:szCs w:val="1"/>
                <w:color w:val="auto"/>
              </w:rPr>
            </w:pPr>
          </w:p>
        </w:tc>
      </w:tr>
      <w:tr>
        <w:trPr>
          <w:trHeight w:val="202"/>
        </w:trPr>
        <w:tc>
          <w:tcPr>
            <w:tcW w:w="6100" w:type="dxa"/>
            <w:vAlign w:val="bottom"/>
          </w:tcPr>
          <w:p>
            <w:pPr>
              <w:spacing w:after="0" w:line="201" w:lineRule="exact"/>
              <w:rPr>
                <w:sz w:val="20"/>
                <w:szCs w:val="20"/>
                <w:color w:val="auto"/>
              </w:rPr>
            </w:pPr>
            <w:r>
              <w:rPr>
                <w:rFonts w:ascii="Arial" w:cs="Arial" w:eastAsia="Arial" w:hAnsi="Arial"/>
                <w:sz w:val="18"/>
                <w:szCs w:val="18"/>
                <w:color w:val="auto"/>
              </w:rPr>
              <w:t>Private placement debt dated May 22, 2019, in the original amount of</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w w:val="96"/>
              </w:rPr>
              <w:t>$105,466,429 with an interest rate of 12.00%, matures on May 22, 2023. The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w w:val="97"/>
              </w:rPr>
              <w:t>debt was issued at a discount, the carrying value of which is $12,703,887 as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of June 30, 2020.</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92,762,542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90,375,912</w:t>
            </w:r>
          </w:p>
        </w:tc>
        <w:tc>
          <w:tcPr>
            <w:tcW w:w="0" w:type="dxa"/>
            <w:vAlign w:val="bottom"/>
          </w:tcPr>
          <w:p>
            <w:pPr>
              <w:spacing w:after="0"/>
              <w:rPr>
                <w:sz w:val="1"/>
                <w:szCs w:val="1"/>
                <w:color w:val="auto"/>
              </w:rPr>
            </w:pPr>
          </w:p>
        </w:tc>
      </w:tr>
      <w:tr>
        <w:trPr>
          <w:trHeight w:val="202"/>
        </w:trPr>
        <w:tc>
          <w:tcPr>
            <w:tcW w:w="6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Rise Joliet mortgage dated June 5, 2020, in the original amount of $1,814,000</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with an interest rate of 5.00%, matures on June 5, 2035. The debt was issued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at a discount, the carrying value of which is $181,272 as of June 30, 2020.</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1,632,728</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b w:val="1"/>
                <w:bCs w:val="1"/>
                <w:color w:val="auto"/>
              </w:rPr>
              <w:t>Total notes payable</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95,205,157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91,346,869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notes payable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(266,825)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(206,675)</w:t>
            </w: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b w:val="1"/>
                <w:bCs w:val="1"/>
                <w:color w:val="auto"/>
              </w:rPr>
              <w:t>Notes payable, net of current portion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94,938,332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91,140,194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ind w:left="398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6. NOTES PAYABLE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6995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 Extension of Private Placement Financing</w:t>
      </w:r>
    </w:p>
    <w:p>
      <w:pPr>
        <w:spacing w:after="0" w:line="121" w:lineRule="exact"/>
        <w:rPr>
          <w:sz w:val="20"/>
          <w:szCs w:val="20"/>
          <w:color w:val="auto"/>
        </w:rPr>
      </w:pPr>
    </w:p>
    <w:p>
      <w:pPr>
        <w:ind w:left="1100" w:right="80"/>
        <w:spacing w:after="0" w:line="259" w:lineRule="auto"/>
        <w:rPr>
          <w:sz w:val="20"/>
          <w:szCs w:val="20"/>
          <w:color w:val="auto"/>
        </w:rPr>
      </w:pPr>
      <w:r>
        <w:rPr>
          <w:rFonts w:ascii="Arial" w:cs="Arial" w:eastAsia="Arial" w:hAnsi="Arial"/>
          <w:sz w:val="18"/>
          <w:szCs w:val="18"/>
          <w:color w:val="auto"/>
        </w:rPr>
        <w:t>On May 21, 2020, the Company exercised its option to extend the maturity date of its senior secured notes (the “Notes”) pursuant to the Note Purchase Agreement, dated May 22, 2019, as amended (the “Note Purchase Agreement”) for an additional year. Following this exercise, which was in the Company’s sole discretion under the Note Purchase Agreement, the new maturity date for the Notes is May 22, 2023.</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Mortgage on Joliet, Illinois Dispensary</w:t>
      </w:r>
    </w:p>
    <w:p>
      <w:pPr>
        <w:spacing w:after="0" w:line="121" w:lineRule="exact"/>
        <w:rPr>
          <w:sz w:val="20"/>
          <w:szCs w:val="20"/>
          <w:color w:val="auto"/>
        </w:rPr>
      </w:pPr>
    </w:p>
    <w:p>
      <w:pPr>
        <w:ind w:left="1100" w:right="20"/>
        <w:spacing w:after="0" w:line="257" w:lineRule="auto"/>
        <w:rPr>
          <w:sz w:val="20"/>
          <w:szCs w:val="20"/>
          <w:color w:val="auto"/>
        </w:rPr>
      </w:pPr>
      <w:r>
        <w:rPr>
          <w:rFonts w:ascii="Arial" w:cs="Arial" w:eastAsia="Arial" w:hAnsi="Arial"/>
          <w:sz w:val="18"/>
          <w:szCs w:val="18"/>
          <w:color w:val="auto"/>
        </w:rPr>
        <w:t>On June 5, 2020, the Company closed on a secured promissory note (the “Mortgage”) of $1,814,000. The Mortgage bears interest of 5% per annum and matures on June 5, 2035. The Mortgage provided by the lender was used to purchase the building and building improvements of one of the Company’s dispensaries located in Joliet, Illinois that the Company previously leased from Mosaic Real Estate Joliet, LLC, a related party. As part of the transaction, the Company issued 35,000 warrants valued at $181,272 using a Black Scholes Option Pricing model which was recorded as a discount on the Mortgage.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 Related Parties</w:t>
      </w:r>
    </w:p>
    <w:p>
      <w:pPr>
        <w:spacing w:after="0" w:line="121" w:lineRule="exact"/>
        <w:rPr>
          <w:sz w:val="20"/>
          <w:szCs w:val="20"/>
          <w:color w:val="auto"/>
        </w:rPr>
      </w:pPr>
    </w:p>
    <w:p>
      <w:pPr>
        <w:ind w:left="1100" w:right="20"/>
        <w:spacing w:after="0" w:line="301" w:lineRule="auto"/>
        <w:rPr>
          <w:sz w:val="20"/>
          <w:szCs w:val="20"/>
          <w:color w:val="auto"/>
        </w:rPr>
      </w:pPr>
      <w:r>
        <w:rPr>
          <w:rFonts w:ascii="Arial" w:cs="Arial" w:eastAsia="Arial" w:hAnsi="Arial"/>
          <w:sz w:val="16"/>
          <w:szCs w:val="16"/>
          <w:color w:val="auto"/>
        </w:rPr>
        <w:t>The private placement debt is held by related parties as well as unrelated third-party lenders at a percentage of approximately 1% and 99%, respectively. The related parties consist of Benjamin Kovler, the Chief Executive Officer and a director of the Corporation (through KP Capital, LLC); Andrew Grossman, the Executive Vice President of Capital Markets (through AG Funding Group, LLC); and Anthony Georgiadis, the Chief Financial Officer and a director of the Corporation (through Three One Four Holdings, LLC and ABG, LLC).</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6995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8"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As part of the Company’s private placement financing and Mortgage on the Joliet, Illinois dispensary, the Company issued warrants to related parties, as well as un-related third parties, which allow the holders to purchase Subordinate Voting Shares at an exercise price determined at the time of issuance.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number warrants issued as of June 30, 2020 and December 31, 2019:</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3"/>
          </w:tcPr>
          <w:p>
            <w:pPr>
              <w:jc w:val="center"/>
              <w:ind w:right="260"/>
              <w:spacing w:after="0"/>
              <w:rPr>
                <w:sz w:val="20"/>
                <w:szCs w:val="20"/>
                <w:color w:val="auto"/>
              </w:rPr>
            </w:pPr>
            <w:r>
              <w:rPr>
                <w:rFonts w:ascii="Arial" w:cs="Arial" w:eastAsia="Arial" w:hAnsi="Arial"/>
                <w:sz w:val="14"/>
                <w:szCs w:val="14"/>
                <w:color w:val="auto"/>
                <w:w w:val="91"/>
              </w:rPr>
              <w:t>Weighted</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5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Weighted</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Weighted</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88"/>
              </w:rPr>
              <w:t>Average</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Weighted</w:t>
            </w:r>
          </w:p>
        </w:tc>
      </w:tr>
      <w:tr>
        <w:trPr>
          <w:trHeight w:val="148"/>
        </w:trPr>
        <w:tc>
          <w:tcPr>
            <w:tcW w:w="5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Average</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8"/>
              </w:rPr>
              <w:t>Average</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3"/>
              </w:rPr>
              <w:t>Exercise</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1"/>
              </w:rPr>
              <w:t>Average</w:t>
            </w:r>
          </w:p>
        </w:tc>
      </w:tr>
      <w:tr>
        <w:trPr>
          <w:trHeight w:val="149"/>
        </w:trPr>
        <w:tc>
          <w:tcPr>
            <w:tcW w:w="50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7"/>
              </w:rPr>
              <w:t>Number of</w:t>
            </w:r>
          </w:p>
        </w:tc>
        <w:tc>
          <w:tcPr>
            <w:tcW w:w="66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9"/>
              </w:rPr>
              <w:t>Exercise Price</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9"/>
              </w:rPr>
              <w:t>Contractual</w:t>
            </w:r>
          </w:p>
        </w:tc>
        <w:tc>
          <w:tcPr>
            <w:tcW w:w="6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Number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3"/>
              </w:rPr>
              <w:t>Price</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Contractual</w:t>
            </w:r>
          </w:p>
        </w:tc>
      </w:tr>
      <w:tr>
        <w:trPr>
          <w:trHeight w:val="167"/>
        </w:trPr>
        <w:tc>
          <w:tcPr>
            <w:tcW w:w="508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Shares</w:t>
            </w:r>
          </w:p>
        </w:tc>
        <w:tc>
          <w:tcPr>
            <w:tcW w:w="6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(C$)</w:t>
            </w: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rPr>
              <w:t>Life</w:t>
            </w:r>
          </w:p>
        </w:tc>
        <w:tc>
          <w:tcPr>
            <w:tcW w:w="600" w:type="dxa"/>
            <w:vAlign w:val="bottom"/>
            <w:gridSpan w:val="2"/>
          </w:tcPr>
          <w:p>
            <w:pPr>
              <w:ind w:left="20"/>
              <w:spacing w:after="0"/>
              <w:rPr>
                <w:sz w:val="20"/>
                <w:szCs w:val="20"/>
                <w:color w:val="auto"/>
              </w:rPr>
            </w:pPr>
            <w:r>
              <w:rPr>
                <w:rFonts w:ascii="Arial" w:cs="Arial" w:eastAsia="Arial" w:hAnsi="Arial"/>
                <w:sz w:val="14"/>
                <w:szCs w:val="14"/>
                <w:color w:val="auto"/>
                <w:w w:val="93"/>
              </w:rPr>
              <w:t>of Shares</w:t>
            </w:r>
          </w:p>
        </w:tc>
        <w:tc>
          <w:tcPr>
            <w:tcW w:w="220" w:type="dxa"/>
            <w:vAlign w:val="bottom"/>
          </w:tcPr>
          <w:p>
            <w:pPr>
              <w:spacing w:after="0"/>
              <w:rPr>
                <w:sz w:val="14"/>
                <w:szCs w:val="14"/>
                <w:color w:val="auto"/>
              </w:rPr>
            </w:pPr>
          </w:p>
        </w:tc>
        <w:tc>
          <w:tcPr>
            <w:tcW w:w="800" w:type="dxa"/>
            <w:vAlign w:val="bottom"/>
            <w:gridSpan w:val="3"/>
          </w:tcPr>
          <w:p>
            <w:pPr>
              <w:jc w:val="center"/>
              <w:ind w:right="260"/>
              <w:spacing w:after="0"/>
              <w:rPr>
                <w:sz w:val="20"/>
                <w:szCs w:val="20"/>
                <w:color w:val="auto"/>
              </w:rPr>
            </w:pPr>
            <w:r>
              <w:rPr>
                <w:rFonts w:ascii="Arial" w:cs="Arial" w:eastAsia="Arial" w:hAnsi="Arial"/>
                <w:sz w:val="14"/>
                <w:szCs w:val="14"/>
                <w:color w:val="auto"/>
                <w:w w:val="97"/>
              </w:rPr>
              <w:t>(USD)</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color w:val="auto"/>
              </w:rPr>
              <w:t>Life</w:t>
            </w:r>
          </w:p>
        </w:tc>
      </w:tr>
      <w:tr>
        <w:trPr>
          <w:trHeight w:val="142"/>
        </w:trPr>
        <w:tc>
          <w:tcPr>
            <w:tcW w:w="50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760" w:type="dxa"/>
            <w:vAlign w:val="bottom"/>
            <w:tcBorders>
              <w:top w:val="single" w:sz="8" w:color="auto"/>
              <w:bottom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rPr>
              <w:t>Liability Classified</w:t>
            </w:r>
          </w:p>
        </w:tc>
        <w:tc>
          <w:tcPr>
            <w:tcW w:w="660" w:type="dxa"/>
            <w:vAlign w:val="bottom"/>
            <w:tcBorders>
              <w:top w:val="single" w:sz="8" w:color="auto"/>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700" w:type="dxa"/>
            <w:vAlign w:val="bottom"/>
            <w:tcBorders>
              <w:top w:val="single" w:sz="8" w:color="auto"/>
              <w:bottom w:val="single" w:sz="8" w:color="auto"/>
            </w:tcBorders>
            <w:gridSpan w:val="5"/>
          </w:tcPr>
          <w:p>
            <w:pPr>
              <w:jc w:val="right"/>
              <w:ind w:right="539"/>
              <w:spacing w:after="0" w:line="142" w:lineRule="exact"/>
              <w:rPr>
                <w:sz w:val="20"/>
                <w:szCs w:val="20"/>
                <w:color w:val="auto"/>
              </w:rPr>
            </w:pPr>
            <w:r>
              <w:rPr>
                <w:rFonts w:ascii="Arial" w:cs="Arial" w:eastAsia="Arial" w:hAnsi="Arial"/>
                <w:sz w:val="14"/>
                <w:szCs w:val="14"/>
                <w:b w:val="1"/>
                <w:bCs w:val="1"/>
                <w:color w:val="auto"/>
                <w:w w:val="93"/>
              </w:rPr>
              <w:t>Equity Classified</w:t>
            </w:r>
          </w:p>
        </w:tc>
        <w:tc>
          <w:tcPr>
            <w:tcW w:w="60" w:type="dxa"/>
            <w:vAlign w:val="bottom"/>
            <w:tcBorders>
              <w:bottom w:val="single" w:sz="8" w:color="CCEEFF"/>
            </w:tcBorders>
          </w:tcPr>
          <w:p>
            <w:pPr>
              <w:spacing w:after="0"/>
              <w:rPr>
                <w:sz w:val="12"/>
                <w:szCs w:val="12"/>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as at December 31, 2019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2,406,811</w:t>
            </w:r>
          </w:p>
        </w:tc>
        <w:tc>
          <w:tcPr>
            <w:tcW w:w="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Additional Modification Warrants</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84,924</w:t>
            </w:r>
          </w:p>
        </w:tc>
        <w:tc>
          <w:tcPr>
            <w:tcW w:w="6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14.03</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5.00</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Dispensary Mortgage Warrants</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35,000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Balance as at June 30, 2020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2,491,735</w:t>
            </w:r>
          </w:p>
        </w:tc>
        <w:tc>
          <w:tcPr>
            <w:tcW w:w="120" w:type="dxa"/>
            <w:vAlign w:val="bottom"/>
          </w:tcPr>
          <w:p>
            <w:pPr>
              <w:spacing w:after="0"/>
              <w:rPr>
                <w:sz w:val="19"/>
                <w:szCs w:val="19"/>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C$</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35,000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center"/>
              <w:ind w:left="54"/>
              <w:spacing w:after="0"/>
              <w:rPr>
                <w:sz w:val="20"/>
                <w:szCs w:val="20"/>
                <w:color w:val="auto"/>
              </w:rPr>
            </w:pPr>
            <w:r>
              <w:rPr>
                <w:rFonts w:ascii="Arial" w:cs="Arial" w:eastAsia="Arial" w:hAnsi="Arial"/>
                <w:sz w:val="18"/>
                <w:szCs w:val="18"/>
                <w:color w:val="auto"/>
                <w:w w:val="85"/>
              </w:rPr>
              <w:t>9.10</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5080" w:type="dxa"/>
            <w:vAlign w:val="bottom"/>
          </w:tcPr>
          <w:p>
            <w:pPr>
              <w:spacing w:after="0"/>
              <w:rPr>
                <w:sz w:val="24"/>
                <w:szCs w:val="24"/>
                <w:color w:val="auto"/>
              </w:rPr>
            </w:pP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4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300" w:hanging="184"/>
        <w:spacing w:after="0"/>
        <w:tabs>
          <w:tab w:leader="none" w:pos="3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WARRANTS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6995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 Additional Modification Warrants</w:t>
      </w:r>
    </w:p>
    <w:p>
      <w:pPr>
        <w:spacing w:after="0" w:line="121" w:lineRule="exact"/>
        <w:rPr>
          <w:sz w:val="20"/>
          <w:szCs w:val="20"/>
          <w:color w:val="auto"/>
        </w:rPr>
      </w:pPr>
    </w:p>
    <w:p>
      <w:pPr>
        <w:ind w:left="560" w:right="40"/>
        <w:spacing w:after="0" w:line="255" w:lineRule="auto"/>
        <w:rPr>
          <w:sz w:val="20"/>
          <w:szCs w:val="20"/>
          <w:color w:val="auto"/>
        </w:rPr>
      </w:pPr>
      <w:r>
        <w:rPr>
          <w:rFonts w:ascii="Arial" w:cs="Arial" w:eastAsia="Arial" w:hAnsi="Arial"/>
          <w:sz w:val="18"/>
          <w:szCs w:val="18"/>
          <w:color w:val="auto"/>
        </w:rPr>
        <w:t>As part of the November 9, 2019 modification of the Notes, the Company agreed to issue 84,924 additional warrants by May 22, 2020 to participating lenders in the event the Company decided to raise additional capital or to the original lenders involved in the May 22, 2019 private placement financing in the event the Company did not. On May 21, 2020, the Company issued the warrants to the original lenders involved in the private placement financing which allows the holder to purchase 84,924 Subordinate Voting Shares. The warrants are denominated in CAD. Upon issuance, the Company recorded an additional amount to debt discount with a corresponding amount to the warrant liability of $572,387, which was measured at fair value.</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Dispensary Mortgage Warrants</w:t>
      </w:r>
    </w:p>
    <w:p>
      <w:pPr>
        <w:spacing w:after="0" w:line="121" w:lineRule="exact"/>
        <w:rPr>
          <w:sz w:val="20"/>
          <w:szCs w:val="20"/>
          <w:color w:val="auto"/>
        </w:rPr>
      </w:pPr>
    </w:p>
    <w:p>
      <w:pPr>
        <w:ind w:left="560" w:right="20"/>
        <w:spacing w:after="0" w:line="257" w:lineRule="auto"/>
        <w:rPr>
          <w:sz w:val="20"/>
          <w:szCs w:val="20"/>
          <w:color w:val="auto"/>
        </w:rPr>
      </w:pPr>
      <w:r>
        <w:rPr>
          <w:rFonts w:ascii="Arial" w:cs="Arial" w:eastAsia="Arial" w:hAnsi="Arial"/>
          <w:sz w:val="18"/>
          <w:szCs w:val="18"/>
          <w:color w:val="auto"/>
        </w:rPr>
        <w:t>On June 5, 2020, as part of the $1,814,000 promissory note, the Company issued warrants that allows the promissory noteholder to purchase 35,000 Subordinate Voting Shares. These warrants are denominated in USD, which is the Company’s functional currency. As such, upon issuance, the Company recorded an additional amount to debt discount with a corresponding amount to contributed surplus of $181,272 which was measured at fair value using a Black Scholes Options Pricing model. The Company did not incur any other material fees related to the promissory note.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fair value of the liability classified warrants at June 30, 2020 and December 31, 2019:</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84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Warrant Liability</w:t>
            </w: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Strike</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58"/>
        </w:trPr>
        <w:tc>
          <w:tcPr>
            <w:tcW w:w="5840" w:type="dxa"/>
            <w:vAlign w:val="bottom"/>
            <w:gridSpan w:val="3"/>
            <w:vMerge w:val="continue"/>
          </w:tcPr>
          <w:p>
            <w:pPr>
              <w:spacing w:after="0"/>
              <w:rPr>
                <w:sz w:val="13"/>
                <w:szCs w:val="13"/>
                <w:color w:val="auto"/>
              </w:rPr>
            </w:pPr>
          </w:p>
        </w:tc>
        <w:tc>
          <w:tcPr>
            <w:tcW w:w="9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3"/>
              </w:rPr>
              <w:t>Price</w:t>
            </w:r>
          </w:p>
        </w:tc>
        <w:tc>
          <w:tcPr>
            <w:tcW w:w="112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Issued</w:t>
            </w:r>
          </w:p>
        </w:tc>
        <w:tc>
          <w:tcPr>
            <w:tcW w:w="100" w:type="dxa"/>
            <w:vAlign w:val="bottom"/>
          </w:tcPr>
          <w:p>
            <w:pPr>
              <w:spacing w:after="0"/>
              <w:rPr>
                <w:sz w:val="13"/>
                <w:szCs w:val="13"/>
                <w:color w:val="auto"/>
              </w:rPr>
            </w:pPr>
          </w:p>
        </w:tc>
        <w:tc>
          <w:tcPr>
            <w:tcW w:w="820" w:type="dxa"/>
            <w:vAlign w:val="bottom"/>
          </w:tcPr>
          <w:p>
            <w:pPr>
              <w:jc w:val="right"/>
              <w:ind w:right="235"/>
              <w:spacing w:after="0" w:line="158"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233"/>
              <w:spacing w:after="0" w:line="158"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bottom w:val="single" w:sz="8" w:color="CCEEFF"/>
            </w:tcBorders>
            <w:shd w:val="clear" w:color="auto" w:fill="000000"/>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Bridge Financing Warrants</w:t>
            </w: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C$22.90</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w w:val="86"/>
              </w:rPr>
              <w:t>218,964</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866,000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1,385,400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Private Placement Financing Warrants</w:t>
            </w:r>
          </w:p>
        </w:tc>
        <w:tc>
          <w:tcPr>
            <w:tcW w:w="9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C$19.39</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1,822,771</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11,148,000</w:t>
            </w: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12,189,169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Modification Warrants</w:t>
            </w:r>
          </w:p>
        </w:tc>
        <w:tc>
          <w:tcPr>
            <w:tcW w:w="9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1"/>
              </w:rPr>
              <w:t>C$12.04</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365,076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2,745,500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2,305,274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Additional Modification Warrants</w:t>
            </w:r>
          </w:p>
        </w:tc>
        <w:tc>
          <w:tcPr>
            <w:tcW w:w="960" w:type="dxa"/>
            <w:vAlign w:val="bottom"/>
            <w:gridSpan w:val="2"/>
          </w:tcPr>
          <w:p>
            <w:pPr>
              <w:jc w:val="center"/>
              <w:ind w:right="340"/>
              <w:spacing w:after="0"/>
              <w:rPr>
                <w:sz w:val="20"/>
                <w:szCs w:val="20"/>
                <w:color w:val="auto"/>
              </w:rPr>
            </w:pPr>
            <w:r>
              <w:rPr>
                <w:rFonts w:ascii="Arial" w:cs="Arial" w:eastAsia="Arial" w:hAnsi="Arial"/>
                <w:sz w:val="18"/>
                <w:szCs w:val="18"/>
                <w:u w:val="single" w:color="auto"/>
                <w:color w:val="auto"/>
                <w:w w:val="91"/>
              </w:rPr>
              <w:t>C$</w:t>
            </w:r>
            <w:r>
              <w:rPr>
                <w:rFonts w:ascii="Arial" w:cs="Arial" w:eastAsia="Arial" w:hAnsi="Arial"/>
                <w:sz w:val="18"/>
                <w:szCs w:val="18"/>
                <w:color w:val="auto"/>
                <w:w w:val="91"/>
              </w:rPr>
              <w:t>14.03</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84,924</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572,387</w:t>
            </w:r>
          </w:p>
        </w:tc>
        <w:tc>
          <w:tcPr>
            <w:tcW w:w="10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Totals</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4"/>
              </w:rPr>
              <w:t>2,491,735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8"/>
              </w:rPr>
              <w:t>15,331,887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8"/>
              </w:rPr>
              <w:t>15,879,843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During the three and six months ended June 30, 2020, the Company recorded a loss of $6,262,500 and a gain of $1,120,343, respectively, on the change in the fair value of the warrant liability within other income (expense) on the unaudited interim condensed consolidated statements of operations.</w:t>
      </w:r>
    </w:p>
    <w:p>
      <w:pPr>
        <w:spacing w:after="0" w:line="12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table summarizes the significant assumptions used in determining the fair value of the warrant liability as of each reporting date. See Note 13 - Fair Value Measurements for additional details: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7"/>
              </w:rPr>
              <w:t>Significant Assumptions</w:t>
            </w:r>
          </w:p>
        </w:tc>
        <w:tc>
          <w:tcPr>
            <w:tcW w:w="3620" w:type="dxa"/>
            <w:vAlign w:val="bottom"/>
          </w:tcPr>
          <w:p>
            <w:pPr>
              <w:spacing w:after="0"/>
              <w:rPr>
                <w:sz w:val="14"/>
                <w:szCs w:val="14"/>
                <w:color w:val="auto"/>
              </w:rPr>
            </w:pPr>
          </w:p>
        </w:tc>
        <w:tc>
          <w:tcPr>
            <w:tcW w:w="1660" w:type="dxa"/>
            <w:vAlign w:val="bottom"/>
            <w:gridSpan w:val="3"/>
          </w:tcPr>
          <w:p>
            <w:pPr>
              <w:ind w:left="480"/>
              <w:spacing w:after="0"/>
              <w:rPr>
                <w:sz w:val="20"/>
                <w:szCs w:val="20"/>
                <w:color w:val="auto"/>
              </w:rPr>
            </w:pPr>
            <w:r>
              <w:rPr>
                <w:rFonts w:ascii="Arial" w:cs="Arial" w:eastAsia="Arial" w:hAnsi="Arial"/>
                <w:sz w:val="14"/>
                <w:szCs w:val="14"/>
                <w:b w:val="1"/>
                <w:bCs w:val="1"/>
                <w:color w:val="auto"/>
              </w:rPr>
              <w:t>June 30,</w:t>
            </w:r>
          </w:p>
        </w:tc>
        <w:tc>
          <w:tcPr>
            <w:tcW w:w="16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1460" w:type="dxa"/>
            <w:vAlign w:val="bottom"/>
            <w:tcBorders>
              <w:bottom w:val="single" w:sz="8" w:color="auto"/>
            </w:tcBorders>
            <w:vMerge w:val="continue"/>
          </w:tcPr>
          <w:p>
            <w:pPr>
              <w:spacing w:after="0"/>
              <w:rPr>
                <w:sz w:val="15"/>
                <w:szCs w:val="15"/>
                <w:color w:val="auto"/>
              </w:rPr>
            </w:pPr>
          </w:p>
        </w:tc>
        <w:tc>
          <w:tcPr>
            <w:tcW w:w="5080" w:type="dxa"/>
            <w:vAlign w:val="bottom"/>
            <w:gridSpan w:val="3"/>
          </w:tcPr>
          <w:p>
            <w:pPr>
              <w:jc w:val="right"/>
              <w:ind w:right="490"/>
              <w:spacing w:after="0" w:line="158"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1560" w:type="dxa"/>
            <w:vAlign w:val="bottom"/>
          </w:tcPr>
          <w:p>
            <w:pPr>
              <w:jc w:val="right"/>
              <w:ind w:right="557"/>
              <w:spacing w:after="0" w:line="158"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Volatility</w:t>
            </w:r>
          </w:p>
        </w:tc>
        <w:tc>
          <w:tcPr>
            <w:tcW w:w="36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94.73%</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- 111.66%</w:t>
            </w:r>
          </w:p>
        </w:tc>
        <w:tc>
          <w:tcPr>
            <w:tcW w:w="2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117.43% - 123.64%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Remaining Term</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2.28 -</w:t>
            </w: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4.36 years</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2.78 - 4.86 years</w:t>
            </w: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52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0.28% - 0.36%</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 - 1.69%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fair value of the equity classified warrants at June 30, 2020 and December 31, 2019:</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5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90"/>
              </w:rPr>
              <w:t>Warrants Included in Contributed Surplus</w:t>
            </w:r>
          </w:p>
        </w:tc>
        <w:tc>
          <w:tcPr>
            <w:tcW w:w="3800" w:type="dxa"/>
            <w:vAlign w:val="bottom"/>
          </w:tcPr>
          <w:p>
            <w:pPr>
              <w:spacing w:after="0"/>
              <w:rPr>
                <w:sz w:val="14"/>
                <w:szCs w:val="14"/>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Strike</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Warrants</w:t>
            </w: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8"/>
        </w:trPr>
        <w:tc>
          <w:tcPr>
            <w:tcW w:w="2520" w:type="dxa"/>
            <w:vAlign w:val="bottom"/>
            <w:tcBorders>
              <w:bottom w:val="single" w:sz="8" w:color="auto"/>
            </w:tcBorders>
            <w:vMerge w:val="continue"/>
          </w:tcPr>
          <w:p>
            <w:pPr>
              <w:spacing w:after="0"/>
              <w:rPr>
                <w:sz w:val="15"/>
                <w:szCs w:val="15"/>
                <w:color w:val="auto"/>
              </w:rPr>
            </w:pPr>
          </w:p>
        </w:tc>
        <w:tc>
          <w:tcPr>
            <w:tcW w:w="3800" w:type="dxa"/>
            <w:vAlign w:val="bottom"/>
          </w:tcPr>
          <w:p>
            <w:pPr>
              <w:spacing w:after="0"/>
              <w:rPr>
                <w:sz w:val="15"/>
                <w:szCs w:val="15"/>
                <w:color w:val="auto"/>
              </w:rPr>
            </w:pPr>
          </w:p>
        </w:tc>
        <w:tc>
          <w:tcPr>
            <w:tcW w:w="82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3"/>
              </w:rPr>
              <w:t>Price</w:t>
            </w:r>
          </w:p>
        </w:tc>
        <w:tc>
          <w:tcPr>
            <w:tcW w:w="100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Issued</w:t>
            </w:r>
          </w:p>
        </w:tc>
        <w:tc>
          <w:tcPr>
            <w:tcW w:w="700" w:type="dxa"/>
            <w:vAlign w:val="bottom"/>
          </w:tcPr>
          <w:p>
            <w:pPr>
              <w:jc w:val="right"/>
              <w:ind w:right="122"/>
              <w:spacing w:after="0" w:line="158"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9"/>
              <w:spacing w:after="0" w:line="158"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Dispensary Mortgage Warrants</w:t>
            </w:r>
          </w:p>
        </w:tc>
        <w:tc>
          <w:tcPr>
            <w:tcW w:w="38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$9.10</w:t>
            </w:r>
          </w:p>
        </w:tc>
        <w:tc>
          <w:tcPr>
            <w:tcW w:w="4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35,000</w:t>
            </w:r>
          </w:p>
        </w:tc>
        <w:tc>
          <w:tcPr>
            <w:tcW w:w="4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$181,272</w:t>
            </w: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2520" w:type="dxa"/>
            <w:vAlign w:val="bottom"/>
          </w:tcPr>
          <w:p>
            <w:pPr>
              <w:spacing w:after="0"/>
              <w:rPr>
                <w:sz w:val="24"/>
                <w:szCs w:val="24"/>
                <w:color w:val="auto"/>
              </w:rPr>
            </w:pPr>
          </w:p>
        </w:tc>
        <w:tc>
          <w:tcPr>
            <w:tcW w:w="3800" w:type="dxa"/>
            <w:vAlign w:val="bottom"/>
          </w:tcPr>
          <w:p>
            <w:pPr>
              <w:jc w:val="right"/>
              <w:ind w:right="970"/>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4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300" w:hanging="184"/>
        <w:spacing w:after="0"/>
        <w:tabs>
          <w:tab w:leader="none" w:pos="3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WARRANTS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6995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summarizes the significant assumptions used in determining the fair value of the equity classified warrants as of each reporting date:</w:t>
      </w:r>
    </w:p>
    <w:p>
      <w:pPr>
        <w:spacing w:after="0" w:line="25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7"/>
              </w:rPr>
              <w:t>Significant Assumptions</w:t>
            </w:r>
          </w:p>
        </w:tc>
        <w:tc>
          <w:tcPr>
            <w:tcW w:w="4780" w:type="dxa"/>
            <w:vAlign w:val="bottom"/>
          </w:tcPr>
          <w:p>
            <w:pPr>
              <w:spacing w:after="0"/>
              <w:rPr>
                <w:sz w:val="14"/>
                <w:szCs w:val="14"/>
                <w:color w:val="auto"/>
              </w:rPr>
            </w:pPr>
          </w:p>
        </w:tc>
        <w:tc>
          <w:tcPr>
            <w:tcW w:w="12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3"/>
        </w:trPr>
        <w:tc>
          <w:tcPr>
            <w:tcW w:w="1460" w:type="dxa"/>
            <w:vAlign w:val="bottom"/>
            <w:tcBorders>
              <w:bottom w:val="single" w:sz="8" w:color="auto"/>
            </w:tcBorders>
            <w:vMerge w:val="continue"/>
          </w:tcPr>
          <w:p>
            <w:pPr>
              <w:spacing w:after="0"/>
              <w:rPr>
                <w:sz w:val="13"/>
                <w:szCs w:val="13"/>
                <w:color w:val="auto"/>
              </w:rPr>
            </w:pPr>
          </w:p>
        </w:tc>
        <w:tc>
          <w:tcPr>
            <w:tcW w:w="5360" w:type="dxa"/>
            <w:vAlign w:val="bottom"/>
            <w:gridSpan w:val="2"/>
          </w:tcPr>
          <w:p>
            <w:pPr>
              <w:jc w:val="right"/>
              <w:ind w:right="56"/>
              <w:spacing w:after="0" w:line="158" w:lineRule="exact"/>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3"/>
                <w:szCs w:val="13"/>
                <w:color w:val="auto"/>
              </w:rPr>
            </w:pPr>
          </w:p>
        </w:tc>
        <w:tc>
          <w:tcPr>
            <w:tcW w:w="880" w:type="dxa"/>
            <w:vAlign w:val="bottom"/>
          </w:tcPr>
          <w:p>
            <w:pPr>
              <w:jc w:val="right"/>
              <w:ind w:right="237"/>
              <w:spacing w:after="0" w:line="158"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1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Volatility</w:t>
            </w:r>
          </w:p>
        </w:tc>
        <w:tc>
          <w:tcPr>
            <w:tcW w:w="47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60" w:type="dxa"/>
            <w:vAlign w:val="bottom"/>
            <w:vMerge w:val="continue"/>
            <w:shd w:val="clear" w:color="auto" w:fill="CCEEFF"/>
          </w:tcPr>
          <w:p>
            <w:pPr>
              <w:spacing w:after="0"/>
              <w:rPr>
                <w:sz w:val="17"/>
                <w:szCs w:val="17"/>
                <w:color w:val="auto"/>
              </w:rPr>
            </w:pPr>
          </w:p>
        </w:tc>
        <w:tc>
          <w:tcPr>
            <w:tcW w:w="4780" w:type="dxa"/>
            <w:vAlign w:val="bottom"/>
            <w:vMerge w:val="continue"/>
            <w:shd w:val="clear" w:color="auto" w:fill="CCEEFF"/>
          </w:tcPr>
          <w:p>
            <w:pPr>
              <w:spacing w:after="0"/>
              <w:rPr>
                <w:sz w:val="17"/>
                <w:szCs w:val="17"/>
                <w:color w:val="auto"/>
              </w:rPr>
            </w:pPr>
          </w:p>
        </w:tc>
        <w:tc>
          <w:tcPr>
            <w:tcW w:w="1240" w:type="dxa"/>
            <w:vAlign w:val="bottom"/>
            <w:gridSpan w:val="2"/>
            <w:shd w:val="clear" w:color="auto" w:fill="CCEEFF"/>
          </w:tcPr>
          <w:p>
            <w:pPr>
              <w:jc w:val="right"/>
              <w:ind w:right="500"/>
              <w:spacing w:after="0" w:line="203" w:lineRule="exact"/>
              <w:rPr>
                <w:sz w:val="20"/>
                <w:szCs w:val="20"/>
                <w:color w:val="auto"/>
              </w:rPr>
            </w:pPr>
            <w:r>
              <w:rPr>
                <w:rFonts w:ascii="Arial" w:cs="Arial" w:eastAsia="Arial" w:hAnsi="Arial"/>
                <w:sz w:val="18"/>
                <w:szCs w:val="18"/>
                <w:color w:val="auto"/>
              </w:rPr>
              <w:t>80%</w:t>
            </w:r>
          </w:p>
        </w:tc>
        <w:tc>
          <w:tcPr>
            <w:tcW w:w="880" w:type="dxa"/>
            <w:vAlign w:val="bottom"/>
            <w:tcBorders>
              <w:right w:val="single" w:sz="8" w:color="CCEEFF"/>
            </w:tcBorders>
            <w:shd w:val="clear" w:color="auto" w:fill="CCEEFF"/>
          </w:tcPr>
          <w:p>
            <w:pPr>
              <w:ind w:left="5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Remaining Term</w:t>
            </w:r>
          </w:p>
        </w:tc>
        <w:tc>
          <w:tcPr>
            <w:tcW w:w="478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w w:val="98"/>
              </w:rPr>
              <w:t>5 years</w:t>
            </w:r>
          </w:p>
        </w:tc>
        <w:tc>
          <w:tcPr>
            <w:tcW w:w="88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60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0.37%</w:t>
            </w:r>
          </w:p>
        </w:tc>
        <w:tc>
          <w:tcPr>
            <w:tcW w:w="880" w:type="dxa"/>
            <w:vAlign w:val="bottom"/>
            <w:tcBorders>
              <w:right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69951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the Company’s income tax expense and effective tax rates for the three and six months ended June 30, 2020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30, 2019:</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9"/>
              </w:rPr>
              <w:t>Three Months Ended June 30,</w:t>
            </w:r>
          </w:p>
        </w:tc>
        <w:tc>
          <w:tcPr>
            <w:tcW w:w="140" w:type="dxa"/>
            <w:vAlign w:val="bottom"/>
          </w:tcPr>
          <w:p>
            <w:pPr>
              <w:spacing w:after="0"/>
              <w:rPr>
                <w:sz w:val="14"/>
                <w:szCs w:val="14"/>
                <w:color w:val="auto"/>
              </w:rPr>
            </w:pPr>
          </w:p>
        </w:tc>
        <w:tc>
          <w:tcPr>
            <w:tcW w:w="25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8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3,614,778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(20,829,436)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$13,000,218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(29,297,491)</w:t>
            </w:r>
          </w:p>
        </w:tc>
        <w:tc>
          <w:tcPr>
            <w:tcW w:w="2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15,378,715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(154,333)</w:t>
            </w:r>
          </w:p>
        </w:tc>
        <w:tc>
          <w:tcPr>
            <w:tcW w:w="1520" w:type="dxa"/>
            <w:vAlign w:val="bottom"/>
            <w:gridSpan w:val="3"/>
          </w:tcPr>
          <w:p>
            <w:pPr>
              <w:jc w:val="right"/>
              <w:ind w:right="460"/>
              <w:spacing w:after="0"/>
              <w:rPr>
                <w:sz w:val="20"/>
                <w:szCs w:val="20"/>
                <w:color w:val="auto"/>
              </w:rPr>
            </w:pPr>
            <w:r>
              <w:rPr>
                <w:rFonts w:ascii="Arial" w:cs="Arial" w:eastAsia="Arial" w:hAnsi="Arial"/>
                <w:sz w:val="18"/>
                <w:szCs w:val="18"/>
                <w:color w:val="auto"/>
              </w:rPr>
              <w:t>$28,527,715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1,081,667</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219.4%</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bl>
    <w:p>
      <w:pPr>
        <w:spacing w:after="0" w:line="202"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The effective tax rates for the three and six months ended June 30, 2020 and June 30, 2019 were based on the Company’s forecasted annualized effective tax rates and were adjusted for discrete items that occurred within the periods presented.</w:t>
      </w:r>
    </w:p>
    <w:p>
      <w:pPr>
        <w:spacing w:after="0" w:line="170"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Due to its cannabis operations, the Company is subject to the limitations of Internal Revenue Code (“IRC”) Section 280E under which the Company is only allowed to deduct expenses directly related to sales of product. This results in permanent differences between ordinary and necessary business expenses deemed non-allowable under IRC Section 280E.</w:t>
      </w:r>
    </w:p>
    <w:p>
      <w:pPr>
        <w:spacing w:after="0" w:line="184"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The effective tax rate for the three and six months ended June 30, 2020 varies widely from the three and six months ended June 30, 2019 primarily due to the Company reporting pre-tax loss in 2019 as opposed to pre-tax income in 2020. The large amount of nondeductible expenses incurred by the Company subject to IRC Section 280E, resulted in income tax expense being incurred in a pre-tax loss quarter for 2019.</w:t>
      </w:r>
    </w:p>
    <w:p>
      <w:pPr>
        <w:spacing w:after="0" w:line="165"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 Company is subject to income taxes in the United States and Canada. Significant judgment is required in evaluating the Company’s uncertain tax positions and determining the provision for income taxes. The Company’s gross unrecognized tax benefits were approximately $6,181,000 and $2,113,263 as of June 30, 2020 and December 31, 2019, respectively.</w:t>
      </w:r>
    </w:p>
    <w:p>
      <w:pPr>
        <w:spacing w:after="0" w:line="184"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The federal statute of limitation remains open for the 2017 tax year to the present. The state income tax returns generally remain open for the 2016 tax year through the present. Net operating losses arising prior to these years are also open to examination if and when utilized. Taxes paid during the six months ended June 30, 2020 and 2019 were $541,264 and $5,445,729, respectively.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5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6995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9"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The Company holds investments in convertible notes which matured August 1, 2020 and converted into 613,875 preferred shares. At June 30, 2020 and December 31, 2019, the fair value of these investments was $7,533,000 at the end of each period. The Company also holds direct equity investments in cannabis companies. At June 30, 2020 and December 31, 2019, the fair value of these investments was $6,518,786 and $6,535,821, respectively.</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change in the Company’s investments as of June 30, 2020:</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900" w:type="dxa"/>
            <w:vAlign w:val="bottom"/>
            <w:gridSpan w:val="3"/>
          </w:tcPr>
          <w:p>
            <w:pPr>
              <w:ind w:left="1800"/>
              <w:spacing w:after="0"/>
              <w:rPr>
                <w:sz w:val="20"/>
                <w:szCs w:val="20"/>
                <w:color w:val="auto"/>
              </w:rPr>
            </w:pPr>
            <w:r>
              <w:rPr>
                <w:rFonts w:ascii="Arial" w:cs="Arial" w:eastAsia="Arial" w:hAnsi="Arial"/>
                <w:sz w:val="14"/>
                <w:szCs w:val="14"/>
                <w:b w:val="1"/>
                <w:bCs w:val="1"/>
                <w:color w:val="auto"/>
                <w:w w:val="90"/>
              </w:rPr>
              <w:t>Convertible Notes</w:t>
            </w:r>
          </w:p>
        </w:tc>
        <w:tc>
          <w:tcPr>
            <w:tcW w:w="420" w:type="dxa"/>
            <w:vAlign w:val="bottom"/>
          </w:tcPr>
          <w:p>
            <w:pPr>
              <w:spacing w:after="0"/>
              <w:rPr>
                <w:sz w:val="14"/>
                <w:szCs w:val="14"/>
                <w:color w:val="auto"/>
              </w:rPr>
            </w:pP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135"/>
              <w:spacing w:after="0"/>
              <w:rPr>
                <w:sz w:val="20"/>
                <w:szCs w:val="20"/>
                <w:color w:val="auto"/>
              </w:rPr>
            </w:pPr>
            <w:r>
              <w:rPr>
                <w:rFonts w:ascii="Arial" w:cs="Arial" w:eastAsia="Arial" w:hAnsi="Arial"/>
                <w:sz w:val="14"/>
                <w:szCs w:val="14"/>
                <w:b w:val="1"/>
                <w:bCs w:val="1"/>
                <w:color w:val="auto"/>
                <w:w w:val="95"/>
              </w:rPr>
              <w:t>Receivable</w:t>
            </w:r>
          </w:p>
        </w:tc>
        <w:tc>
          <w:tcPr>
            <w:tcW w:w="4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1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7,533,000</w:t>
            </w:r>
          </w:p>
        </w:tc>
        <w:tc>
          <w:tcPr>
            <w:tcW w:w="4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$6,535,821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$14,068,821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Fair value adjustment</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(17,035)</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(17,035)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1960" w:type="dxa"/>
            <w:vAlign w:val="bottom"/>
            <w:gridSpan w:val="2"/>
            <w:shd w:val="clear" w:color="auto" w:fill="CCEEFF"/>
          </w:tcPr>
          <w:p>
            <w:pPr>
              <w:ind w:left="180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7,533,000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6,518,786</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14,051,786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change in the Company’s investments as of December 31, 2019:</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Convertible Notes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Equity</w:t>
            </w:r>
          </w:p>
        </w:tc>
        <w:tc>
          <w:tcPr>
            <w:tcW w:w="200" w:type="dxa"/>
            <w:vAlign w:val="bottom"/>
          </w:tcPr>
          <w:p>
            <w:pPr>
              <w:spacing w:after="0"/>
              <w:rPr>
                <w:sz w:val="14"/>
                <w:szCs w:val="14"/>
                <w:color w:val="auto"/>
              </w:rPr>
            </w:pPr>
          </w:p>
        </w:tc>
        <w:tc>
          <w:tcPr>
            <w:tcW w:w="10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Receivable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30,336,000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10,597,283</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$ 40,933,283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Fair value adjustment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(1,398,000)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(4,061,462)</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(5,459,462)</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Applied to consideration in business combination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(21,405,000)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(21,405,000)</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7,533,000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6,535,821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$ 14,068,821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calculated fair values are recorded as a Level 3 fair value investment as of June 30, 2020 and December 31, 2019. See Note 13 - Fair Value Measurements for additional details. The convertible notes receivable were valued using the Binomial Lattice Model, which is based on a generalized binomial option pricing formula, using the following assumptions:</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7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Six Months Ended</w:t>
            </w: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June 30, 2020</w:t>
            </w:r>
          </w:p>
        </w:tc>
        <w:tc>
          <w:tcPr>
            <w:tcW w:w="620" w:type="dxa"/>
            <w:vAlign w:val="bottom"/>
          </w:tcPr>
          <w:p>
            <w:pPr>
              <w:spacing w:after="0"/>
              <w:rPr>
                <w:sz w:val="14"/>
                <w:szCs w:val="1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 2019</w:t>
            </w:r>
          </w:p>
        </w:tc>
        <w:tc>
          <w:tcPr>
            <w:tcW w:w="0" w:type="dxa"/>
            <w:vAlign w:val="bottom"/>
          </w:tcPr>
          <w:p>
            <w:pPr>
              <w:spacing w:after="0"/>
              <w:rPr>
                <w:sz w:val="1"/>
                <w:szCs w:val="1"/>
                <w:color w:val="auto"/>
              </w:rPr>
            </w:pPr>
          </w:p>
        </w:tc>
      </w:tr>
      <w:tr>
        <w:trPr>
          <w:trHeight w:val="20"/>
        </w:trPr>
        <w:tc>
          <w:tcPr>
            <w:tcW w:w="3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198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vMerge w:val="continue"/>
            <w:shd w:val="clear" w:color="auto" w:fill="CCEEFF"/>
          </w:tcPr>
          <w:p>
            <w:pPr>
              <w:spacing w:after="0"/>
              <w:rPr>
                <w:sz w:val="18"/>
                <w:szCs w:val="18"/>
                <w:color w:val="auto"/>
              </w:rPr>
            </w:pPr>
          </w:p>
        </w:tc>
        <w:tc>
          <w:tcPr>
            <w:tcW w:w="1980" w:type="dxa"/>
            <w:vAlign w:val="bottom"/>
            <w:vMerge w:val="continue"/>
            <w:shd w:val="clear" w:color="auto" w:fill="CCEEFF"/>
          </w:tcPr>
          <w:p>
            <w:pPr>
              <w:spacing w:after="0"/>
              <w:rPr>
                <w:sz w:val="18"/>
                <w:szCs w:val="18"/>
                <w:color w:val="auto"/>
              </w:rPr>
            </w:pP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1.58% - 2.46%</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 - 2.46%</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Equity Volatility</w:t>
            </w:r>
          </w:p>
        </w:tc>
        <w:tc>
          <w:tcPr>
            <w:tcW w:w="3760" w:type="dxa"/>
            <w:vAlign w:val="bottom"/>
            <w:gridSpan w:val="3"/>
          </w:tcPr>
          <w:p>
            <w:pPr>
              <w:jc w:val="right"/>
              <w:ind w:right="480"/>
              <w:spacing w:after="0"/>
              <w:rPr>
                <w:sz w:val="20"/>
                <w:szCs w:val="20"/>
                <w:color w:val="auto"/>
              </w:rPr>
            </w:pPr>
            <w:r>
              <w:rPr>
                <w:rFonts w:ascii="Arial" w:cs="Arial" w:eastAsia="Arial" w:hAnsi="Arial"/>
                <w:sz w:val="18"/>
                <w:szCs w:val="18"/>
                <w:color w:val="auto"/>
              </w:rPr>
              <w:t>58% - 106%</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58% - 106%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Market Yield</w:t>
            </w:r>
          </w:p>
        </w:tc>
        <w:tc>
          <w:tcPr>
            <w:tcW w:w="37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 - 18%</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 - 18%</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Probability of Qualified Financing</w:t>
            </w:r>
          </w:p>
        </w:tc>
        <w:tc>
          <w:tcPr>
            <w:tcW w:w="3760" w:type="dxa"/>
            <w:vAlign w:val="bottom"/>
            <w:gridSpan w:val="3"/>
          </w:tcPr>
          <w:p>
            <w:pPr>
              <w:jc w:val="right"/>
              <w:ind w:right="48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Probability of Sale</w:t>
            </w:r>
          </w:p>
        </w:tc>
        <w:tc>
          <w:tcPr>
            <w:tcW w:w="37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30%</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Probability of No Event</w:t>
            </w:r>
          </w:p>
        </w:tc>
        <w:tc>
          <w:tcPr>
            <w:tcW w:w="3760" w:type="dxa"/>
            <w:vAlign w:val="bottom"/>
            <w:gridSpan w:val="3"/>
          </w:tcPr>
          <w:p>
            <w:pPr>
              <w:jc w:val="right"/>
              <w:ind w:right="480"/>
              <w:spacing w:after="0"/>
              <w:rPr>
                <w:sz w:val="20"/>
                <w:szCs w:val="20"/>
                <w:color w:val="auto"/>
              </w:rPr>
            </w:pPr>
            <w:r>
              <w:rPr>
                <w:rFonts w:ascii="Arial" w:cs="Arial" w:eastAsia="Arial" w:hAnsi="Arial"/>
                <w:sz w:val="18"/>
                <w:szCs w:val="18"/>
                <w:color w:val="auto"/>
              </w:rPr>
              <w:t>70%</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50"/>
        </w:trPr>
        <w:tc>
          <w:tcPr>
            <w:tcW w:w="3240" w:type="dxa"/>
            <w:vAlign w:val="bottom"/>
          </w:tcPr>
          <w:p>
            <w:pPr>
              <w:spacing w:after="0"/>
              <w:rPr>
                <w:sz w:val="24"/>
                <w:szCs w:val="24"/>
                <w:color w:val="auto"/>
              </w:rPr>
            </w:pPr>
          </w:p>
        </w:tc>
        <w:tc>
          <w:tcPr>
            <w:tcW w:w="1980" w:type="dxa"/>
            <w:vAlign w:val="bottom"/>
          </w:tcPr>
          <w:p>
            <w:pPr>
              <w:jc w:val="right"/>
              <w:ind w:right="750"/>
              <w:spacing w:after="0"/>
              <w:rPr>
                <w:sz w:val="20"/>
                <w:szCs w:val="20"/>
                <w:color w:val="auto"/>
              </w:rPr>
            </w:pPr>
            <w:r>
              <w:rPr>
                <w:rFonts w:ascii="Arial" w:cs="Arial" w:eastAsia="Arial" w:hAnsi="Arial"/>
                <w:sz w:val="18"/>
                <w:szCs w:val="18"/>
                <w:color w:val="auto"/>
              </w:rPr>
              <w:t>-21-</w:t>
            </w: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9" w:right="5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4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69951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9"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Common shares, which include the Company’s Subordinate Voting Shares, Multiple Voting Shares and Super Voting Shares, are classified as equity.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Accounting Standards Codification (ASC) 740, Income Taxes.</w:t>
      </w:r>
    </w:p>
    <w:p>
      <w:pPr>
        <w:spacing w:after="0" w:line="26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 Authorized</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Company has the following classes of share capital, with each class having no par value:</w:t>
      </w:r>
    </w:p>
    <w:p>
      <w:pPr>
        <w:spacing w:after="0" w:line="113"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(i) Subordinate Voting Shares</w:t>
      </w:r>
    </w:p>
    <w:p>
      <w:pPr>
        <w:spacing w:after="0" w:line="121" w:lineRule="exact"/>
        <w:rPr>
          <w:sz w:val="20"/>
          <w:szCs w:val="20"/>
          <w:color w:val="auto"/>
        </w:rPr>
      </w:pPr>
    </w:p>
    <w:p>
      <w:pPr>
        <w:ind w:left="1100" w:right="40"/>
        <w:spacing w:after="0" w:line="275" w:lineRule="auto"/>
        <w:rPr>
          <w:sz w:val="20"/>
          <w:szCs w:val="20"/>
          <w:color w:val="auto"/>
        </w:rPr>
      </w:pPr>
      <w:r>
        <w:rPr>
          <w:rFonts w:ascii="Arial" w:cs="Arial" w:eastAsia="Arial" w:hAnsi="Arial"/>
          <w:sz w:val="17"/>
          <w:szCs w:val="17"/>
          <w:color w:val="auto"/>
        </w:rPr>
        <w:t>The holders of the Subordinate Voting Shares are entitled to receive dividends which may be declared from time to time and are entitled to one vote per share at meetings of the Company’s shareholders. All Subordinate Voting Shares are ranked equally with regard to the Company’s residual assets. The Company is authorized to issue an unlimited number of no par value Subordinate Voting Shares. During the six months ending June 30, 2020, the shareholders of the Company converted 246,638 Multiple Voting Shares into 24,663,800 Subordinate Voting Shares and 13,953 Super Voting Shares into 1,395,300 Subordinate Voting Shares.</w:t>
      </w:r>
    </w:p>
    <w:p>
      <w:pPr>
        <w:spacing w:after="0" w:line="64"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(ii) Multiple Voting Shares</w:t>
      </w:r>
    </w:p>
    <w:p>
      <w:pPr>
        <w:spacing w:after="0" w:line="121" w:lineRule="exact"/>
        <w:rPr>
          <w:sz w:val="20"/>
          <w:szCs w:val="20"/>
          <w:color w:val="auto"/>
        </w:rPr>
      </w:pPr>
    </w:p>
    <w:p>
      <w:pPr>
        <w:ind w:left="1100"/>
        <w:spacing w:after="0" w:line="257" w:lineRule="auto"/>
        <w:rPr>
          <w:sz w:val="20"/>
          <w:szCs w:val="20"/>
          <w:color w:val="auto"/>
        </w:rPr>
      </w:pPr>
      <w:r>
        <w:rPr>
          <w:rFonts w:ascii="Arial" w:cs="Arial" w:eastAsia="Arial" w:hAnsi="Arial"/>
          <w:sz w:val="18"/>
          <w:szCs w:val="18"/>
          <w:color w:val="auto"/>
        </w:rPr>
        <w:t>Each Multiple Voting Share is entitled to one hundred votes per share at shareholder meetings of the Company and is exchangeable for 100 Subordinate Voting Shares. At June 30, 2020, the Company has 126,712 issued and outstanding Multiple Voting Shares, which convert into 12,671,200 Subordinate Voting Shares. The Company is authorized to issue an unlimited number of Multiple Voting Shares. During the six months ending June 30, 2020, the shareholders of the Company converted 246,638 Multiple Voting Shares into 24,663,800 Subordinate Voting Shares.</w:t>
      </w:r>
    </w:p>
    <w:p>
      <w:pPr>
        <w:spacing w:after="0" w:line="76"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(iii) Super Voting Shares</w:t>
      </w:r>
    </w:p>
    <w:p>
      <w:pPr>
        <w:spacing w:after="0" w:line="121" w:lineRule="exact"/>
        <w:rPr>
          <w:sz w:val="20"/>
          <w:szCs w:val="20"/>
          <w:color w:val="auto"/>
        </w:rPr>
      </w:pPr>
    </w:p>
    <w:p>
      <w:pPr>
        <w:ind w:left="1100"/>
        <w:spacing w:after="0" w:line="257" w:lineRule="auto"/>
        <w:rPr>
          <w:sz w:val="20"/>
          <w:szCs w:val="20"/>
          <w:color w:val="auto"/>
        </w:rPr>
      </w:pPr>
      <w:r>
        <w:rPr>
          <w:rFonts w:ascii="Arial" w:cs="Arial" w:eastAsia="Arial" w:hAnsi="Arial"/>
          <w:sz w:val="18"/>
          <w:szCs w:val="18"/>
          <w:color w:val="auto"/>
        </w:rPr>
        <w:t>Each Super Voting Share is entitled to one thousand votes per share at shareholder meetings of the Company and is exchangeable for 100 Subordinate Voting Shares or one Multiple Voting Share. At June 30, 2020, the Company has 388,336 issued and outstanding Super Voting Shares which convert into 38,833,600 Subordinate Voting Shares. The Company is authorized to issue an unlimited number of Super Voting Shares. During the six months ending June 30, 2020, the shareholders of the Company converted 13,953 Super Voting Shares into 1,395,300 Subordinate Voting Shares.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5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10. SHARE CAPITAL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6995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Issued and Outstanding</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 reconciliation of the beginning and ending amounts of the issued and outstanding shares by class is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12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w w:val="91"/>
              </w:rPr>
              <w:t>Issued and Outstanding</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960" w:type="dxa"/>
            <w:vAlign w:val="bottom"/>
          </w:tcPr>
          <w:p>
            <w:pPr>
              <w:jc w:val="right"/>
              <w:ind w:right="56"/>
              <w:spacing w:after="0" w:line="123" w:lineRule="exact"/>
              <w:rPr>
                <w:sz w:val="20"/>
                <w:szCs w:val="20"/>
                <w:color w:val="auto"/>
              </w:rPr>
            </w:pPr>
            <w:r>
              <w:rPr>
                <w:rFonts w:ascii="Arial" w:cs="Arial" w:eastAsia="Arial" w:hAnsi="Arial"/>
                <w:sz w:val="14"/>
                <w:szCs w:val="14"/>
                <w:color w:val="auto"/>
              </w:rPr>
              <w:t>Subordinate</w:t>
            </w:r>
          </w:p>
        </w:tc>
        <w:tc>
          <w:tcPr>
            <w:tcW w:w="240" w:type="dxa"/>
            <w:vAlign w:val="bottom"/>
          </w:tcPr>
          <w:p>
            <w:pPr>
              <w:spacing w:after="0"/>
              <w:rPr>
                <w:sz w:val="10"/>
                <w:szCs w:val="10"/>
                <w:color w:val="auto"/>
              </w:rPr>
            </w:pPr>
          </w:p>
        </w:tc>
        <w:tc>
          <w:tcPr>
            <w:tcW w:w="920" w:type="dxa"/>
            <w:vAlign w:val="bottom"/>
            <w:gridSpan w:val="3"/>
          </w:tcPr>
          <w:p>
            <w:pPr>
              <w:ind w:left="100"/>
              <w:spacing w:after="0" w:line="123" w:lineRule="exact"/>
              <w:rPr>
                <w:sz w:val="20"/>
                <w:szCs w:val="20"/>
                <w:color w:val="auto"/>
              </w:rPr>
            </w:pPr>
            <w:r>
              <w:rPr>
                <w:rFonts w:ascii="Arial" w:cs="Arial" w:eastAsia="Arial" w:hAnsi="Arial"/>
                <w:sz w:val="14"/>
                <w:szCs w:val="14"/>
                <w:color w:val="auto"/>
              </w:rPr>
              <w:t>Multiple</w:t>
            </w:r>
          </w:p>
        </w:tc>
        <w:tc>
          <w:tcPr>
            <w:tcW w:w="620" w:type="dxa"/>
            <w:vAlign w:val="bottom"/>
          </w:tcPr>
          <w:p>
            <w:pPr>
              <w:jc w:val="right"/>
              <w:ind w:right="75"/>
              <w:spacing w:after="0" w:line="123" w:lineRule="exact"/>
              <w:rPr>
                <w:sz w:val="20"/>
                <w:szCs w:val="20"/>
                <w:color w:val="auto"/>
              </w:rPr>
            </w:pPr>
            <w:r>
              <w:rPr>
                <w:rFonts w:ascii="Arial" w:cs="Arial" w:eastAsia="Arial" w:hAnsi="Arial"/>
                <w:sz w:val="14"/>
                <w:szCs w:val="14"/>
                <w:color w:val="auto"/>
              </w:rPr>
              <w:t>Super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960" w:type="dxa"/>
            <w:vAlign w:val="bottom"/>
          </w:tcPr>
          <w:p>
            <w:pPr>
              <w:jc w:val="right"/>
              <w:ind w:right="216"/>
              <w:spacing w:after="0" w:line="149" w:lineRule="exact"/>
              <w:rPr>
                <w:sz w:val="20"/>
                <w:szCs w:val="20"/>
                <w:color w:val="auto"/>
              </w:rPr>
            </w:pPr>
            <w:r>
              <w:rPr>
                <w:rFonts w:ascii="Arial" w:cs="Arial" w:eastAsia="Arial" w:hAnsi="Arial"/>
                <w:sz w:val="14"/>
                <w:szCs w:val="14"/>
                <w:color w:val="auto"/>
              </w:rPr>
              <w:t>Voting</w:t>
            </w:r>
          </w:p>
        </w:tc>
        <w:tc>
          <w:tcPr>
            <w:tcW w:w="240" w:type="dxa"/>
            <w:vAlign w:val="bottom"/>
          </w:tcPr>
          <w:p>
            <w:pPr>
              <w:spacing w:after="0"/>
              <w:rPr>
                <w:sz w:val="12"/>
                <w:szCs w:val="12"/>
                <w:color w:val="auto"/>
              </w:rPr>
            </w:pPr>
          </w:p>
        </w:tc>
        <w:tc>
          <w:tcPr>
            <w:tcW w:w="9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Voting</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Voting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960" w:type="dxa"/>
            <w:vAlign w:val="bottom"/>
          </w:tcPr>
          <w:p>
            <w:pPr>
              <w:jc w:val="right"/>
              <w:ind w:right="196"/>
              <w:spacing w:after="0"/>
              <w:rPr>
                <w:sz w:val="20"/>
                <w:szCs w:val="20"/>
                <w:color w:val="auto"/>
              </w:rPr>
            </w:pPr>
            <w:r>
              <w:rPr>
                <w:rFonts w:ascii="Arial" w:cs="Arial" w:eastAsia="Arial" w:hAnsi="Arial"/>
                <w:sz w:val="14"/>
                <w:szCs w:val="14"/>
                <w:color w:val="auto"/>
              </w:rPr>
              <w:t>Shares</w:t>
            </w:r>
          </w:p>
        </w:tc>
        <w:tc>
          <w:tcPr>
            <w:tcW w:w="240" w:type="dxa"/>
            <w:vAlign w:val="bottom"/>
          </w:tcPr>
          <w:p>
            <w:pPr>
              <w:spacing w:after="0"/>
              <w:rPr>
                <w:sz w:val="14"/>
                <w:szCs w:val="14"/>
                <w:color w:val="auto"/>
              </w:rPr>
            </w:pPr>
          </w:p>
        </w:tc>
        <w:tc>
          <w:tcPr>
            <w:tcW w:w="920" w:type="dxa"/>
            <w:vAlign w:val="bottom"/>
            <w:gridSpan w:val="3"/>
          </w:tcPr>
          <w:p>
            <w:pPr>
              <w:ind w:left="140"/>
              <w:spacing w:after="0"/>
              <w:rPr>
                <w:sz w:val="20"/>
                <w:szCs w:val="20"/>
                <w:color w:val="auto"/>
              </w:rPr>
            </w:pPr>
            <w:r>
              <w:rPr>
                <w:rFonts w:ascii="Arial" w:cs="Arial" w:eastAsia="Arial" w:hAnsi="Arial"/>
                <w:sz w:val="14"/>
                <w:szCs w:val="14"/>
                <w:color w:val="auto"/>
              </w:rPr>
              <w:t>Shares</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Shares</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As at December 31, 2019</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128,999,964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373,350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402,289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under business combinations and investments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238,450</w:t>
            </w:r>
          </w:p>
        </w:tc>
        <w:tc>
          <w:tcPr>
            <w:tcW w:w="2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Distribution of contingent consideration</w:t>
            </w:r>
          </w:p>
        </w:tc>
        <w:tc>
          <w:tcPr>
            <w:tcW w:w="960" w:type="dxa"/>
            <w:vAlign w:val="bottom"/>
          </w:tcPr>
          <w:p>
            <w:pPr>
              <w:jc w:val="right"/>
              <w:spacing w:after="0"/>
              <w:rPr>
                <w:sz w:val="20"/>
                <w:szCs w:val="20"/>
                <w:color w:val="auto"/>
              </w:rPr>
            </w:pPr>
            <w:r>
              <w:rPr>
                <w:rFonts w:ascii="Arial" w:cs="Arial" w:eastAsia="Arial" w:hAnsi="Arial"/>
                <w:sz w:val="18"/>
                <w:szCs w:val="18"/>
                <w:color w:val="auto"/>
              </w:rPr>
              <w:t>2,444,843</w:t>
            </w:r>
          </w:p>
        </w:tc>
        <w:tc>
          <w:tcPr>
            <w:tcW w:w="240" w:type="dxa"/>
            <w:vAlign w:val="bottom"/>
          </w:tcPr>
          <w:p>
            <w:pPr>
              <w:spacing w:after="0"/>
              <w:rPr>
                <w:sz w:val="18"/>
                <w:szCs w:val="18"/>
                <w:color w:val="auto"/>
              </w:rPr>
            </w:pPr>
          </w:p>
        </w:tc>
        <w:tc>
          <w:tcPr>
            <w:tcW w:w="92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Distribution of deferred shares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101,695</w:t>
            </w:r>
          </w:p>
        </w:tc>
        <w:tc>
          <w:tcPr>
            <w:tcW w:w="2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Issuance of shares upon exercise of options</w:t>
            </w:r>
          </w:p>
        </w:tc>
        <w:tc>
          <w:tcPr>
            <w:tcW w:w="960" w:type="dxa"/>
            <w:vAlign w:val="bottom"/>
          </w:tcPr>
          <w:p>
            <w:pPr>
              <w:jc w:val="right"/>
              <w:spacing w:after="0"/>
              <w:rPr>
                <w:sz w:val="20"/>
                <w:szCs w:val="20"/>
                <w:color w:val="auto"/>
              </w:rPr>
            </w:pPr>
            <w:r>
              <w:rPr>
                <w:rFonts w:ascii="Arial" w:cs="Arial" w:eastAsia="Arial" w:hAnsi="Arial"/>
                <w:sz w:val="18"/>
                <w:szCs w:val="18"/>
                <w:color w:val="auto"/>
              </w:rPr>
              <w:t>32,112</w:t>
            </w:r>
          </w:p>
        </w:tc>
        <w:tc>
          <w:tcPr>
            <w:tcW w:w="240" w:type="dxa"/>
            <w:vAlign w:val="bottom"/>
          </w:tcPr>
          <w:p>
            <w:pPr>
              <w:spacing w:after="0"/>
              <w:rPr>
                <w:sz w:val="18"/>
                <w:szCs w:val="18"/>
                <w:color w:val="auto"/>
              </w:rPr>
            </w:pPr>
          </w:p>
        </w:tc>
        <w:tc>
          <w:tcPr>
            <w:tcW w:w="92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Issuances of shares upon vesting of RSUs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641,237</w:t>
            </w:r>
          </w:p>
        </w:tc>
        <w:tc>
          <w:tcPr>
            <w:tcW w:w="2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Exchange of shares</w:t>
            </w:r>
          </w:p>
        </w:tc>
        <w:tc>
          <w:tcPr>
            <w:tcW w:w="960" w:type="dxa"/>
            <w:vAlign w:val="bottom"/>
          </w:tcPr>
          <w:p>
            <w:pPr>
              <w:jc w:val="right"/>
              <w:spacing w:after="0"/>
              <w:rPr>
                <w:sz w:val="20"/>
                <w:szCs w:val="20"/>
                <w:color w:val="auto"/>
              </w:rPr>
            </w:pPr>
            <w:r>
              <w:rPr>
                <w:rFonts w:ascii="Arial" w:cs="Arial" w:eastAsia="Arial" w:hAnsi="Arial"/>
                <w:sz w:val="18"/>
                <w:szCs w:val="18"/>
                <w:color w:val="auto"/>
              </w:rPr>
              <w:t>26,059,100</w:t>
            </w:r>
          </w:p>
        </w:tc>
        <w:tc>
          <w:tcPr>
            <w:tcW w:w="2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(246,638)</w:t>
            </w:r>
          </w:p>
        </w:tc>
        <w:tc>
          <w:tcPr>
            <w:tcW w:w="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at June 30, 2020</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158,517,401</w:t>
            </w:r>
          </w:p>
        </w:tc>
        <w:tc>
          <w:tcPr>
            <w:tcW w:w="24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126,712</w:t>
            </w:r>
          </w:p>
        </w:tc>
        <w:tc>
          <w:tcPr>
            <w:tcW w:w="200" w:type="dxa"/>
            <w:vAlign w:val="bottom"/>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388,336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1. Issuance of Shares Under Business Combinations and Investments</w:t>
      </w:r>
    </w:p>
    <w:p>
      <w:pPr>
        <w:spacing w:after="0" w:line="117" w:lineRule="exact"/>
        <w:rPr>
          <w:sz w:val="20"/>
          <w:szCs w:val="20"/>
          <w:color w:val="auto"/>
        </w:rPr>
      </w:pPr>
    </w:p>
    <w:p>
      <w:pPr>
        <w:ind w:left="1540" w:right="80"/>
        <w:spacing w:after="0" w:line="286" w:lineRule="auto"/>
        <w:rPr>
          <w:sz w:val="20"/>
          <w:szCs w:val="20"/>
          <w:color w:val="auto"/>
        </w:rPr>
      </w:pPr>
      <w:r>
        <w:rPr>
          <w:rFonts w:ascii="Arial" w:cs="Arial" w:eastAsia="Arial" w:hAnsi="Arial"/>
          <w:sz w:val="17"/>
          <w:szCs w:val="17"/>
          <w:color w:val="auto"/>
        </w:rPr>
        <w:t>In connection with the Company’s acquisition of MC Brands, LLC the Company issued 190,000 Subordinate Voting Shares with a value of $1,840,009 on June 29, 2020. The shares issued resulted in an increase in share capital and a corresponding increase to intangible assets on the Company’s unaudited interim condensed consolidated balance sheets.</w:t>
      </w:r>
    </w:p>
    <w:p>
      <w:pPr>
        <w:spacing w:after="0" w:line="57" w:lineRule="exact"/>
        <w:rPr>
          <w:sz w:val="20"/>
          <w:szCs w:val="20"/>
          <w:color w:val="auto"/>
        </w:rPr>
      </w:pPr>
    </w:p>
    <w:p>
      <w:pPr>
        <w:ind w:left="1540" w:right="260"/>
        <w:spacing w:after="0" w:line="263" w:lineRule="auto"/>
        <w:rPr>
          <w:sz w:val="20"/>
          <w:szCs w:val="20"/>
          <w:color w:val="auto"/>
        </w:rPr>
      </w:pPr>
      <w:r>
        <w:rPr>
          <w:rFonts w:ascii="Arial" w:cs="Arial" w:eastAsia="Arial" w:hAnsi="Arial"/>
          <w:sz w:val="18"/>
          <w:szCs w:val="18"/>
          <w:color w:val="auto"/>
        </w:rPr>
        <w:t>On February 10, 2020, the Company issued 48,450 Subordinate Voting Shares which were issued at a value of $400,413 in connection with its January 1, 2019 acquisition of KW Ventures, LLC. Such shares were held back as part of the transaction and resulted in an increase in share capital and a reduction in accrued liabilities.</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2. Distribution of Contingent Consideration</w:t>
      </w:r>
    </w:p>
    <w:p>
      <w:pPr>
        <w:spacing w:after="0" w:line="117" w:lineRule="exact"/>
        <w:rPr>
          <w:sz w:val="20"/>
          <w:szCs w:val="20"/>
          <w:color w:val="auto"/>
        </w:rPr>
      </w:pPr>
    </w:p>
    <w:p>
      <w:pPr>
        <w:ind w:left="1540"/>
        <w:spacing w:after="0" w:line="259" w:lineRule="auto"/>
        <w:rPr>
          <w:sz w:val="20"/>
          <w:szCs w:val="20"/>
          <w:color w:val="auto"/>
        </w:rPr>
      </w:pPr>
      <w:r>
        <w:rPr>
          <w:rFonts w:ascii="Arial" w:cs="Arial" w:eastAsia="Arial" w:hAnsi="Arial"/>
          <w:sz w:val="18"/>
          <w:szCs w:val="18"/>
          <w:color w:val="auto"/>
        </w:rPr>
        <w:t>As of June 30, 2020, the Company issued 2,444,843 Subordinate Voting Shares to the previous owners of several entities in connection with acquisitions completed during 2019. Upon issuance, the Company recorded a reduction to contingent consideration payable and an increase in share capital. The following table represents the contingent shares issued as of June 30, 2020 in relation to each acquisition:</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Contingent Shares Issued</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4"/>
          </w:tcPr>
          <w:p>
            <w:pPr>
              <w:ind w:left="58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23"/>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0"/>
              </w:rPr>
              <w:t>Transaction</w:t>
            </w:r>
          </w:p>
        </w:tc>
        <w:tc>
          <w:tcPr>
            <w:tcW w:w="3240" w:type="dxa"/>
            <w:vAlign w:val="bottom"/>
            <w:vMerge w:val="restart"/>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Date of Transaction</w:t>
            </w: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3240" w:type="dxa"/>
            <w:vAlign w:val="bottom"/>
            <w:vMerge w:val="continue"/>
          </w:tcPr>
          <w:p>
            <w:pPr>
              <w:spacing w:after="0"/>
              <w:rPr>
                <w:sz w:val="12"/>
                <w:szCs w:val="12"/>
                <w:color w:val="auto"/>
              </w:rPr>
            </w:pPr>
          </w:p>
        </w:tc>
        <w:tc>
          <w:tcPr>
            <w:tcW w:w="16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820" w:type="dxa"/>
            <w:vAlign w:val="bottom"/>
          </w:tcPr>
          <w:p>
            <w:pPr>
              <w:jc w:val="right"/>
              <w:ind w:right="176"/>
              <w:spacing w:after="0" w:line="129" w:lineRule="exact"/>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2"/>
                <w:szCs w:val="12"/>
                <w:color w:val="auto"/>
              </w:rPr>
            </w:pPr>
          </w:p>
        </w:tc>
        <w:tc>
          <w:tcPr>
            <w:tcW w:w="94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Value</w:t>
            </w: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Advanced Grow Labs, LLC</w:t>
            </w:r>
          </w:p>
        </w:tc>
        <w:tc>
          <w:tcPr>
            <w:tcW w:w="166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2"/>
              </w:rPr>
              <w:t>February 12, 2019</w:t>
            </w: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1,396,533</w:t>
            </w: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$ 11,544,855</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For Success Holdings Company</w:t>
            </w:r>
          </w:p>
        </w:tc>
        <w:tc>
          <w:tcPr>
            <w:tcW w:w="3220" w:type="dxa"/>
            <w:vAlign w:val="bottom"/>
            <w:gridSpan w:val="3"/>
          </w:tcPr>
          <w:p>
            <w:pPr>
              <w:ind w:left="1640"/>
              <w:spacing w:after="0"/>
              <w:rPr>
                <w:sz w:val="20"/>
                <w:szCs w:val="20"/>
                <w:color w:val="auto"/>
              </w:rPr>
            </w:pPr>
            <w:r>
              <w:rPr>
                <w:rFonts w:ascii="Arial" w:cs="Arial" w:eastAsia="Arial" w:hAnsi="Arial"/>
                <w:sz w:val="18"/>
                <w:szCs w:val="18"/>
                <w:color w:val="auto"/>
              </w:rPr>
              <w:t>February 21, 2019</w:t>
            </w:r>
          </w:p>
        </w:tc>
        <w:tc>
          <w:tcPr>
            <w:tcW w:w="820" w:type="dxa"/>
            <w:vAlign w:val="bottom"/>
          </w:tcPr>
          <w:p>
            <w:pPr>
              <w:jc w:val="right"/>
              <w:spacing w:after="0"/>
              <w:rPr>
                <w:sz w:val="20"/>
                <w:szCs w:val="20"/>
                <w:color w:val="auto"/>
              </w:rPr>
            </w:pPr>
            <w:r>
              <w:rPr>
                <w:rFonts w:ascii="Arial" w:cs="Arial" w:eastAsia="Arial" w:hAnsi="Arial"/>
                <w:sz w:val="18"/>
                <w:szCs w:val="18"/>
                <w:color w:val="auto"/>
              </w:rPr>
              <w:t>779,690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6,686,432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Integral Associates, LLC</w:t>
            </w:r>
          </w:p>
        </w:tc>
        <w:tc>
          <w:tcPr>
            <w:tcW w:w="3220" w:type="dxa"/>
            <w:vAlign w:val="bottom"/>
            <w:gridSpan w:val="3"/>
            <w:shd w:val="clear" w:color="auto" w:fill="CCEEFF"/>
          </w:tcPr>
          <w:p>
            <w:pPr>
              <w:ind w:left="1640"/>
              <w:spacing w:after="0"/>
              <w:rPr>
                <w:sz w:val="20"/>
                <w:szCs w:val="20"/>
                <w:color w:val="auto"/>
              </w:rPr>
            </w:pPr>
            <w:r>
              <w:rPr>
                <w:rFonts w:ascii="Arial" w:cs="Arial" w:eastAsia="Arial" w:hAnsi="Arial"/>
                <w:sz w:val="18"/>
                <w:szCs w:val="18"/>
                <w:color w:val="auto"/>
              </w:rPr>
              <w:t>June 5, 2019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268,620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1,963,612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2,444,843</w:t>
            </w: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$ 20,194,899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540" w:right="20"/>
        <w:spacing w:after="0" w:line="286" w:lineRule="auto"/>
        <w:rPr>
          <w:sz w:val="20"/>
          <w:szCs w:val="20"/>
          <w:color w:val="auto"/>
        </w:rPr>
      </w:pPr>
      <w:r>
        <w:rPr>
          <w:rFonts w:ascii="Arial" w:cs="Arial" w:eastAsia="Arial" w:hAnsi="Arial"/>
          <w:sz w:val="17"/>
          <w:szCs w:val="17"/>
          <w:color w:val="auto"/>
        </w:rPr>
        <w:t>In addition to the amounts above, the Company reclassified $2,690,914 from the contingent liability to accrued liabilities as a result of the successful opening of an Essence retail location on June 27, 2020. On July 10, 2020, the Company issued 268,620 Subordinate Voting Shares to the former owners of Integral Associates, LLC in satisfaction of the liability.</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40"/>
          </w:cols>
          <w:pgMar w:left="320" w:top="459" w:right="5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4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380" w:hanging="264"/>
        <w:spacing w:after="0"/>
        <w:tabs>
          <w:tab w:leader="none" w:pos="3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color w:val="auto"/>
        </w:rPr>
        <w:t>(Continued)</w:t>
      </w:r>
    </w:p>
    <w:p>
      <w:pPr>
        <w:spacing w:after="0" w:line="90" w:lineRule="exact"/>
        <w:rPr>
          <w:rFonts w:ascii="Arial" w:cs="Arial" w:eastAsia="Arial" w:hAnsi="Arial"/>
          <w:sz w:val="18"/>
          <w:szCs w:val="18"/>
          <w:b w:val="1"/>
          <w:bCs w:val="1"/>
          <w:color w:val="auto"/>
        </w:rPr>
      </w:pPr>
    </w:p>
    <w:p>
      <w:pPr>
        <w:ind w:left="820" w:hanging="264"/>
        <w:spacing w:after="0"/>
        <w:tabs>
          <w:tab w:leader="none" w:pos="82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Issued and Outstanding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-161925</wp:posOffset>
            </wp:positionV>
            <wp:extent cx="6995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2"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3. Distribution of Deferred Shares</w:t>
      </w:r>
    </w:p>
    <w:p>
      <w:pPr>
        <w:spacing w:after="0" w:line="117" w:lineRule="exact"/>
        <w:rPr>
          <w:sz w:val="20"/>
          <w:szCs w:val="20"/>
          <w:color w:val="auto"/>
        </w:rPr>
      </w:pPr>
    </w:p>
    <w:p>
      <w:pPr>
        <w:ind w:left="1540" w:right="180"/>
        <w:spacing w:after="0" w:line="273" w:lineRule="auto"/>
        <w:rPr>
          <w:sz w:val="20"/>
          <w:szCs w:val="20"/>
          <w:color w:val="auto"/>
        </w:rPr>
      </w:pPr>
      <w:r>
        <w:rPr>
          <w:rFonts w:ascii="Arial" w:cs="Arial" w:eastAsia="Arial" w:hAnsi="Arial"/>
          <w:sz w:val="17"/>
          <w:szCs w:val="17"/>
          <w:color w:val="auto"/>
        </w:rPr>
        <w:t>As a result of several acquisitions that occurred during 2019, the Company held 1,367,643 deferred shares with a value of $16,587,798 as of December 31, 2019. The deferred shares were to be issued upon the passage of 12-24 months from the close of each transaction as defined within each respective acquisition agreement. On May 15, 2020 Green Thumb issued 101,695 Subordinate Voting Shares with a value of $1,307,798 in connection with the Company’s May 15, 2019 acquisition of Salveo. The distribution resulted in a reduction to deferred share issuances and a corresponding increase to share capital on the Company’s unaudited interim condensed consolidated statement of changes in shareholders’ equity.</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 Stock-Based Compensation</w:t>
      </w:r>
    </w:p>
    <w:p>
      <w:pPr>
        <w:spacing w:after="0" w:line="121" w:lineRule="exact"/>
        <w:rPr>
          <w:sz w:val="20"/>
          <w:szCs w:val="20"/>
          <w:color w:val="auto"/>
        </w:rPr>
      </w:pPr>
    </w:p>
    <w:p>
      <w:pPr>
        <w:ind w:left="1100" w:right="60"/>
        <w:spacing w:after="0" w:line="272" w:lineRule="auto"/>
        <w:rPr>
          <w:sz w:val="20"/>
          <w:szCs w:val="20"/>
          <w:color w:val="auto"/>
        </w:rPr>
      </w:pPr>
      <w:r>
        <w:rPr>
          <w:rFonts w:ascii="Arial" w:cs="Arial" w:eastAsia="Arial" w:hAnsi="Arial"/>
          <w:sz w:val="17"/>
          <w:szCs w:val="17"/>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shall measure their value indirectly by reference to the fair value of the equity instruments granted. For transactions with employees and others providing similar services, the Company measures the fair value of the services by reference to the fair value of the equity instruments granted. Equity settled stock-based payments under stock-based payment plans are ultimately recognized as an expense in profit or loss with a corresponding credit to equity.</w:t>
      </w:r>
    </w:p>
    <w:p>
      <w:pPr>
        <w:spacing w:after="0" w:line="69" w:lineRule="exact"/>
        <w:rPr>
          <w:sz w:val="20"/>
          <w:szCs w:val="20"/>
          <w:color w:val="auto"/>
        </w:rPr>
      </w:pPr>
    </w:p>
    <w:p>
      <w:pPr>
        <w:ind w:left="1100"/>
        <w:spacing w:after="0" w:line="257" w:lineRule="auto"/>
        <w:rPr>
          <w:sz w:val="20"/>
          <w:szCs w:val="20"/>
          <w:color w:val="auto"/>
        </w:rPr>
      </w:pPr>
      <w:r>
        <w:rPr>
          <w:rFonts w:ascii="Arial" w:cs="Arial" w:eastAsia="Arial" w:hAnsi="Arial"/>
          <w:sz w:val="18"/>
          <w:szCs w:val="18"/>
          <w:color w:val="auto"/>
        </w:rPr>
        <w:t>The Company recognizes compensation expense for Restricted Stock Units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with no adjustment to prior periods for expense previously recognized.</w:t>
      </w:r>
    </w:p>
    <w:p>
      <w:pPr>
        <w:spacing w:after="0" w:line="80" w:lineRule="exact"/>
        <w:rPr>
          <w:sz w:val="20"/>
          <w:szCs w:val="20"/>
          <w:color w:val="auto"/>
        </w:rPr>
      </w:pPr>
    </w:p>
    <w:p>
      <w:pPr>
        <w:ind w:left="1100" w:right="180"/>
        <w:spacing w:after="0" w:line="263" w:lineRule="auto"/>
        <w:rPr>
          <w:sz w:val="20"/>
          <w:szCs w:val="20"/>
          <w:color w:val="auto"/>
        </w:rPr>
      </w:pPr>
      <w:r>
        <w:rPr>
          <w:rFonts w:ascii="Arial" w:cs="Arial" w:eastAsia="Arial" w:hAnsi="Arial"/>
          <w:sz w:val="18"/>
          <w:szCs w:val="18"/>
          <w:color w:val="auto"/>
        </w:rPr>
        <w:t>In June 2018, the Company established the Green Thumb Industries Inc. 2018 Stock and Incentive Plan, which was amended by Amendment No. 1 thereto (as amended, the “Plan”). The maximum number of RSUs and Options issued under the Plan shall not exceed 10% of the issued and outstanding shares.</w:t>
      </w:r>
    </w:p>
    <w:p>
      <w:pPr>
        <w:spacing w:after="0" w:line="76" w:lineRule="exact"/>
        <w:rPr>
          <w:sz w:val="20"/>
          <w:szCs w:val="20"/>
          <w:color w:val="auto"/>
        </w:rPr>
      </w:pPr>
    </w:p>
    <w:p>
      <w:pPr>
        <w:jc w:val="both"/>
        <w:ind w:left="1100" w:right="60"/>
        <w:spacing w:after="0" w:line="263" w:lineRule="auto"/>
        <w:rPr>
          <w:sz w:val="20"/>
          <w:szCs w:val="20"/>
          <w:color w:val="auto"/>
        </w:rPr>
      </w:pPr>
      <w:r>
        <w:rPr>
          <w:rFonts w:ascii="Arial" w:cs="Arial" w:eastAsia="Arial" w:hAnsi="Arial"/>
          <w:sz w:val="18"/>
          <w:szCs w:val="18"/>
          <w:color w:val="auto"/>
        </w:rPr>
        <w:t>Option and RSU grants generally vest over three years, and options typically have a life of five or ten years. Option grants are determined by the Compensation Committee of the Board with the option price set at no less than 100% of the fair market value of a share on the date of grant.</w:t>
      </w:r>
    </w:p>
    <w:p>
      <w:pPr>
        <w:spacing w:after="0" w:line="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Stock option activity is summarized as follows: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60" w:type="dxa"/>
            <w:vAlign w:val="bottom"/>
            <w:gridSpan w:val="2"/>
          </w:tcPr>
          <w:p>
            <w:pPr>
              <w:jc w:val="center"/>
              <w:ind w:right="600"/>
              <w:spacing w:after="0"/>
              <w:rPr>
                <w:sz w:val="20"/>
                <w:szCs w:val="20"/>
                <w:color w:val="auto"/>
              </w:rPr>
            </w:pPr>
            <w:r>
              <w:rPr>
                <w:rFonts w:ascii="Arial" w:cs="Arial" w:eastAsia="Arial" w:hAnsi="Arial"/>
                <w:sz w:val="14"/>
                <w:szCs w:val="14"/>
                <w:color w:val="auto"/>
                <w:w w:val="92"/>
              </w:rPr>
              <w:t>Weighted Average</w:t>
            </w:r>
          </w:p>
        </w:tc>
        <w:tc>
          <w:tcPr>
            <w:tcW w:w="1640" w:type="dxa"/>
            <w:vAlign w:val="bottom"/>
            <w:gridSpan w:val="2"/>
          </w:tcPr>
          <w:p>
            <w:pPr>
              <w:jc w:val="center"/>
              <w:ind w:right="600"/>
              <w:spacing w:after="0"/>
              <w:rPr>
                <w:sz w:val="20"/>
                <w:szCs w:val="20"/>
                <w:color w:val="auto"/>
              </w:rPr>
            </w:pPr>
            <w:r>
              <w:rPr>
                <w:rFonts w:ascii="Arial" w:cs="Arial" w:eastAsia="Arial" w:hAnsi="Arial"/>
                <w:sz w:val="14"/>
                <w:szCs w:val="14"/>
                <w:color w:val="auto"/>
                <w:w w:val="90"/>
              </w:rPr>
              <w:t>Weighted Average</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3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Number of</w:t>
            </w:r>
          </w:p>
        </w:tc>
        <w:tc>
          <w:tcPr>
            <w:tcW w:w="166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1"/>
              </w:rPr>
              <w:t>Exercise Price</w:t>
            </w:r>
          </w:p>
        </w:tc>
        <w:tc>
          <w:tcPr>
            <w:tcW w:w="164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7"/>
              </w:rPr>
              <w:t>Contractual Life</w:t>
            </w:r>
          </w:p>
        </w:tc>
        <w:tc>
          <w:tcPr>
            <w:tcW w:w="10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Aggregate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4"/>
                <w:szCs w:val="14"/>
                <w:color w:val="auto"/>
              </w:rPr>
              <w:t>Shares</w:t>
            </w:r>
          </w:p>
        </w:tc>
        <w:tc>
          <w:tcPr>
            <w:tcW w:w="1660" w:type="dxa"/>
            <w:vAlign w:val="bottom"/>
            <w:gridSpan w:val="2"/>
          </w:tcPr>
          <w:p>
            <w:pPr>
              <w:jc w:val="center"/>
              <w:ind w:right="580"/>
              <w:spacing w:after="0"/>
              <w:rPr>
                <w:sz w:val="20"/>
                <w:szCs w:val="20"/>
                <w:color w:val="auto"/>
              </w:rPr>
            </w:pPr>
            <w:r>
              <w:rPr>
                <w:rFonts w:ascii="Arial" w:cs="Arial" w:eastAsia="Arial" w:hAnsi="Arial"/>
                <w:sz w:val="14"/>
                <w:szCs w:val="14"/>
                <w:color w:val="auto"/>
              </w:rPr>
              <w:t>(CAD)</w:t>
            </w:r>
          </w:p>
        </w:tc>
        <w:tc>
          <w:tcPr>
            <w:tcW w:w="1640" w:type="dxa"/>
            <w:vAlign w:val="bottom"/>
            <w:gridSpan w:val="2"/>
          </w:tcPr>
          <w:p>
            <w:pPr>
              <w:jc w:val="center"/>
              <w:ind w:right="580"/>
              <w:spacing w:after="0"/>
              <w:rPr>
                <w:sz w:val="20"/>
                <w:szCs w:val="20"/>
                <w:color w:val="auto"/>
              </w:rPr>
            </w:pPr>
            <w:r>
              <w:rPr>
                <w:rFonts w:ascii="Arial" w:cs="Arial" w:eastAsia="Arial" w:hAnsi="Arial"/>
                <w:sz w:val="14"/>
                <w:szCs w:val="14"/>
                <w:color w:val="auto"/>
                <w:w w:val="91"/>
              </w:rPr>
              <w:t>(Years)</w:t>
            </w:r>
          </w:p>
        </w:tc>
        <w:tc>
          <w:tcPr>
            <w:tcW w:w="900" w:type="dxa"/>
            <w:vAlign w:val="bottom"/>
            <w:gridSpan w:val="3"/>
          </w:tcPr>
          <w:p>
            <w:pPr>
              <w:spacing w:after="0"/>
              <w:rPr>
                <w:sz w:val="20"/>
                <w:szCs w:val="20"/>
                <w:color w:val="auto"/>
              </w:rPr>
            </w:pPr>
            <w:r>
              <w:rPr>
                <w:rFonts w:ascii="Arial" w:cs="Arial" w:eastAsia="Arial" w:hAnsi="Arial"/>
                <w:sz w:val="14"/>
                <w:szCs w:val="14"/>
                <w:color w:val="auto"/>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3,839,017</w:t>
            </w:r>
          </w:p>
        </w:tc>
        <w:tc>
          <w:tcPr>
            <w:tcW w:w="5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6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79"/>
              </w:rPr>
              <w:t>5.81</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218,234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2,443,975</w:t>
            </w:r>
          </w:p>
        </w:tc>
        <w:tc>
          <w:tcPr>
            <w:tcW w:w="1660" w:type="dxa"/>
            <w:vAlign w:val="bottom"/>
            <w:gridSpan w:val="2"/>
          </w:tcPr>
          <w:p>
            <w:pPr>
              <w:jc w:val="right"/>
              <w:ind w:right="600"/>
              <w:spacing w:after="0"/>
              <w:rPr>
                <w:sz w:val="20"/>
                <w:szCs w:val="20"/>
                <w:color w:val="auto"/>
              </w:rPr>
            </w:pPr>
            <w:r>
              <w:rPr>
                <w:rFonts w:ascii="Arial" w:cs="Arial" w:eastAsia="Arial" w:hAnsi="Arial"/>
                <w:sz w:val="18"/>
                <w:szCs w:val="18"/>
                <w:color w:val="auto"/>
              </w:rPr>
              <w:t>9.65</w:t>
            </w:r>
          </w:p>
        </w:tc>
        <w:tc>
          <w:tcPr>
            <w:tcW w:w="1640" w:type="dxa"/>
            <w:vAlign w:val="bottom"/>
            <w:gridSpan w:val="2"/>
          </w:tcPr>
          <w:p>
            <w:pPr>
              <w:ind w:left="74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(32,112)</w:t>
            </w:r>
          </w:p>
        </w:tc>
        <w:tc>
          <w:tcPr>
            <w:tcW w:w="16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9.00</w:t>
            </w:r>
          </w:p>
        </w:tc>
        <w:tc>
          <w:tcPr>
            <w:tcW w:w="16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(393,835)</w:t>
            </w:r>
          </w:p>
        </w:tc>
        <w:tc>
          <w:tcPr>
            <w:tcW w:w="1660" w:type="dxa"/>
            <w:vAlign w:val="bottom"/>
            <w:gridSpan w:val="2"/>
          </w:tcPr>
          <w:p>
            <w:pPr>
              <w:jc w:val="right"/>
              <w:ind w:right="600"/>
              <w:spacing w:after="0"/>
              <w:rPr>
                <w:sz w:val="20"/>
                <w:szCs w:val="20"/>
                <w:color w:val="auto"/>
              </w:rPr>
            </w:pPr>
            <w:r>
              <w:rPr>
                <w:rFonts w:ascii="Arial" w:cs="Arial" w:eastAsia="Arial" w:hAnsi="Arial"/>
                <w:sz w:val="18"/>
                <w:szCs w:val="18"/>
                <w:color w:val="auto"/>
              </w:rPr>
              <w:t>14.32</w:t>
            </w:r>
          </w:p>
        </w:tc>
        <w:tc>
          <w:tcPr>
            <w:tcW w:w="1640" w:type="dxa"/>
            <w:vAlign w:val="bottom"/>
            <w:gridSpan w:val="2"/>
          </w:tcPr>
          <w:p>
            <w:pPr>
              <w:ind w:left="74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Balance as at June 30, 2020</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5,857,045</w:t>
            </w:r>
          </w:p>
        </w:tc>
        <w:tc>
          <w:tcPr>
            <w:tcW w:w="16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11.67</w:t>
            </w:r>
          </w:p>
        </w:tc>
        <w:tc>
          <w:tcPr>
            <w:tcW w:w="16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Vested</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880,127</w:t>
            </w:r>
          </w:p>
        </w:tc>
        <w:tc>
          <w:tcPr>
            <w:tcW w:w="1660" w:type="dxa"/>
            <w:vAlign w:val="bottom"/>
            <w:gridSpan w:val="2"/>
          </w:tcPr>
          <w:p>
            <w:pPr>
              <w:jc w:val="right"/>
              <w:ind w:right="600"/>
              <w:spacing w:after="0"/>
              <w:rPr>
                <w:sz w:val="20"/>
                <w:szCs w:val="20"/>
                <w:color w:val="auto"/>
              </w:rPr>
            </w:pPr>
            <w:r>
              <w:rPr>
                <w:rFonts w:ascii="Arial" w:cs="Arial" w:eastAsia="Arial" w:hAnsi="Arial"/>
                <w:sz w:val="18"/>
                <w:szCs w:val="18"/>
                <w:color w:val="auto"/>
              </w:rPr>
              <w:t>14.29</w:t>
            </w:r>
          </w:p>
        </w:tc>
        <w:tc>
          <w:tcPr>
            <w:tcW w:w="1640" w:type="dxa"/>
            <w:vAlign w:val="bottom"/>
            <w:gridSpan w:val="2"/>
          </w:tcPr>
          <w:p>
            <w:pPr>
              <w:ind w:left="740"/>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June 30, 2020</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2,057,758</w:t>
            </w:r>
          </w:p>
        </w:tc>
        <w:tc>
          <w:tcPr>
            <w:tcW w:w="16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9.22</w:t>
            </w:r>
          </w:p>
        </w:tc>
        <w:tc>
          <w:tcPr>
            <w:tcW w:w="16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1,178,695</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4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380" w:hanging="264"/>
        <w:spacing w:after="0"/>
        <w:tabs>
          <w:tab w:leader="none" w:pos="3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color w:val="auto"/>
        </w:rPr>
        <w:t>(Continued)</w:t>
      </w:r>
    </w:p>
    <w:p>
      <w:pPr>
        <w:spacing w:after="0" w:line="90" w:lineRule="exact"/>
        <w:rPr>
          <w:rFonts w:ascii="Arial" w:cs="Arial" w:eastAsia="Arial" w:hAnsi="Arial"/>
          <w:sz w:val="18"/>
          <w:szCs w:val="18"/>
          <w:b w:val="1"/>
          <w:bCs w:val="1"/>
          <w:color w:val="auto"/>
        </w:rPr>
      </w:pPr>
    </w:p>
    <w:p>
      <w:pPr>
        <w:ind w:left="800" w:hanging="244"/>
        <w:spacing w:after="0"/>
        <w:tabs>
          <w:tab w:leader="none" w:pos="80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-161925</wp:posOffset>
            </wp:positionV>
            <wp:extent cx="6995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2" w:lineRule="exact"/>
        <w:rPr>
          <w:sz w:val="20"/>
          <w:szCs w:val="20"/>
          <w:color w:val="auto"/>
        </w:rPr>
      </w:pPr>
    </w:p>
    <w:p>
      <w:pPr>
        <w:ind w:left="1100" w:right="140"/>
        <w:spacing w:after="0" w:line="311" w:lineRule="auto"/>
        <w:rPr>
          <w:sz w:val="20"/>
          <w:szCs w:val="20"/>
          <w:color w:val="auto"/>
        </w:rPr>
      </w:pPr>
      <w:r>
        <w:rPr>
          <w:rFonts w:ascii="Arial" w:cs="Arial" w:eastAsia="Arial" w:hAnsi="Arial"/>
          <w:sz w:val="16"/>
          <w:szCs w:val="16"/>
          <w:color w:val="auto"/>
        </w:rPr>
        <w:t>The aggregate intrinsic value in the table above represents the total pre-tax intrinsic value (the difference between the Company’s closing stock price on June 30, 2020 and December 31, 2019, respectively, and the exercise price, multiplied by the number of in-the-money options) that would have been received by the option holders had all option holders exercised their in-the-money options</w:t>
      </w:r>
    </w:p>
    <w:p>
      <w:pPr>
        <w:spacing w:after="0" w:line="41" w:lineRule="exact"/>
        <w:rPr>
          <w:sz w:val="20"/>
          <w:szCs w:val="20"/>
          <w:color w:val="auto"/>
        </w:rPr>
      </w:pPr>
    </w:p>
    <w:p>
      <w:pPr>
        <w:ind w:left="1100" w:right="360"/>
        <w:spacing w:after="0" w:line="277" w:lineRule="auto"/>
        <w:rPr>
          <w:sz w:val="20"/>
          <w:szCs w:val="20"/>
          <w:color w:val="auto"/>
        </w:rPr>
      </w:pPr>
      <w:r>
        <w:rPr>
          <w:rFonts w:ascii="Arial" w:cs="Arial" w:eastAsia="Arial" w:hAnsi="Arial"/>
          <w:sz w:val="18"/>
          <w:szCs w:val="18"/>
          <w:color w:val="auto"/>
        </w:rPr>
        <w:t>on June 30, 2020 and December 31, 2019. This amount will change in future periods based on the fair market value of the Company’s Subordinate Voting Shares and the number of options outstanding.</w:t>
      </w:r>
    </w:p>
    <w:p>
      <w:pPr>
        <w:spacing w:after="0" w:line="62" w:lineRule="exact"/>
        <w:rPr>
          <w:sz w:val="20"/>
          <w:szCs w:val="20"/>
          <w:color w:val="auto"/>
        </w:rPr>
      </w:pPr>
    </w:p>
    <w:p>
      <w:pPr>
        <w:ind w:left="1100" w:right="200"/>
        <w:spacing w:after="0" w:line="277" w:lineRule="auto"/>
        <w:rPr>
          <w:sz w:val="20"/>
          <w:szCs w:val="20"/>
          <w:color w:val="auto"/>
        </w:rPr>
      </w:pPr>
      <w:r>
        <w:rPr>
          <w:rFonts w:ascii="Arial" w:cs="Arial" w:eastAsia="Arial" w:hAnsi="Arial"/>
          <w:sz w:val="18"/>
          <w:szCs w:val="18"/>
          <w:color w:val="auto"/>
        </w:rPr>
        <w:t>The Company used the Black-Scholes option pricing model to estimate the fair value of the options at the grant date using the following ranges of assumptions: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 - 2.33%</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- 100%</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Expected option life</w:t>
            </w:r>
          </w:p>
        </w:tc>
        <w:tc>
          <w:tcPr>
            <w:tcW w:w="3420" w:type="dxa"/>
            <w:vAlign w:val="bottom"/>
          </w:tcPr>
          <w:p>
            <w:pPr>
              <w:jc w:val="right"/>
              <w:ind w:right="110"/>
              <w:spacing w:after="0"/>
              <w:rPr>
                <w:sz w:val="20"/>
                <w:szCs w:val="20"/>
                <w:color w:val="auto"/>
              </w:rPr>
            </w:pPr>
            <w:r>
              <w:rPr>
                <w:rFonts w:ascii="Arial" w:cs="Arial" w:eastAsia="Arial" w:hAnsi="Arial"/>
                <w:sz w:val="18"/>
                <w:szCs w:val="18"/>
                <w:color w:val="auto"/>
              </w:rPr>
              <w:t>3 - 10 years</w:t>
            </w:r>
          </w:p>
        </w:tc>
      </w:tr>
    </w:tbl>
    <w:p>
      <w:pPr>
        <w:spacing w:after="0" w:line="187" w:lineRule="exact"/>
        <w:rPr>
          <w:sz w:val="20"/>
          <w:szCs w:val="20"/>
          <w:color w:val="auto"/>
        </w:rPr>
      </w:pPr>
    </w:p>
    <w:p>
      <w:pPr>
        <w:ind w:left="1100" w:right="40"/>
        <w:spacing w:after="0" w:line="277" w:lineRule="auto"/>
        <w:rPr>
          <w:sz w:val="20"/>
          <w:szCs w:val="20"/>
          <w:color w:val="auto"/>
        </w:rPr>
      </w:pPr>
      <w:r>
        <w:rPr>
          <w:rFonts w:ascii="Arial" w:cs="Arial" w:eastAsia="Arial" w:hAnsi="Arial"/>
          <w:sz w:val="18"/>
          <w:szCs w:val="18"/>
          <w:color w:val="auto"/>
        </w:rPr>
        <w:t>As the Company became publicly traded in June 2018, sufficient historical trading information was not available to determine an expected volatility rate. The volatility rate was based on comparable</w:t>
      </w:r>
    </w:p>
    <w:p>
      <w:pPr>
        <w:spacing w:after="0" w:line="62" w:lineRule="exact"/>
        <w:rPr>
          <w:sz w:val="20"/>
          <w:szCs w:val="20"/>
          <w:color w:val="auto"/>
        </w:rPr>
      </w:pPr>
    </w:p>
    <w:p>
      <w:pPr>
        <w:ind w:left="1100" w:right="380"/>
        <w:spacing w:after="0" w:line="277" w:lineRule="auto"/>
        <w:rPr>
          <w:sz w:val="20"/>
          <w:szCs w:val="20"/>
          <w:color w:val="auto"/>
        </w:rPr>
      </w:pPr>
      <w:r>
        <w:rPr>
          <w:rFonts w:ascii="Arial" w:cs="Arial" w:eastAsia="Arial" w:hAnsi="Arial"/>
          <w:sz w:val="18"/>
          <w:szCs w:val="18"/>
          <w:color w:val="auto"/>
        </w:rPr>
        <w:t>companies within the same industry. As permitted under ASC 718, the Company has made an accounting policy choice to account for forfeitures when they occur.</w:t>
      </w:r>
    </w:p>
    <w:p>
      <w:pPr>
        <w:spacing w:after="0" w:line="62" w:lineRule="exact"/>
        <w:rPr>
          <w:sz w:val="20"/>
          <w:szCs w:val="20"/>
          <w:color w:val="auto"/>
        </w:rPr>
      </w:pPr>
    </w:p>
    <w:p>
      <w:pPr>
        <w:ind w:left="1100" w:right="460"/>
        <w:spacing w:after="0" w:line="277" w:lineRule="auto"/>
        <w:rPr>
          <w:sz w:val="20"/>
          <w:szCs w:val="20"/>
          <w:color w:val="auto"/>
        </w:rPr>
      </w:pPr>
      <w:r>
        <w:rPr>
          <w:rFonts w:ascii="Arial" w:cs="Arial" w:eastAsia="Arial" w:hAnsi="Arial"/>
          <w:sz w:val="18"/>
          <w:szCs w:val="18"/>
          <w:color w:val="auto"/>
        </w:rPr>
        <w:t>The following table summarizes the number of non-vested RSU awards as of June 30, 2020 and December 31, 2019 and the changes during the six months ended June 30, 2020:</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4"/>
                <w:szCs w:val="14"/>
                <w:color w:val="auto"/>
              </w:rPr>
              <w:t>Number of</w:t>
            </w:r>
          </w:p>
        </w:tc>
        <w:tc>
          <w:tcPr>
            <w:tcW w:w="1460" w:type="dxa"/>
            <w:vAlign w:val="bottom"/>
            <w:gridSpan w:val="2"/>
          </w:tcPr>
          <w:p>
            <w:pPr>
              <w:jc w:val="center"/>
              <w:ind w:right="40"/>
              <w:spacing w:after="0"/>
              <w:rPr>
                <w:sz w:val="20"/>
                <w:szCs w:val="20"/>
                <w:color w:val="auto"/>
              </w:rPr>
            </w:pPr>
            <w:r>
              <w:rPr>
                <w:rFonts w:ascii="Arial" w:cs="Arial" w:eastAsia="Arial" w:hAnsi="Arial"/>
                <w:sz w:val="14"/>
                <w:szCs w:val="14"/>
                <w:color w:val="auto"/>
                <w:w w:val="92"/>
              </w:rPr>
              <w:t>Weighted Average Grant</w:t>
            </w:r>
          </w:p>
        </w:tc>
      </w:tr>
      <w:tr>
        <w:trPr>
          <w:trHeight w:val="167"/>
        </w:trPr>
        <w:tc>
          <w:tcPr>
            <w:tcW w:w="5380" w:type="dxa"/>
            <w:vAlign w:val="bottom"/>
          </w:tcPr>
          <w:p>
            <w:pPr>
              <w:spacing w:after="0"/>
              <w:rPr>
                <w:sz w:val="14"/>
                <w:szCs w:val="14"/>
                <w:color w:val="auto"/>
              </w:rPr>
            </w:pPr>
          </w:p>
        </w:tc>
        <w:tc>
          <w:tcPr>
            <w:tcW w:w="1520" w:type="dxa"/>
            <w:vAlign w:val="bottom"/>
            <w:gridSpan w:val="2"/>
          </w:tcPr>
          <w:p>
            <w:pPr>
              <w:jc w:val="right"/>
              <w:ind w:right="940"/>
              <w:spacing w:after="0"/>
              <w:rPr>
                <w:sz w:val="20"/>
                <w:szCs w:val="20"/>
                <w:color w:val="auto"/>
              </w:rPr>
            </w:pPr>
            <w:r>
              <w:rPr>
                <w:rFonts w:ascii="Arial" w:cs="Arial" w:eastAsia="Arial" w:hAnsi="Arial"/>
                <w:sz w:val="14"/>
                <w:szCs w:val="14"/>
                <w:color w:val="auto"/>
              </w:rPr>
              <w:t>Shares</w:t>
            </w:r>
          </w:p>
        </w:tc>
        <w:tc>
          <w:tcPr>
            <w:tcW w:w="1460" w:type="dxa"/>
            <w:vAlign w:val="bottom"/>
            <w:gridSpan w:val="2"/>
          </w:tcPr>
          <w:p>
            <w:pPr>
              <w:jc w:val="center"/>
              <w:ind w:right="40"/>
              <w:spacing w:after="0"/>
              <w:rPr>
                <w:sz w:val="20"/>
                <w:szCs w:val="20"/>
                <w:color w:val="auto"/>
              </w:rPr>
            </w:pPr>
            <w:r>
              <w:rPr>
                <w:rFonts w:ascii="Arial" w:cs="Arial" w:eastAsia="Arial" w:hAnsi="Arial"/>
                <w:sz w:val="14"/>
                <w:szCs w:val="14"/>
                <w:color w:val="auto"/>
                <w:w w:val="95"/>
              </w:rPr>
              <w:t>Date Fair Value (CAD)</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at 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1,399,762</w:t>
            </w:r>
          </w:p>
        </w:tc>
        <w:tc>
          <w:tcPr>
            <w:tcW w:w="7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200,150</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10.87</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(51,500)</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Vested</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(642,239)</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15.29</w:t>
            </w:r>
          </w:p>
        </w:tc>
      </w:tr>
      <w:tr>
        <w:trPr>
          <w:trHeight w:val="27"/>
        </w:trPr>
        <w:tc>
          <w:tcPr>
            <w:tcW w:w="5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Nonvested Shares at June 30, 2020</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906,173</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5.07</w:t>
            </w:r>
          </w:p>
        </w:tc>
      </w:tr>
    </w:tbl>
    <w:p>
      <w:pPr>
        <w:spacing w:after="0" w:line="20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stock-based compensation expense for the three and six months ended June 30, 2020 and 2019 was as followed:</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9"/>
              </w:rPr>
              <w:t>For the 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4"/>
          </w:tcPr>
          <w:p>
            <w:pPr>
              <w:ind w:left="14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June 30,</w:t>
            </w:r>
          </w:p>
        </w:tc>
        <w:tc>
          <w:tcPr>
            <w:tcW w:w="72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00" w:type="dxa"/>
            <w:vAlign w:val="bottom"/>
            <w:tcBorders>
              <w:top w:val="single" w:sz="8" w:color="auto"/>
              <w:bottom w:val="single" w:sz="8" w:color="auto"/>
            </w:tcBorders>
            <w:gridSpan w:val="3"/>
          </w:tcPr>
          <w:p>
            <w:pPr>
              <w:jc w:val="right"/>
              <w:ind w:right="715"/>
              <w:spacing w:after="0" w:line="142" w:lineRule="exact"/>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expense</w:t>
            </w: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$2,904,127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995,663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5,595,284</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$5,254,130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3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2,796,017</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2,919,525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5,178,602</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4,505,858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Stock Based Compensation Expense</w:t>
            </w:r>
          </w:p>
        </w:tc>
        <w:tc>
          <w:tcPr>
            <w:tcW w:w="1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5,700,144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3,915,188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10,773,886</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9,759,988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100"/>
        <w:spacing w:after="0" w:line="277" w:lineRule="auto"/>
        <w:rPr>
          <w:sz w:val="20"/>
          <w:szCs w:val="20"/>
          <w:color w:val="auto"/>
        </w:rPr>
      </w:pPr>
      <w:r>
        <w:rPr>
          <w:rFonts w:ascii="Arial" w:cs="Arial" w:eastAsia="Arial" w:hAnsi="Arial"/>
          <w:sz w:val="18"/>
          <w:szCs w:val="18"/>
          <w:color w:val="auto"/>
        </w:rPr>
        <w:t>As of June 30, 2020, $29,648,926 of total unrecognized expense related to Stock Based Compensation awards is expected to be recognized over a weighted-average period of 2.14 years.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4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380" w:hanging="264"/>
        <w:spacing w:after="0"/>
        <w:tabs>
          <w:tab w:leader="none" w:pos="3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color w:val="auto"/>
        </w:rPr>
        <w:t>(Continued)</w:t>
      </w:r>
    </w:p>
    <w:p>
      <w:pPr>
        <w:spacing w:after="0" w:line="265"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for Purchase of Ohio Investors 2017, LLC Noncontrolling Interest</w:t>
      </w:r>
    </w:p>
    <w:p>
      <w:pPr>
        <w:spacing w:after="0" w:line="121" w:lineRule="exact"/>
        <w:rPr>
          <w:rFonts w:ascii="Arial" w:cs="Arial" w:eastAsia="Arial" w:hAnsi="Arial"/>
          <w:sz w:val="18"/>
          <w:szCs w:val="18"/>
          <w:b w:val="1"/>
          <w:bCs w:val="1"/>
          <w:color w:val="auto"/>
        </w:rPr>
      </w:pPr>
    </w:p>
    <w:p>
      <w:pPr>
        <w:ind w:left="1100" w:right="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Subsequent to quarter end, on August 8, 2020, the Company and its joint venture partner in Ohio Investors 2017, LLC reached an agreement allowing Green Thumb to purchase the remaining noncontrolling interest in Ohio Investors 2017, LLC. As a result, the Company will issue 1,315,789 Subordinate Voting Shares in consideration for the noncontrolling partner’s interest in Ohio Investors 2017, LLC. Upon the closing of the transaction, which is subject to applicable regulatory approvals, the fair value of the joint venture buyout transaction will result in a reduction to the current liability established for the purchase of the noncontrolling interest of $11,200,000 and an increase in share capital for the fair value amount of noncontrolling partners interest of approximately $18,700,000.</w:t>
      </w:r>
    </w:p>
    <w:p>
      <w:pPr>
        <w:spacing w:after="0" w:line="268" w:lineRule="exact"/>
        <w:rPr>
          <w:rFonts w:ascii="Arial" w:cs="Arial" w:eastAsia="Arial" w:hAnsi="Arial"/>
          <w:sz w:val="18"/>
          <w:szCs w:val="18"/>
          <w:b w:val="1"/>
          <w:bCs w:val="1"/>
          <w:color w:val="auto"/>
        </w:rPr>
      </w:pPr>
    </w:p>
    <w:p>
      <w:pPr>
        <w:ind w:left="380" w:hanging="264"/>
        <w:spacing w:after="0"/>
        <w:tabs>
          <w:tab w:leader="none" w:pos="3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-1482090</wp:posOffset>
            </wp:positionV>
            <wp:extent cx="6995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three and six months ended June 30, 2020 and 2019 other income (expense) was comprised of the following:</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6"/>
          </w:tcPr>
          <w:p>
            <w:pPr>
              <w:jc w:val="right"/>
              <w:ind w:right="361"/>
              <w:spacing w:after="0"/>
              <w:rPr>
                <w:sz w:val="20"/>
                <w:szCs w:val="20"/>
                <w:color w:val="auto"/>
              </w:rPr>
            </w:pPr>
            <w:r>
              <w:rPr>
                <w:rFonts w:ascii="Arial" w:cs="Arial" w:eastAsia="Arial" w:hAnsi="Arial"/>
                <w:sz w:val="14"/>
                <w:szCs w:val="14"/>
                <w:b w:val="1"/>
                <w:bCs w:val="1"/>
                <w:color w:val="auto"/>
                <w:w w:val="95"/>
              </w:rPr>
              <w:t>For the Three Months Ended</w:t>
            </w:r>
          </w:p>
        </w:tc>
        <w:tc>
          <w:tcPr>
            <w:tcW w:w="100" w:type="dxa"/>
            <w:vAlign w:val="bottom"/>
          </w:tcPr>
          <w:p>
            <w:pPr>
              <w:spacing w:after="0"/>
              <w:rPr>
                <w:sz w:val="14"/>
                <w:szCs w:val="14"/>
                <w:color w:val="auto"/>
              </w:rPr>
            </w:pPr>
          </w:p>
        </w:tc>
        <w:tc>
          <w:tcPr>
            <w:tcW w:w="2020" w:type="dxa"/>
            <w:vAlign w:val="bottom"/>
            <w:gridSpan w:val="5"/>
          </w:tcPr>
          <w:p>
            <w:pPr>
              <w:jc w:val="right"/>
              <w:ind w:right="221"/>
              <w:spacing w:after="0"/>
              <w:rPr>
                <w:sz w:val="20"/>
                <w:szCs w:val="20"/>
                <w:color w:val="auto"/>
              </w:rPr>
            </w:pPr>
            <w:r>
              <w:rPr>
                <w:rFonts w:ascii="Arial" w:cs="Arial" w:eastAsia="Arial" w:hAnsi="Arial"/>
                <w:sz w:val="14"/>
                <w:szCs w:val="14"/>
                <w:b w:val="1"/>
                <w:bCs w:val="1"/>
                <w:color w:val="auto"/>
                <w:w w:val="98"/>
              </w:rPr>
              <w:t>For the Six Months Ended</w:t>
            </w: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6"/>
          </w:tcPr>
          <w:p>
            <w:pPr>
              <w:jc w:val="right"/>
              <w:ind w:right="1001"/>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020" w:type="dxa"/>
            <w:vAlign w:val="bottom"/>
            <w:gridSpan w:val="5"/>
          </w:tcPr>
          <w:p>
            <w:pPr>
              <w:jc w:val="right"/>
              <w:ind w:right="78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6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on equity investments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198,572</w:t>
            </w:r>
          </w:p>
        </w:tc>
        <w:tc>
          <w:tcPr>
            <w:tcW w:w="3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(339,271)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Fair value adjustments on variable note receivable</w:t>
            </w:r>
          </w:p>
        </w:tc>
        <w:tc>
          <w:tcPr>
            <w:tcW w:w="8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18"/>
                <w:szCs w:val="18"/>
                <w:color w:val="auto"/>
              </w:rPr>
            </w:pPr>
          </w:p>
        </w:tc>
        <w:tc>
          <w:tcPr>
            <w:tcW w:w="1080" w:type="dxa"/>
            <w:vAlign w:val="bottom"/>
            <w:gridSpan w:val="2"/>
          </w:tcPr>
          <w:p>
            <w:pPr>
              <w:jc w:val="right"/>
              <w:ind w:right="161"/>
              <w:spacing w:after="0"/>
              <w:rPr>
                <w:sz w:val="20"/>
                <w:szCs w:val="20"/>
                <w:color w:val="auto"/>
              </w:rPr>
            </w:pPr>
            <w:r>
              <w:rPr>
                <w:rFonts w:ascii="Arial" w:cs="Arial" w:eastAsia="Arial" w:hAnsi="Arial"/>
                <w:sz w:val="18"/>
                <w:szCs w:val="18"/>
                <w:color w:val="auto"/>
                <w:w w:val="89"/>
              </w:rPr>
              <w:t>(6,105,979)</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(815,937)</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89"/>
              </w:rPr>
              <w:t>(1,996,185)</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on warrants issued</w:t>
            </w: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9"/>
              </w:rPr>
              <w:t>(6,262,500)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1,120,343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Fair value adjustments on contingent consideration</w:t>
            </w:r>
          </w:p>
        </w:tc>
        <w:tc>
          <w:tcPr>
            <w:tcW w:w="8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(188,554)</w:t>
            </w:r>
          </w:p>
        </w:tc>
        <w:tc>
          <w:tcPr>
            <w:tcW w:w="100" w:type="dxa"/>
            <w:vAlign w:val="bottom"/>
          </w:tcPr>
          <w:p>
            <w:pPr>
              <w:spacing w:after="0"/>
              <w:rPr>
                <w:sz w:val="18"/>
                <w:szCs w:val="18"/>
                <w:color w:val="auto"/>
              </w:rPr>
            </w:pPr>
          </w:p>
        </w:tc>
        <w:tc>
          <w:tcPr>
            <w:tcW w:w="108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(17,565)</w:t>
            </w:r>
          </w:p>
        </w:tc>
        <w:tc>
          <w:tcPr>
            <w:tcW w:w="10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540,655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(195,296)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798,877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348,599</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b w:val="1"/>
                <w:bCs w:val="1"/>
                <w:color w:val="auto"/>
              </w:rPr>
              <w:t>Total Other Income (Expense)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88"/>
              </w:rPr>
              <w:t>(5,717,427</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88"/>
              </w:rPr>
              <w:t>(6,640,546</w:t>
            </w:r>
          </w:p>
        </w:tc>
        <w:tc>
          <w:tcPr>
            <w:tcW w:w="300" w:type="dxa"/>
            <w:vAlign w:val="bottom"/>
          </w:tcPr>
          <w:p>
            <w:pPr>
              <w:jc w:val="right"/>
              <w:ind w:right="16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1,068,683</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88"/>
              </w:rPr>
              <w:t>(1,383,893</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187" w:lineRule="exact"/>
        <w:rPr>
          <w:sz w:val="20"/>
          <w:szCs w:val="20"/>
          <w:color w:val="auto"/>
        </w:rPr>
      </w:pPr>
    </w:p>
    <w:p>
      <w:pPr>
        <w:ind w:left="120" w:right="200"/>
        <w:spacing w:after="0" w:line="271" w:lineRule="auto"/>
        <w:rPr>
          <w:sz w:val="20"/>
          <w:szCs w:val="20"/>
          <w:color w:val="auto"/>
        </w:rPr>
      </w:pPr>
      <w:r>
        <w:rPr>
          <w:rFonts w:ascii="Arial" w:cs="Arial" w:eastAsia="Arial" w:hAnsi="Arial"/>
          <w:sz w:val="17"/>
          <w:szCs w:val="17"/>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contingent liabilities for contracts. Contingent consideration is measured upon acquisition and is estimated using probability weighting of potential payouts. Subsequent</w:t>
      </w:r>
    </w:p>
    <w:p>
      <w:pPr>
        <w:ind w:left="120"/>
        <w:spacing w:after="0" w:line="260" w:lineRule="auto"/>
        <w:rPr>
          <w:sz w:val="20"/>
          <w:szCs w:val="20"/>
          <w:color w:val="auto"/>
        </w:rPr>
      </w:pPr>
      <w:r>
        <w:rPr>
          <w:rFonts w:ascii="Arial" w:cs="Arial" w:eastAsia="Arial" w:hAnsi="Arial"/>
          <w:sz w:val="18"/>
          <w:szCs w:val="18"/>
          <w:color w:val="auto"/>
        </w:rPr>
        <w:t>changes in the estimated contingent consideration from the final purchase price allocation are recognized in the Company’s unaudited interim condensed consolidated statement of operations.</w:t>
      </w:r>
    </w:p>
    <w:p>
      <w:pPr>
        <w:spacing w:after="0" w:line="330"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21" w:lineRule="exact"/>
        <w:rPr>
          <w:rFonts w:ascii="Arial" w:cs="Arial" w:eastAsia="Arial" w:hAnsi="Arial"/>
          <w:sz w:val="18"/>
          <w:szCs w:val="18"/>
          <w:b w:val="1"/>
          <w:bCs w:val="1"/>
          <w:color w:val="auto"/>
        </w:rPr>
      </w:pPr>
    </w:p>
    <w:p>
      <w:pPr>
        <w:ind w:left="1100" w:right="18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The Company’s operations are subject to a variety of local and state regulations. Failure to comply with one or more of those regulations could result in fines, sanctions, restrictions on its operations, or losses of permits that could result in the Company ceasing operations in that specific state or local jurisdiction. While management believes that the Company is in compliance with applicable local and state regulations at June 30, 2020 and December 31, 2019, cannabis and other regulations continue to evolve and are subject to differing interpretations. As a result, the Company may be subject to regulatory fines, penalties, or restrictions in the future.</w:t>
      </w:r>
    </w:p>
    <w:p>
      <w:pPr>
        <w:spacing w:after="0" w:line="93" w:lineRule="exact"/>
        <w:rPr>
          <w:rFonts w:ascii="Arial" w:cs="Arial" w:eastAsia="Arial" w:hAnsi="Arial"/>
          <w:sz w:val="18"/>
          <w:szCs w:val="18"/>
          <w:b w:val="1"/>
          <w:bCs w:val="1"/>
          <w:color w:val="auto"/>
        </w:rPr>
      </w:pPr>
    </w:p>
    <w:p>
      <w:pPr>
        <w:ind w:left="5540" w:hanging="111"/>
        <w:spacing w:after="0"/>
        <w:tabs>
          <w:tab w:leader="none" w:pos="5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2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COMMITMENTS AND CONTINGENCIES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6995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Claims and Litigation</w:t>
      </w:r>
    </w:p>
    <w:p>
      <w:pPr>
        <w:spacing w:after="0" w:line="121" w:lineRule="exact"/>
        <w:rPr>
          <w:sz w:val="20"/>
          <w:szCs w:val="20"/>
          <w:color w:val="auto"/>
        </w:rPr>
      </w:pPr>
    </w:p>
    <w:p>
      <w:pPr>
        <w:ind w:left="1100"/>
        <w:spacing w:after="0" w:line="279" w:lineRule="auto"/>
        <w:rPr>
          <w:sz w:val="20"/>
          <w:szCs w:val="20"/>
          <w:color w:val="auto"/>
        </w:rPr>
      </w:pPr>
      <w:r>
        <w:rPr>
          <w:rFonts w:ascii="Arial" w:cs="Arial" w:eastAsia="Arial" w:hAnsi="Arial"/>
          <w:sz w:val="17"/>
          <w:szCs w:val="17"/>
          <w:color w:val="auto"/>
        </w:rPr>
        <w:t>From time to time, the Company may be involved in litigation relating to claims arising out of operations in the normal course of business. At June 30, 2020 and December 31, 2019, there were no pending or 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5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 Construction Commitments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As of June 30, 2020, the Company held approximately $5,069,000 of open commitments to contractors on work being performed.</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6995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8"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192" w:lineRule="exact"/>
        <w:rPr>
          <w:sz w:val="20"/>
          <w:szCs w:val="20"/>
          <w:color w:val="auto"/>
        </w:rPr>
      </w:pPr>
    </w:p>
    <w:p>
      <w:pPr>
        <w:ind w:left="120" w:right="720"/>
        <w:spacing w:after="0" w:line="342" w:lineRule="auto"/>
        <w:rPr>
          <w:sz w:val="20"/>
          <w:szCs w:val="20"/>
          <w:color w:val="auto"/>
        </w:rPr>
      </w:pPr>
      <w:r>
        <w:rPr>
          <w:rFonts w:ascii="Arial" w:cs="Arial" w:eastAsia="Arial" w:hAnsi="Arial"/>
          <w:sz w:val="16"/>
          <w:szCs w:val="16"/>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in active markets for identical assets or liabilities;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quoted prices that are observable for the asset or liability, either directly or indirectly; and</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for the asset or liability that are not based on observable market data.</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left="560" w:right="340"/>
        <w:spacing w:after="0" w:line="263" w:lineRule="auto"/>
        <w:rPr>
          <w:sz w:val="20"/>
          <w:szCs w:val="20"/>
          <w:color w:val="auto"/>
        </w:rPr>
      </w:pPr>
      <w:r>
        <w:rPr>
          <w:rFonts w:ascii="Arial" w:cs="Arial" w:eastAsia="Arial" w:hAnsi="Arial"/>
          <w:sz w:val="18"/>
          <w:szCs w:val="18"/>
          <w:color w:val="auto"/>
        </w:rPr>
        <w:t>The Company’s financial instruments consist of cash and cash equivalents, accounts receivable, notes receivable, due from related parties, investments, accounts payable and accrued liabilities, notes payable, derivative liability, liability for acquisition of noncontrolling interest and contingent consideration payable.</w:t>
      </w:r>
    </w:p>
    <w:p>
      <w:pPr>
        <w:spacing w:after="0" w:line="76" w:lineRule="exact"/>
        <w:rPr>
          <w:sz w:val="20"/>
          <w:szCs w:val="20"/>
          <w:color w:val="auto"/>
        </w:rPr>
      </w:pPr>
    </w:p>
    <w:p>
      <w:pPr>
        <w:ind w:left="560" w:right="480"/>
        <w:spacing w:after="0" w:line="342" w:lineRule="auto"/>
        <w:rPr>
          <w:sz w:val="20"/>
          <w:szCs w:val="20"/>
          <w:color w:val="auto"/>
        </w:rPr>
      </w:pPr>
      <w:r>
        <w:rPr>
          <w:rFonts w:ascii="Arial" w:cs="Arial" w:eastAsia="Arial" w:hAnsi="Arial"/>
          <w:sz w:val="16"/>
          <w:szCs w:val="16"/>
          <w:color w:val="auto"/>
        </w:rPr>
        <w:t>Financial instruments recorded at fair value are classified using a fair value hierarchy that reflects the significance of the inputs to fair value measurements. The fair values of the Company’s financial instruments associated with each of the three levels of the hierarchy are:</w:t>
      </w:r>
    </w:p>
    <w:p>
      <w:pPr>
        <w:spacing w:after="0" w:line="14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361"/>
              <w:spacing w:after="0"/>
              <w:rPr>
                <w:sz w:val="20"/>
                <w:szCs w:val="20"/>
                <w:color w:val="auto"/>
              </w:rPr>
            </w:pPr>
            <w:r>
              <w:rPr>
                <w:rFonts w:ascii="Arial" w:cs="Arial" w:eastAsia="Arial" w:hAnsi="Arial"/>
                <w:sz w:val="14"/>
                <w:szCs w:val="14"/>
                <w:b w:val="1"/>
                <w:bCs w:val="1"/>
                <w:color w:val="auto"/>
              </w:rPr>
              <w:t>As of June 30, 2020</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4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Level 1</w:t>
            </w:r>
          </w:p>
        </w:tc>
        <w:tc>
          <w:tcPr>
            <w:tcW w:w="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361"/>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980" w:type="dxa"/>
            <w:vAlign w:val="bottom"/>
          </w:tcPr>
          <w:p>
            <w:pPr>
              <w:jc w:val="right"/>
              <w:ind w:right="25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$82,942,672</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$ 82,942,672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Investments</w:t>
            </w:r>
          </w:p>
        </w:tc>
        <w:tc>
          <w:tcPr>
            <w:tcW w:w="1480" w:type="dxa"/>
            <w:vAlign w:val="bottom"/>
          </w:tcPr>
          <w:p>
            <w:pPr>
              <w:spacing w:after="0"/>
              <w:rPr>
                <w:sz w:val="18"/>
                <w:szCs w:val="18"/>
                <w:color w:val="auto"/>
              </w:rPr>
            </w:pP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1"/>
              <w:spacing w:after="0"/>
              <w:rPr>
                <w:sz w:val="20"/>
                <w:szCs w:val="20"/>
                <w:color w:val="auto"/>
              </w:rPr>
            </w:pPr>
            <w:r>
              <w:rPr>
                <w:rFonts w:ascii="Arial" w:cs="Arial" w:eastAsia="Arial" w:hAnsi="Arial"/>
                <w:sz w:val="18"/>
                <w:szCs w:val="18"/>
                <w:color w:val="auto"/>
                <w:w w:val="95"/>
              </w:rPr>
              <w:t>14,051,786</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14,051,786</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Liability of Redemption of Noncontrolling Interest</w:t>
            </w:r>
          </w:p>
        </w:tc>
        <w:tc>
          <w:tcPr>
            <w:tcW w:w="14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0"/>
              </w:rPr>
              <w:t>(11,200,000)</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(11,200,000)</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Contingent Consideration Payable</w:t>
            </w:r>
          </w:p>
        </w:tc>
        <w:tc>
          <w:tcPr>
            <w:tcW w:w="1480" w:type="dxa"/>
            <w:vAlign w:val="bottom"/>
          </w:tcPr>
          <w:p>
            <w:pPr>
              <w:spacing w:after="0"/>
              <w:rPr>
                <w:sz w:val="18"/>
                <w:szCs w:val="18"/>
                <w:color w:val="auto"/>
              </w:rPr>
            </w:pP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w w:val="90"/>
              </w:rPr>
              <w:t>(36,528,724)</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(36,528,724)</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4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0"/>
              </w:rPr>
              <w:t>(15,331,887)</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(15,331,887)</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82,942,672</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(49,008,825</w:t>
            </w:r>
          </w:p>
        </w:tc>
        <w:tc>
          <w:tcPr>
            <w:tcW w:w="180" w:type="dxa"/>
            <w:vAlign w:val="bottom"/>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$ 33,933,847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80" w:type="dxa"/>
            <w:vAlign w:val="bottom"/>
            <w:vMerge w:val="restart"/>
          </w:tcPr>
          <w:p>
            <w:pPr>
              <w:jc w:val="right"/>
              <w:ind w:right="390"/>
              <w:spacing w:after="0"/>
              <w:rPr>
                <w:sz w:val="20"/>
                <w:szCs w:val="20"/>
                <w:color w:val="auto"/>
              </w:rPr>
            </w:pPr>
            <w:r>
              <w:rPr>
                <w:rFonts w:ascii="Arial" w:cs="Arial" w:eastAsia="Arial" w:hAnsi="Arial"/>
                <w:sz w:val="18"/>
                <w:szCs w:val="18"/>
                <w:color w:val="auto"/>
              </w:rPr>
              <w:t>-27-</w:t>
            </w: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13. FAIR VALUE MEASUREMENTS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120015</wp:posOffset>
            </wp:positionV>
            <wp:extent cx="6995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124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Level 1</w:t>
            </w:r>
          </w:p>
        </w:tc>
        <w:tc>
          <w:tcPr>
            <w:tcW w:w="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98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09"/>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$46,667,334</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$ 46,667,334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Notes Receivable</w:t>
            </w: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815,937</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815,937</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2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14,068,821</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14,068,821</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Liability of Redemption of Noncontrolling Interest</w:t>
            </w: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(5,500,000)</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(5,500,000)</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Payable</w:t>
            </w:r>
          </w:p>
        </w:tc>
        <w:tc>
          <w:tcPr>
            <w:tcW w:w="12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(58,936,739)</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(58,936,739)</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Warrant Liability</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(15,879,843)</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(15,879,843)</w:t>
            </w:r>
          </w:p>
        </w:tc>
      </w:tr>
      <w:tr>
        <w:trPr>
          <w:trHeight w:val="27"/>
        </w:trPr>
        <w:tc>
          <w:tcPr>
            <w:tcW w:w="57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46,667,334</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0"/>
              </w:rPr>
              <w:t>(65,431,824)</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(18,764,490)</w:t>
            </w:r>
          </w:p>
        </w:tc>
      </w:tr>
      <w:tr>
        <w:trPr>
          <w:trHeight w:val="20"/>
        </w:trPr>
        <w:tc>
          <w:tcPr>
            <w:tcW w:w="57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have been no transfers between fair value levels during the periods ended June 30, 2020 and December 31, 2019.</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6995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8"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following tables represent the summarized financial information about the Company’s consolidated variable interest entities (“VIEs”) which are included in the unaudited interim condensed consolidated balance sheets as of June 30, 2020 and December 31, 2019 and statements of operations for the three and six months ended June 30, 2020 and June 30, 2019. All these entities were determined to be VIEs as the Company possesses the power to direct activities through management services agreements.</w:t>
      </w:r>
    </w:p>
    <w:p>
      <w:pPr>
        <w:spacing w:after="0" w:line="32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June 30, 2020</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w w:val="90"/>
              </w:rPr>
              <w:t>December 31, 2019</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3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Chesapeake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4"/>
          </w:tcPr>
          <w:p>
            <w:pPr>
              <w:jc w:val="center"/>
              <w:ind w:right="120"/>
              <w:spacing w:after="0" w:line="119" w:lineRule="exact"/>
              <w:rPr>
                <w:sz w:val="20"/>
                <w:szCs w:val="20"/>
                <w:color w:val="auto"/>
              </w:rPr>
            </w:pPr>
            <w:r>
              <w:rPr>
                <w:rFonts w:ascii="Arial" w:cs="Arial" w:eastAsia="Arial" w:hAnsi="Arial"/>
                <w:sz w:val="13"/>
                <w:szCs w:val="13"/>
                <w:b w:val="1"/>
                <w:bCs w:val="1"/>
                <w:color w:val="auto"/>
              </w:rPr>
              <w:t>Illinois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4"/>
          </w:tcPr>
          <w:p>
            <w:pPr>
              <w:jc w:val="right"/>
              <w:spacing w:after="0" w:line="119" w:lineRule="exact"/>
              <w:rPr>
                <w:sz w:val="20"/>
                <w:szCs w:val="20"/>
                <w:color w:val="auto"/>
              </w:rPr>
            </w:pPr>
            <w:r>
              <w:rPr>
                <w:rFonts w:ascii="Arial" w:cs="Arial" w:eastAsia="Arial" w:hAnsi="Arial"/>
                <w:sz w:val="13"/>
                <w:szCs w:val="13"/>
                <w:b w:val="1"/>
                <w:bCs w:val="1"/>
                <w:color w:val="auto"/>
              </w:rPr>
              <w:t>Other Non-material</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gridSpan w:val="8"/>
          </w:tcPr>
          <w:p>
            <w:pPr>
              <w:jc w:val="right"/>
              <w:ind w:right="480"/>
              <w:spacing w:after="0" w:line="119" w:lineRule="exact"/>
              <w:rPr>
                <w:sz w:val="20"/>
                <w:szCs w:val="20"/>
                <w:color w:val="auto"/>
              </w:rPr>
            </w:pPr>
            <w:r>
              <w:rPr>
                <w:rFonts w:ascii="Arial" w:cs="Arial" w:eastAsia="Arial" w:hAnsi="Arial"/>
                <w:sz w:val="13"/>
                <w:szCs w:val="13"/>
                <w:b w:val="1"/>
                <w:bCs w:val="1"/>
                <w:color w:val="auto"/>
              </w:rPr>
              <w:t>Chesapeake</w:t>
            </w:r>
          </w:p>
        </w:tc>
        <w:tc>
          <w:tcPr>
            <w:tcW w:w="980" w:type="dxa"/>
            <w:vAlign w:val="bottom"/>
            <w:gridSpan w:val="4"/>
          </w:tcPr>
          <w:p>
            <w:pPr>
              <w:jc w:val="center"/>
              <w:ind w:right="300"/>
              <w:spacing w:after="0" w:line="119" w:lineRule="exact"/>
              <w:rPr>
                <w:sz w:val="20"/>
                <w:szCs w:val="20"/>
                <w:color w:val="auto"/>
              </w:rPr>
            </w:pPr>
            <w:r>
              <w:rPr>
                <w:rFonts w:ascii="Arial" w:cs="Arial" w:eastAsia="Arial" w:hAnsi="Arial"/>
                <w:sz w:val="13"/>
                <w:szCs w:val="13"/>
                <w:b w:val="1"/>
                <w:bCs w:val="1"/>
                <w:color w:val="auto"/>
              </w:rPr>
              <w:t>Illinois</w:t>
            </w:r>
          </w:p>
        </w:tc>
        <w:tc>
          <w:tcPr>
            <w:tcW w:w="1220" w:type="dxa"/>
            <w:vAlign w:val="bottom"/>
            <w:gridSpan w:val="4"/>
          </w:tcPr>
          <w:p>
            <w:pPr>
              <w:jc w:val="right"/>
              <w:spacing w:after="0" w:line="119" w:lineRule="exact"/>
              <w:rPr>
                <w:sz w:val="20"/>
                <w:szCs w:val="20"/>
                <w:color w:val="auto"/>
              </w:rPr>
            </w:pPr>
            <w:r>
              <w:rPr>
                <w:rFonts w:ascii="Arial" w:cs="Arial" w:eastAsia="Arial" w:hAnsi="Arial"/>
                <w:sz w:val="13"/>
                <w:szCs w:val="13"/>
                <w:b w:val="1"/>
                <w:bCs w:val="1"/>
                <w:color w:val="auto"/>
              </w:rPr>
              <w:t>Other Non-material</w:t>
            </w:r>
          </w:p>
        </w:tc>
        <w:tc>
          <w:tcPr>
            <w:tcW w:w="120" w:type="dxa"/>
            <w:vAlign w:val="bottom"/>
          </w:tcPr>
          <w:p>
            <w:pPr>
              <w:spacing w:after="0"/>
              <w:rPr>
                <w:sz w:val="10"/>
                <w:szCs w:val="10"/>
                <w:color w:val="auto"/>
              </w:rPr>
            </w:pPr>
          </w:p>
        </w:tc>
      </w:tr>
      <w:tr>
        <w:trPr>
          <w:trHeight w:val="171"/>
        </w:trPr>
        <w:tc>
          <w:tcPr>
            <w:tcW w:w="3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Alternatives, LLC</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7"/>
              </w:rPr>
              <w:t>Disp, LLC</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VIEs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w w:val="95"/>
              </w:rPr>
              <w:t>Alternatives, LLC</w:t>
            </w:r>
          </w:p>
        </w:tc>
        <w:tc>
          <w:tcPr>
            <w:tcW w:w="9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7"/>
              </w:rPr>
              <w:t>Disp, LLC</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501"/>
              <w:spacing w:after="0"/>
              <w:rPr>
                <w:sz w:val="20"/>
                <w:szCs w:val="20"/>
                <w:color w:val="auto"/>
              </w:rPr>
            </w:pPr>
            <w:r>
              <w:rPr>
                <w:rFonts w:ascii="Arial" w:cs="Arial" w:eastAsia="Arial" w:hAnsi="Arial"/>
                <w:sz w:val="14"/>
                <w:szCs w:val="14"/>
                <w:b w:val="1"/>
                <w:bCs w:val="1"/>
                <w:color w:val="auto"/>
              </w:rPr>
              <w:t>VIEs</w:t>
            </w: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26,092,713</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1,990,475</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2,138,766</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95"/>
              </w:rPr>
              <w:t>$   19,455,533</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1,381,716</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1,352,935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Non-current assets</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2,876,080</w:t>
            </w:r>
          </w:p>
        </w:tc>
        <w:tc>
          <w:tcPr>
            <w:tcW w:w="1040" w:type="dxa"/>
            <w:vAlign w:val="bottom"/>
            <w:gridSpan w:val="6"/>
          </w:tcPr>
          <w:p>
            <w:pPr>
              <w:jc w:val="right"/>
              <w:ind w:right="120"/>
              <w:spacing w:after="0"/>
              <w:rPr>
                <w:sz w:val="20"/>
                <w:szCs w:val="20"/>
                <w:color w:val="auto"/>
              </w:rPr>
            </w:pPr>
            <w:r>
              <w:rPr>
                <w:rFonts w:ascii="Arial" w:cs="Arial" w:eastAsia="Arial" w:hAnsi="Arial"/>
                <w:sz w:val="18"/>
                <w:szCs w:val="18"/>
                <w:color w:val="auto"/>
              </w:rPr>
              <w:t>3,854,524</w:t>
            </w:r>
          </w:p>
        </w:tc>
        <w:tc>
          <w:tcPr>
            <w:tcW w:w="1360" w:type="dxa"/>
            <w:vAlign w:val="bottom"/>
            <w:gridSpan w:val="7"/>
          </w:tcPr>
          <w:p>
            <w:pPr>
              <w:jc w:val="right"/>
              <w:ind w:right="20"/>
              <w:spacing w:after="0"/>
              <w:rPr>
                <w:sz w:val="20"/>
                <w:szCs w:val="20"/>
                <w:color w:val="auto"/>
              </w:rPr>
            </w:pPr>
            <w:r>
              <w:rPr>
                <w:rFonts w:ascii="Arial" w:cs="Arial" w:eastAsia="Arial" w:hAnsi="Arial"/>
                <w:sz w:val="18"/>
                <w:szCs w:val="18"/>
                <w:color w:val="auto"/>
              </w:rPr>
              <w:t>2,378,075</w:t>
            </w:r>
          </w:p>
        </w:tc>
        <w:tc>
          <w:tcPr>
            <w:tcW w:w="1620" w:type="dxa"/>
            <w:vAlign w:val="bottom"/>
            <w:gridSpan w:val="7"/>
          </w:tcPr>
          <w:p>
            <w:pPr>
              <w:jc w:val="right"/>
              <w:ind w:right="159"/>
              <w:spacing w:after="0"/>
              <w:rPr>
                <w:sz w:val="20"/>
                <w:szCs w:val="20"/>
                <w:color w:val="auto"/>
              </w:rPr>
            </w:pPr>
            <w:r>
              <w:rPr>
                <w:rFonts w:ascii="Arial" w:cs="Arial" w:eastAsia="Arial" w:hAnsi="Arial"/>
                <w:sz w:val="18"/>
                <w:szCs w:val="18"/>
                <w:color w:val="auto"/>
              </w:rPr>
              <w:t>22,384,663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4"/>
          </w:tcPr>
          <w:p>
            <w:pPr>
              <w:jc w:val="right"/>
              <w:ind w:right="240"/>
              <w:spacing w:after="0"/>
              <w:rPr>
                <w:sz w:val="20"/>
                <w:szCs w:val="20"/>
                <w:color w:val="auto"/>
              </w:rPr>
            </w:pPr>
            <w:r>
              <w:rPr>
                <w:rFonts w:ascii="Arial" w:cs="Arial" w:eastAsia="Arial" w:hAnsi="Arial"/>
                <w:sz w:val="18"/>
                <w:szCs w:val="18"/>
                <w:color w:val="auto"/>
                <w:w w:val="89"/>
              </w:rPr>
              <w:t>3,083,659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41"/>
              <w:spacing w:after="0"/>
              <w:rPr>
                <w:sz w:val="20"/>
                <w:szCs w:val="20"/>
                <w:color w:val="auto"/>
              </w:rPr>
            </w:pPr>
            <w:r>
              <w:rPr>
                <w:rFonts w:ascii="Arial" w:cs="Arial" w:eastAsia="Arial" w:hAnsi="Arial"/>
                <w:sz w:val="18"/>
                <w:szCs w:val="18"/>
                <w:color w:val="auto"/>
              </w:rPr>
              <w:t>2,534,297</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18,185,825</w:t>
            </w:r>
          </w:p>
        </w:tc>
        <w:tc>
          <w:tcPr>
            <w:tcW w:w="104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1,336,087</w:t>
            </w:r>
          </w:p>
        </w:tc>
        <w:tc>
          <w:tcPr>
            <w:tcW w:w="13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1,071,811</w:t>
            </w:r>
          </w:p>
        </w:tc>
        <w:tc>
          <w:tcPr>
            <w:tcW w:w="1620" w:type="dxa"/>
            <w:vAlign w:val="bottom"/>
            <w:gridSpan w:val="7"/>
            <w:shd w:val="clear" w:color="auto" w:fill="CCEEFF"/>
          </w:tcPr>
          <w:p>
            <w:pPr>
              <w:jc w:val="right"/>
              <w:ind w:right="159"/>
              <w:spacing w:after="0"/>
              <w:rPr>
                <w:sz w:val="20"/>
                <w:szCs w:val="20"/>
                <w:color w:val="auto"/>
              </w:rPr>
            </w:pPr>
            <w:r>
              <w:rPr>
                <w:rFonts w:ascii="Arial" w:cs="Arial" w:eastAsia="Arial" w:hAnsi="Arial"/>
                <w:sz w:val="18"/>
                <w:szCs w:val="18"/>
                <w:color w:val="auto"/>
              </w:rPr>
              <w:t>14,219,204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149,498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783,682</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1,087,114</w:t>
            </w:r>
          </w:p>
        </w:tc>
        <w:tc>
          <w:tcPr>
            <w:tcW w:w="1040" w:type="dxa"/>
            <w:vAlign w:val="bottom"/>
            <w:gridSpan w:val="6"/>
          </w:tcPr>
          <w:p>
            <w:pPr>
              <w:jc w:val="right"/>
              <w:ind w:right="120"/>
              <w:spacing w:after="0"/>
              <w:rPr>
                <w:sz w:val="20"/>
                <w:szCs w:val="20"/>
                <w:color w:val="auto"/>
              </w:rPr>
            </w:pPr>
            <w:r>
              <w:rPr>
                <w:rFonts w:ascii="Arial" w:cs="Arial" w:eastAsia="Arial" w:hAnsi="Arial"/>
                <w:sz w:val="18"/>
                <w:szCs w:val="18"/>
                <w:color w:val="auto"/>
              </w:rPr>
              <w:t>483,935</w:t>
            </w:r>
          </w:p>
        </w:tc>
        <w:tc>
          <w:tcPr>
            <w:tcW w:w="1360" w:type="dxa"/>
            <w:vAlign w:val="bottom"/>
            <w:gridSpan w:val="7"/>
          </w:tcPr>
          <w:p>
            <w:pPr>
              <w:jc w:val="right"/>
              <w:ind w:right="20"/>
              <w:spacing w:after="0"/>
              <w:rPr>
                <w:sz w:val="20"/>
                <w:szCs w:val="20"/>
                <w:color w:val="auto"/>
              </w:rPr>
            </w:pPr>
            <w:r>
              <w:rPr>
                <w:rFonts w:ascii="Arial" w:cs="Arial" w:eastAsia="Arial" w:hAnsi="Arial"/>
                <w:sz w:val="18"/>
                <w:szCs w:val="18"/>
                <w:color w:val="auto"/>
              </w:rPr>
              <w:t>820,888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4"/>
          </w:tcPr>
          <w:p>
            <w:pPr>
              <w:jc w:val="right"/>
              <w:ind w:right="159"/>
              <w:spacing w:after="0"/>
              <w:rPr>
                <w:sz w:val="20"/>
                <w:szCs w:val="20"/>
                <w:color w:val="auto"/>
              </w:rPr>
            </w:pPr>
            <w:r>
              <w:rPr>
                <w:rFonts w:ascii="Arial" w:cs="Arial" w:eastAsia="Arial" w:hAnsi="Arial"/>
                <w:sz w:val="18"/>
                <w:szCs w:val="18"/>
                <w:color w:val="auto"/>
                <w:w w:val="92"/>
              </w:rPr>
              <w:t>1,169,989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4"/>
          </w:tcPr>
          <w:p>
            <w:pPr>
              <w:jc w:val="right"/>
              <w:ind w:right="240"/>
              <w:spacing w:after="0"/>
              <w:rPr>
                <w:sz w:val="20"/>
                <w:szCs w:val="20"/>
                <w:color w:val="auto"/>
              </w:rPr>
            </w:pPr>
            <w:r>
              <w:rPr>
                <w:rFonts w:ascii="Arial" w:cs="Arial" w:eastAsia="Arial" w:hAnsi="Arial"/>
                <w:sz w:val="18"/>
                <w:szCs w:val="18"/>
                <w:color w:val="auto"/>
              </w:rPr>
              <w:t>137,736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41"/>
              <w:spacing w:after="0"/>
              <w:rPr>
                <w:sz w:val="20"/>
                <w:szCs w:val="20"/>
                <w:color w:val="auto"/>
              </w:rPr>
            </w:pPr>
            <w:r>
              <w:rPr>
                <w:rFonts w:ascii="Arial" w:cs="Arial" w:eastAsia="Arial" w:hAnsi="Arial"/>
                <w:sz w:val="18"/>
                <w:szCs w:val="18"/>
                <w:color w:val="auto"/>
              </w:rPr>
              <w:t>855,440</w:t>
            </w:r>
          </w:p>
        </w:tc>
      </w:tr>
      <w:tr>
        <w:trPr>
          <w:trHeight w:val="202"/>
        </w:trPr>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attributable to noncontrolling</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272,118</w:t>
            </w:r>
          </w:p>
        </w:tc>
        <w:tc>
          <w:tcPr>
            <w:tcW w:w="104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2,012,489</w:t>
            </w:r>
          </w:p>
        </w:tc>
        <w:tc>
          <w:tcPr>
            <w:tcW w:w="1620" w:type="dxa"/>
            <w:vAlign w:val="bottom"/>
            <w:gridSpan w:val="8"/>
            <w:shd w:val="clear" w:color="auto" w:fill="CCEEFF"/>
          </w:tcPr>
          <w:p>
            <w:pPr>
              <w:jc w:val="right"/>
              <w:ind w:right="134"/>
              <w:spacing w:after="0"/>
              <w:rPr>
                <w:sz w:val="20"/>
                <w:szCs w:val="20"/>
                <w:color w:val="auto"/>
              </w:rPr>
            </w:pPr>
            <w:r>
              <w:rPr>
                <w:rFonts w:ascii="Arial" w:cs="Arial" w:eastAsia="Arial" w:hAnsi="Arial"/>
                <w:sz w:val="18"/>
                <w:szCs w:val="18"/>
                <w:color w:val="auto"/>
              </w:rPr>
              <w:t>(12,827)</w:t>
            </w: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0" w:type="dxa"/>
            <w:vAlign w:val="bottom"/>
            <w:gridSpan w:val="4"/>
            <w:shd w:val="clear" w:color="auto" w:fill="CCEEFF"/>
          </w:tcPr>
          <w:p>
            <w:pPr>
              <w:jc w:val="right"/>
              <w:ind w:right="159"/>
              <w:spacing w:after="0"/>
              <w:rPr>
                <w:sz w:val="20"/>
                <w:szCs w:val="20"/>
                <w:color w:val="auto"/>
              </w:rPr>
            </w:pPr>
            <w:r>
              <w:rPr>
                <w:rFonts w:ascii="Arial" w:cs="Arial" w:eastAsia="Arial" w:hAnsi="Arial"/>
                <w:sz w:val="18"/>
                <w:szCs w:val="18"/>
                <w:color w:val="auto"/>
              </w:rPr>
              <w:t>350,206</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w w:val="89"/>
              </w:rPr>
              <w:t>2,089,071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(22,488)</w:t>
            </w:r>
          </w:p>
        </w:tc>
      </w:tr>
      <w:tr>
        <w:trPr>
          <w:trHeight w:val="202"/>
        </w:trPr>
        <w:tc>
          <w:tcPr>
            <w:tcW w:w="3000" w:type="dxa"/>
            <w:vAlign w:val="bottom"/>
          </w:tcPr>
          <w:p>
            <w:pPr>
              <w:spacing w:after="0" w:line="201" w:lineRule="exact"/>
              <w:rPr>
                <w:sz w:val="20"/>
                <w:szCs w:val="20"/>
                <w:color w:val="auto"/>
              </w:rPr>
            </w:pPr>
            <w:r>
              <w:rPr>
                <w:rFonts w:ascii="Arial" w:cs="Arial" w:eastAsia="Arial" w:hAnsi="Arial"/>
                <w:sz w:val="18"/>
                <w:szCs w:val="18"/>
                <w:color w:val="auto"/>
              </w:rPr>
              <w:t>Equity attributable to Green Thumb</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000" w:type="dxa"/>
            <w:vAlign w:val="bottom"/>
          </w:tcPr>
          <w:p>
            <w:pPr>
              <w:ind w:left="180"/>
              <w:spacing w:after="0"/>
              <w:rPr>
                <w:sz w:val="20"/>
                <w:szCs w:val="20"/>
                <w:color w:val="auto"/>
              </w:rPr>
            </w:pPr>
            <w:r>
              <w:rPr>
                <w:rFonts w:ascii="Arial" w:cs="Arial" w:eastAsia="Arial" w:hAnsi="Arial"/>
                <w:sz w:val="18"/>
                <w:szCs w:val="18"/>
                <w:color w:val="auto"/>
              </w:rPr>
              <w:t>Industries Inc.</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9,423,735</w:t>
            </w:r>
          </w:p>
        </w:tc>
        <w:tc>
          <w:tcPr>
            <w:tcW w:w="1040" w:type="dxa"/>
            <w:vAlign w:val="bottom"/>
            <w:gridSpan w:val="6"/>
          </w:tcPr>
          <w:p>
            <w:pPr>
              <w:jc w:val="right"/>
              <w:ind w:right="120"/>
              <w:spacing w:after="0"/>
              <w:rPr>
                <w:sz w:val="20"/>
                <w:szCs w:val="20"/>
                <w:color w:val="auto"/>
              </w:rPr>
            </w:pPr>
            <w:r>
              <w:rPr>
                <w:rFonts w:ascii="Arial" w:cs="Arial" w:eastAsia="Arial" w:hAnsi="Arial"/>
                <w:sz w:val="18"/>
                <w:szCs w:val="18"/>
                <w:color w:val="auto"/>
              </w:rPr>
              <w:t>2,012,488</w:t>
            </w:r>
          </w:p>
        </w:tc>
        <w:tc>
          <w:tcPr>
            <w:tcW w:w="1360" w:type="dxa"/>
            <w:vAlign w:val="bottom"/>
            <w:gridSpan w:val="7"/>
          </w:tcPr>
          <w:p>
            <w:pPr>
              <w:jc w:val="right"/>
              <w:ind w:right="20"/>
              <w:spacing w:after="0"/>
              <w:rPr>
                <w:sz w:val="20"/>
                <w:szCs w:val="20"/>
                <w:color w:val="auto"/>
              </w:rPr>
            </w:pPr>
            <w:r>
              <w:rPr>
                <w:rFonts w:ascii="Arial" w:cs="Arial" w:eastAsia="Arial" w:hAnsi="Arial"/>
                <w:sz w:val="18"/>
                <w:szCs w:val="18"/>
                <w:color w:val="auto"/>
              </w:rPr>
              <w:t>2,636,968</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gridSpan w:val="4"/>
          </w:tcPr>
          <w:p>
            <w:pPr>
              <w:jc w:val="right"/>
              <w:ind w:right="159"/>
              <w:spacing w:after="0"/>
              <w:rPr>
                <w:sz w:val="20"/>
                <w:szCs w:val="20"/>
                <w:color w:val="auto"/>
              </w:rPr>
            </w:pPr>
            <w:r>
              <w:rPr>
                <w:rFonts w:ascii="Arial" w:cs="Arial" w:eastAsia="Arial" w:hAnsi="Arial"/>
                <w:sz w:val="18"/>
                <w:szCs w:val="18"/>
                <w:color w:val="auto"/>
                <w:w w:val="92"/>
              </w:rPr>
              <w:t>6,645,263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4"/>
          </w:tcPr>
          <w:p>
            <w:pPr>
              <w:jc w:val="right"/>
              <w:ind w:right="240"/>
              <w:spacing w:after="0"/>
              <w:rPr>
                <w:sz w:val="20"/>
                <w:szCs w:val="20"/>
                <w:color w:val="auto"/>
              </w:rPr>
            </w:pPr>
            <w:r>
              <w:rPr>
                <w:rFonts w:ascii="Arial" w:cs="Arial" w:eastAsia="Arial" w:hAnsi="Arial"/>
                <w:sz w:val="18"/>
                <w:szCs w:val="18"/>
                <w:color w:val="auto"/>
                <w:w w:val="89"/>
              </w:rPr>
              <w:t>2,089,070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right"/>
              <w:ind w:right="41"/>
              <w:spacing w:after="0"/>
              <w:rPr>
                <w:sz w:val="20"/>
                <w:szCs w:val="20"/>
                <w:color w:val="auto"/>
              </w:rPr>
            </w:pPr>
            <w:r>
              <w:rPr>
                <w:rFonts w:ascii="Arial" w:cs="Arial" w:eastAsia="Arial" w:hAnsi="Arial"/>
                <w:sz w:val="18"/>
                <w:szCs w:val="18"/>
                <w:color w:val="auto"/>
              </w:rPr>
              <w:t>2,270,598</w:t>
            </w:r>
          </w:p>
        </w:tc>
      </w:tr>
      <w:tr>
        <w:trPr>
          <w:trHeight w:val="391"/>
        </w:trPr>
        <w:tc>
          <w:tcPr>
            <w:tcW w:w="3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9"/>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30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4"/>
          </w:tcPr>
          <w:p>
            <w:pPr>
              <w:ind w:left="40"/>
              <w:spacing w:after="0" w:line="142" w:lineRule="exact"/>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r>
      <w:tr>
        <w:trPr>
          <w:trHeight w:val="209"/>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$4,799,732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5"/>
              </w:rPr>
              <w:t>$5,164,316</w:t>
            </w:r>
          </w:p>
        </w:tc>
        <w:tc>
          <w:tcPr>
            <w:tcW w:w="94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w w:val="88"/>
              </w:rPr>
              <w:t>$2,370,069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4,159,813</w:t>
            </w:r>
          </w:p>
        </w:tc>
        <w:tc>
          <w:tcPr>
            <w:tcW w:w="122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$1,391,786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$ 1,005,554</w:t>
            </w:r>
          </w:p>
        </w:tc>
        <w:tc>
          <w:tcPr>
            <w:tcW w:w="120" w:type="dxa"/>
            <w:vAlign w:val="bottom"/>
            <w:shd w:val="clear" w:color="auto" w:fill="CCEEFF"/>
          </w:tcPr>
          <w:p>
            <w:pPr>
              <w:spacing w:after="0"/>
              <w:rPr>
                <w:sz w:val="18"/>
                <w:szCs w:val="18"/>
                <w:color w:val="auto"/>
              </w:rPr>
            </w:pPr>
          </w:p>
        </w:tc>
      </w:tr>
      <w:tr>
        <w:trPr>
          <w:trHeight w:val="216"/>
        </w:trPr>
        <w:tc>
          <w:tcPr>
            <w:tcW w:w="4620" w:type="dxa"/>
            <w:vAlign w:val="bottom"/>
            <w:gridSpan w:val="4"/>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139,386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ind w:right="120"/>
              <w:spacing w:after="0"/>
              <w:rPr>
                <w:sz w:val="20"/>
                <w:szCs w:val="20"/>
                <w:color w:val="auto"/>
              </w:rPr>
            </w:pPr>
            <w:r>
              <w:rPr>
                <w:rFonts w:ascii="Arial" w:cs="Arial" w:eastAsia="Arial" w:hAnsi="Arial"/>
                <w:sz w:val="18"/>
                <w:szCs w:val="18"/>
                <w:color w:val="auto"/>
              </w:rPr>
              <w:t>909,302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ind w:left="100"/>
              <w:spacing w:after="0"/>
              <w:rPr>
                <w:sz w:val="20"/>
                <w:szCs w:val="20"/>
                <w:color w:val="auto"/>
              </w:rPr>
            </w:pPr>
            <w:r>
              <w:rPr>
                <w:rFonts w:ascii="Arial" w:cs="Arial" w:eastAsia="Arial" w:hAnsi="Arial"/>
                <w:sz w:val="18"/>
                <w:szCs w:val="18"/>
                <w:color w:val="auto"/>
                <w:w w:val="90"/>
              </w:rPr>
              <w:t>96,880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489,993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8"/>
                <w:szCs w:val="18"/>
                <w:color w:val="auto"/>
                <w:w w:val="98"/>
              </w:rPr>
              <w:t>165,862</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(438,909)</w:t>
            </w:r>
          </w:p>
        </w:tc>
      </w:tr>
      <w:tr>
        <w:trPr>
          <w:trHeight w:val="202"/>
        </w:trPr>
        <w:tc>
          <w:tcPr>
            <w:tcW w:w="46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 Green Thumb Industries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w:t>
            </w:r>
          </w:p>
        </w:tc>
        <w:tc>
          <w:tcPr>
            <w:tcW w:w="3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1,639,408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909,301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306,999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8"/>
              </w:rPr>
              <w:t>165,861</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(642,161)</w:t>
            </w:r>
          </w:p>
        </w:tc>
      </w:tr>
      <w:tr>
        <w:trPr>
          <w:trHeight w:val="223"/>
        </w:trPr>
        <w:tc>
          <w:tcPr>
            <w:tcW w:w="300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1,778,794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1,818,603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403,879</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489,993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331,723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(1,081,070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3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3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9"/>
          </w:tcPr>
          <w:p>
            <w:pPr>
              <w:ind w:left="18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30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4"/>
          </w:tcPr>
          <w:p>
            <w:pPr>
              <w:ind w:left="40"/>
              <w:spacing w:after="0" w:line="142" w:lineRule="exact"/>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r>
      <w:tr>
        <w:trPr>
          <w:trHeight w:val="209"/>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$9,108,361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5"/>
              </w:rPr>
              <w:t>$7,945,931</w:t>
            </w:r>
          </w:p>
        </w:tc>
        <w:tc>
          <w:tcPr>
            <w:tcW w:w="94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w w:val="88"/>
              </w:rPr>
              <w:t>$4,082,719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8,088,991</w:t>
            </w:r>
          </w:p>
        </w:tc>
        <w:tc>
          <w:tcPr>
            <w:tcW w:w="122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$2,553,980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$ 1,683,945</w:t>
            </w:r>
          </w:p>
        </w:tc>
        <w:tc>
          <w:tcPr>
            <w:tcW w:w="120" w:type="dxa"/>
            <w:vAlign w:val="bottom"/>
            <w:shd w:val="clear" w:color="auto" w:fill="CCEEFF"/>
          </w:tcPr>
          <w:p>
            <w:pPr>
              <w:spacing w:after="0"/>
              <w:rPr>
                <w:sz w:val="18"/>
                <w:szCs w:val="18"/>
                <w:color w:val="auto"/>
              </w:rPr>
            </w:pPr>
          </w:p>
        </w:tc>
      </w:tr>
      <w:tr>
        <w:trPr>
          <w:trHeight w:val="216"/>
        </w:trPr>
        <w:tc>
          <w:tcPr>
            <w:tcW w:w="4620" w:type="dxa"/>
            <w:vAlign w:val="bottom"/>
            <w:gridSpan w:val="4"/>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180,795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ind w:right="120"/>
              <w:spacing w:after="0"/>
              <w:rPr>
                <w:sz w:val="20"/>
                <w:szCs w:val="20"/>
                <w:color w:val="auto"/>
              </w:rPr>
            </w:pPr>
            <w:r>
              <w:rPr>
                <w:rFonts w:ascii="Arial" w:cs="Arial" w:eastAsia="Arial" w:hAnsi="Arial"/>
                <w:sz w:val="18"/>
                <w:szCs w:val="18"/>
                <w:color w:val="auto"/>
              </w:rPr>
              <w:t>1,273,418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Arial" w:cs="Arial" w:eastAsia="Arial" w:hAnsi="Arial"/>
                <w:sz w:val="18"/>
                <w:szCs w:val="18"/>
                <w:color w:val="auto"/>
                <w:w w:val="92"/>
              </w:rPr>
              <w:t>134,059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437,152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8"/>
                <w:szCs w:val="18"/>
                <w:color w:val="auto"/>
                <w:w w:val="98"/>
              </w:rPr>
              <w:t>321,042</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(682,247)</w:t>
            </w:r>
          </w:p>
        </w:tc>
      </w:tr>
      <w:tr>
        <w:trPr>
          <w:trHeight w:val="202"/>
        </w:trPr>
        <w:tc>
          <w:tcPr>
            <w:tcW w:w="46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 Green Thumb Industries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w:t>
            </w:r>
          </w:p>
        </w:tc>
        <w:tc>
          <w:tcPr>
            <w:tcW w:w="3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2,778,471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1,273,418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366,372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971,880</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8"/>
              </w:rPr>
              <w:t>321,041</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(1,059,653)</w:t>
            </w:r>
          </w:p>
        </w:tc>
      </w:tr>
      <w:tr>
        <w:trPr>
          <w:trHeight w:val="223"/>
        </w:trPr>
        <w:tc>
          <w:tcPr>
            <w:tcW w:w="300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2,959,266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2,546,836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500,431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1,409,032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642,083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(1,741,900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3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As of June 30, 2020, and December 31, 2019, VIEs included in the Other Non-material VIEs are Bluepoint Wellness of Westport LLC and Meshow, LLC. As of June 30, 2019, VIEs included in the Other Non-material VIEs are Meshow, LLC, KW Ventures Holdings, LLC and Ohio Investors 2017, LLC.</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2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8"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Company operates in two segments: the cultivation, production and sale of cannabis products to retail stores (“Consumer Packaged Goods”) and retailing of cannabis to patients and consumers (“Retail”). The Company does not allocate operating expenses to these business units, nor does it allocate specific assets. Additionally, the Chief Operating Decision Maker does not review total assets or net income (loss) by segments; therefore, such information is not presented below.</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below table presents revenues by type for the three and six months ended June 30, 2020 and 2019:</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7"/>
          </w:tcPr>
          <w:p>
            <w:pPr>
              <w:jc w:val="right"/>
              <w:ind w:right="281"/>
              <w:spacing w:after="0"/>
              <w:rPr>
                <w:sz w:val="20"/>
                <w:szCs w:val="20"/>
                <w:color w:val="auto"/>
              </w:rPr>
            </w:pPr>
            <w:r>
              <w:rPr>
                <w:rFonts w:ascii="Arial" w:cs="Arial" w:eastAsia="Arial" w:hAnsi="Arial"/>
                <w:sz w:val="14"/>
                <w:szCs w:val="14"/>
                <w:b w:val="1"/>
                <w:bCs w:val="1"/>
                <w:color w:val="auto"/>
                <w:w w:val="96"/>
              </w:rPr>
              <w:t>Three Months Ended June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2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Revenues, Net of Discounts</w:t>
            </w: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Consumer Packaged Goods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56,331,517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88"/>
              </w:rPr>
              <w:t>23,063,374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102,653,545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36,558,111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87,541,572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1"/>
              <w:spacing w:after="0"/>
              <w:rPr>
                <w:sz w:val="20"/>
                <w:szCs w:val="20"/>
                <w:color w:val="auto"/>
              </w:rPr>
            </w:pPr>
            <w:r>
              <w:rPr>
                <w:rFonts w:ascii="Arial" w:cs="Arial" w:eastAsia="Arial" w:hAnsi="Arial"/>
                <w:sz w:val="18"/>
                <w:szCs w:val="18"/>
                <w:color w:val="auto"/>
                <w:w w:val="88"/>
              </w:rPr>
              <w:t>25,851,990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163,503,022</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41,969,358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2"/>
              </w:rPr>
              <w:t>(24,233,165)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3"/>
              </w:rPr>
              <w:t>(4,188,587)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(43,914,041)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(5,887,529)</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Total Revenues, net of discounts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119,639,924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44,726,777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222,242,526</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72,639,940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Consumer Packaged Goods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12,551,460</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1"/>
              <w:spacing w:after="0"/>
              <w:rPr>
                <w:sz w:val="20"/>
                <w:szCs w:val="20"/>
                <w:color w:val="auto"/>
              </w:rPr>
            </w:pPr>
            <w:r>
              <w:rPr>
                <w:rFonts w:ascii="Arial" w:cs="Arial" w:eastAsia="Arial" w:hAnsi="Arial"/>
                <w:sz w:val="18"/>
                <w:szCs w:val="18"/>
                <w:color w:val="auto"/>
                <w:w w:val="99"/>
              </w:rPr>
              <w:t>5,980,268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23,059,951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8,874,021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3,087,856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454,435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3,885,134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10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(1,399,403)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(80,958)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14,239,913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6,353,745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26,945,085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9,615,078</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Consumer Packaged Goods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6,398,000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461,000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10,625,000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8,980,715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1"/>
              <w:spacing w:after="0"/>
              <w:rPr>
                <w:sz w:val="20"/>
                <w:szCs w:val="20"/>
                <w:color w:val="auto"/>
              </w:rPr>
            </w:pPr>
            <w:r>
              <w:rPr>
                <w:rFonts w:ascii="Arial" w:cs="Arial" w:eastAsia="Arial" w:hAnsi="Arial"/>
                <w:sz w:val="18"/>
                <w:szCs w:val="18"/>
                <w:color w:val="auto"/>
                <w:w w:val="99"/>
              </w:rPr>
              <w:t>2,420,000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17,902,715</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3,900,000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 and Corporate</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3"/>
              </w:rPr>
              <w:t>(3,035,333)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(3,507,333)</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Total Income Taxes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15,378,715</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(154,333</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28,527,715</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1,081,667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Goodwill assigned to the Consumer Packaged Goods segment as of June 30, 2020 and December 31, 2019 was $252,016,532 and $255,211,232, respectively. Intangible assets, net assigned to the Consumer Packaged Goods segment as of June 30, 2020 and December 31, 2019 was $220,669,988 and $228,244,254, respectively.</w:t>
      </w:r>
    </w:p>
    <w:p>
      <w:pPr>
        <w:spacing w:after="0" w:line="184"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Goodwill assigned to the Retail segment as of June 30, 2020 and December 31, 2019 was $121,065,184 and $119,873,759, respectively. Intangible assets, net assigned to the Retail segment as of June 30, 2020 and December 31, 2019 was $198,516,819 and $207,002,644, respectively.</w:t>
      </w:r>
    </w:p>
    <w:p>
      <w:pPr>
        <w:spacing w:after="0" w:line="124"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Company’s assets are aggregated into two reportable segments (Retail and Consumer Packaged Goods). For the purposes of testing goodwill, Green Thumb has identified 22 reporting units. The Company determined its reporting units by first reviewing the operating segments based on the geographic areas in which Green Thumb conducts business (or each market). The markets were then further divided into reporting units based on the market operations (Retail and Consumer Packaged Goods) which were primarily determined based on the licenses each market holds. All revenues are derived from customers domiciled in the United States and all assets are located in the United States.</w:t>
      </w:r>
    </w:p>
    <w:p>
      <w:pPr>
        <w:spacing w:after="0" w:line="200" w:lineRule="exact"/>
        <w:rPr>
          <w:sz w:val="20"/>
          <w:szCs w:val="20"/>
          <w:color w:val="auto"/>
        </w:rPr>
      </w:pPr>
    </w:p>
    <w:p>
      <w:pPr>
        <w:spacing w:after="0" w:line="27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 DISCUSSION AND ANALYSIS OF FINANCIAL CONDITION AND RESULTS OF OPERATION</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This management discussion and analysis (“MD&amp;A”) of the financial condition and results of operations of Green Thumb Industries Inc. (the “Company” or “Green Thumb”) is for the three and six months ended June 30, 2020 and 2019. It is supplemental to, and should be read in conjunction with, the Company’s unaudited interim condensed consolidated financial statements as of June 30, 2020 and the consolidated financial statements for the year ended December 31, 2019 included in the Company’s Annual Report on Form 10-K for the year ended December 31, 2019 filed with the U.S. Securities Exchange Commission on April 15, 2019 (the “2019 Form 10-K”) and the accompanying notes for each respective periods. The Company’s financial statements are prepared in accordance with accounting principles generally accepted in the United States of America (“GAAP”). Financial information presented in this MD&amp;A is presented in United States dollars (“$” or “US$”), unless otherwise indicated.</w:t>
      </w:r>
    </w:p>
    <w:p>
      <w:pPr>
        <w:spacing w:after="0" w:line="166"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This MD&amp;A contains certain “forward-looking statements” and certain “forward-looking information” as defined under applicable United States securities laws. Please refer to the discussion of forward-looking statements and information set out under the heading “Cautionary Note Regarding Forward-Looking Information,” identified in the ‘‘Risks and Uncertainties’’ section of this MD&amp;A and in Part II, Item 1A, “Risk Factors.” As a result of many factors, the Company’s actual results may differ materially from those anticipated in these forward-looking statements and information.</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COVID-19 Considerations</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In March 2020, the World Health Organization categorized coronavirus disease 2019 (“COVID-19”) as a pandemic. COVID-19 continues to spread throughout the U.S. and other countries across the world, and the duration and severity of its effects are currently unknown. The Company continues to implement and evaluate actions to strengthen its financial position and support the continuity of its business and operations in the face of this pandemic and other events.</w:t>
      </w:r>
    </w:p>
    <w:p>
      <w:pPr>
        <w:spacing w:after="0" w:line="18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Company’s priorities during the COVID-19 pandemic are protecting the health and safety of its employees and its customers, following the recommended actions of government and health authorities. In the future, the pandemic may cause reduced demand for the Company’s products and services if, for example, the pandemic results in a recessionary economic environment or potential new restrictions on business operations or the movement of individuals. However, given the Company’s operations have to date been deemed essential services in the states in which it does business, the Company believes that there will continue to be strong demand for Green Thumb products.</w:t>
      </w:r>
    </w:p>
    <w:p>
      <w:pPr>
        <w:spacing w:after="0" w:line="176"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Operations of the Company are currently ongoing as the cultivation, processing and sale of cannabis products is currently considered an essential business by all states in which the Company operates with respect to all customers (except in Massachusetts where cannabis was deemed essential only for medical patients, leading to a state-wide suspension of sales of recreational cannabis from March 24, 2020 to May 25, 2020). The Company’s ability to continue to operate without any significant negative operational impact from the COVID-19 pandemic will in part depend on the Company’s ability to protect its employees, customers and supply chain and continued designation as “essential” in states where it does business that currently or in the future impose restrictions on business operations.</w:t>
      </w:r>
    </w:p>
    <w:p>
      <w:pPr>
        <w:spacing w:after="0" w:line="19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pandemic has not materially impacted the Company’s business operations or liquidity position to date. The Company continues to generate operating cash flows to meet its short-term liquidity needs. In all locations where applicable regulations have been enacted by governmental authorities, the Company has expanded consumer delivery options and curbside pickup to help further protect the health and safety of Green Thumb employees and customers.</w:t>
      </w:r>
    </w:p>
    <w:p>
      <w:pPr>
        <w:spacing w:after="0" w:line="18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While during the first six months of 2020, the Company’s revenue, gross profit and operating income were not negatively impacted by COVID-19 and the Company generally maintained the consistency of our operations, the uncertain nature of the spread of COVID-19 may impact its business operations for reasons including the potential quarantine of Green Thumb employees or those of its supply chain partners and continued designation as “essential” in states where we do business that currently or in the future impose restrictions on business operations.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For additional information on risk factors related to the pandemic or other risks that could impact Green Thumb’s results, please refer to “Risk Factors” in Part II, Item 1A of this Quarterly Report on Form 10-Q.</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THE COMPANY</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Established in 2014 and headquartered in Chicago, Illinois, Green Thumb is promoting well-being through the power of cannabis, while being committed to community and sustainable profitable growth. As of June 30, 2020, Green Thumb has operations across 12 U.S. markets, employs approximately 1,800 people and serves hundreds of thousands of patients and customers quarterly.</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Green Thumb’s core business is manufacturing, distributing and marketing a portfolio of owned cannabis consumer packaged goods brands (which we refer to as our Consumer Packaged Goods business), including Beboe, Dogwalkers, Dr. Solomon’s, incredibles, Rhythm and The Feel Collection. The Company distributes and markets these products primarily to third-party licensed retail cannabis stores across the United States as well as to Green Thumb-owned retail stores (which we refer to as our Retail business).</w:t>
      </w:r>
    </w:p>
    <w:p>
      <w:pPr>
        <w:spacing w:after="0" w:line="18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Company’s Consumer Packaged Goods portfolio is primarily generated from plant material that Green Thumb grows and processes itself, which we use to produce our consumer packaged goods in 13 manufacturing facilities. This portfolio consists of stock keeping units (“SKUs”) across a range of cannabis product categories, including flower, pre-rolls, concentrates, vape, capsules, tinctures, edibles, topicals and other cannabis-related products (none of which product categories are individually material to the Company). These Consumer Packaged Goods products are sold in over 700 retail locations, including Green Thumb’s own Rise and Essence dispensaries.</w:t>
      </w:r>
    </w:p>
    <w:p>
      <w:pPr>
        <w:spacing w:after="0" w:line="17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Green Thumb owns and operates a national cannabis retail chain called Rise, and in the Las Vegas, Nevada area, a chain of stores called Essence, which are relationship-centric retail experiences aimed to deliver a superior level of customer service through high-engagement consumer interaction, a consultative, transparent and education-forward selling approach and a consistently available assortment of cannabis products. In addition, we own stores under other names, primarily where we co-own the stores or naming is subject to licensing or similar restrictions. The income from Green Thumb retail stores is primarily from the sale of cannabis-related products, which includes the sale of Green Thumb produced products as well as those produced by third parties, with an immaterial (under 10%) portion of this income resulting from the sale of other merchandise (such as t-shirts and accessories for cannabis use). The Rise stores currently are located in eight of the states in which we operate (including Nevada). The Essence stores were acquired in connection with the 2019 acquisition of Integral Associates and are located in Nevada. The Essence stores differ from the Rise stores mainly in geographic location. As of June 30, 2020, the Company had 48 open and operating retail locations and expects to have 50 to 55 open stores at year-end. The Company’s new store opening plans will remain fluid depending on market conditions, obtaining local licensing, construction and other permissions and subject to the Company’s capital allocation plans and the evolving situation with respect to the COVID-19 as described above and under the heading “Liquidity, Financing Activities During the Period, and Capital Resources” below.</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Streams</w:t>
      </w:r>
    </w:p>
    <w:p>
      <w:pPr>
        <w:spacing w:after="0" w:line="121"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The Company has consolidated financial statements across its operating businesses with revenue from the manufacture, sale and distribution of branded cannabis products to third-party retail customers as well as the sale of finished products to consumers in its retail stores.</w:t>
      </w:r>
    </w:p>
    <w:p>
      <w:pPr>
        <w:spacing w:after="0" w:line="124"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As of June 30, 2020, Green Thumb has operating revenue in its 12 markets (California, Colorado, Connecticut, Florida, Illinois, Maryland, Massachusetts, Nevada, New Jersey, New York, Ohio and Pennsylvania).</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80"/>
          </w:cols>
          <w:pgMar w:left="32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Results of Operations – Consolidated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Company’s selected consolidated financial data for the periods, and as of the dates, indicated. The</w:t>
      </w:r>
    </w:p>
    <w:p>
      <w:pPr>
        <w:spacing w:after="0" w:line="23" w:lineRule="exact"/>
        <w:rPr>
          <w:sz w:val="20"/>
          <w:szCs w:val="20"/>
          <w:color w:val="auto"/>
        </w:rPr>
      </w:pPr>
    </w:p>
    <w:p>
      <w:pPr>
        <w:ind w:left="120" w:right="240" w:hanging="4"/>
        <w:spacing w:after="0" w:line="255" w:lineRule="auto"/>
        <w:tabs>
          <w:tab w:leader="none" w:pos="3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consolidated statements of operations for the three and six months ended June 30, 2020 and 2019 and (ii) consolidated balance sheet data as of June 30, 2020 and December 31, 2019 have been derived from, and should be read in conjunction with the unaudited interim condensed consolidated financial statements and accompanying notes presented in Item 1 of this Report.</w:t>
      </w:r>
    </w:p>
    <w:p>
      <w:pPr>
        <w:spacing w:after="0" w:line="190"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Company’s unaudited interim condensed consolidated financial statements have been prepared in accordance with U.S. Generally Accepted Accounting Principles (“GAAP”) and on a going-concern basis that contemplates continuity of operations and realization of assets and liquidation of liabilities in the ordinary course of business.</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6"/>
          </w:tcPr>
          <w:p>
            <w:pPr>
              <w:ind w:left="680"/>
              <w:spacing w:after="0"/>
              <w:rPr>
                <w:sz w:val="20"/>
                <w:szCs w:val="20"/>
                <w:color w:val="auto"/>
              </w:rPr>
            </w:pPr>
            <w:r>
              <w:rPr>
                <w:rFonts w:ascii="Arial" w:cs="Arial" w:eastAsia="Arial" w:hAnsi="Arial"/>
                <w:sz w:val="14"/>
                <w:szCs w:val="14"/>
                <w:color w:val="auto"/>
              </w:rPr>
              <w:t>As of and for the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28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 of discounts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119,639,924</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w w:val="91"/>
              </w:rPr>
              <w:t>$ 44,726,777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222,242,526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72,639,940</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Cost of Goods Sold</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(55,946,010)</w:t>
            </w:r>
          </w:p>
        </w:tc>
        <w:tc>
          <w:tcPr>
            <w:tcW w:w="1160" w:type="dxa"/>
            <w:vAlign w:val="bottom"/>
            <w:gridSpan w:val="2"/>
          </w:tcPr>
          <w:p>
            <w:pPr>
              <w:spacing w:after="0"/>
              <w:rPr>
                <w:sz w:val="20"/>
                <w:szCs w:val="20"/>
                <w:color w:val="auto"/>
              </w:rPr>
            </w:pPr>
            <w:r>
              <w:rPr>
                <w:rFonts w:ascii="Arial" w:cs="Arial" w:eastAsia="Arial" w:hAnsi="Arial"/>
                <w:sz w:val="18"/>
                <w:szCs w:val="18"/>
                <w:color w:val="auto"/>
              </w:rPr>
              <w:t>$(23,223,025)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(105,561,198)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(38,346,967)</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63,693,914</w:t>
            </w: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$ 21,503,752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116,681,328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34,292,973</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Total Expenses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49,643,211</w:t>
            </w:r>
          </w:p>
        </w:tc>
        <w:tc>
          <w:tcPr>
            <w:tcW w:w="1160" w:type="dxa"/>
            <w:vAlign w:val="bottom"/>
            <w:gridSpan w:val="2"/>
          </w:tcPr>
          <w:p>
            <w:pPr>
              <w:spacing w:after="0"/>
              <w:rPr>
                <w:sz w:val="20"/>
                <w:szCs w:val="20"/>
                <w:color w:val="auto"/>
              </w:rPr>
            </w:pPr>
            <w:r>
              <w:rPr>
                <w:rFonts w:ascii="Arial" w:cs="Arial" w:eastAsia="Arial" w:hAnsi="Arial"/>
                <w:sz w:val="18"/>
                <w:szCs w:val="18"/>
                <w:color w:val="auto"/>
              </w:rPr>
              <w:t>$ 30,830,482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95,077,968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57,249,363</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(10,435,925)</w:t>
            </w: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$(11,502,706)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(8,603,142)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(6,341,101)</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Net Income (Loss) Attributable to Green Thumb</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(12,909,505)</w:t>
            </w:r>
          </w:p>
        </w:tc>
        <w:tc>
          <w:tcPr>
            <w:tcW w:w="1160" w:type="dxa"/>
            <w:vAlign w:val="bottom"/>
            <w:gridSpan w:val="2"/>
          </w:tcPr>
          <w:p>
            <w:pPr>
              <w:spacing w:after="0"/>
              <w:rPr>
                <w:sz w:val="20"/>
                <w:szCs w:val="20"/>
                <w:color w:val="auto"/>
              </w:rPr>
            </w:pPr>
            <w:r>
              <w:rPr>
                <w:rFonts w:ascii="Arial" w:cs="Arial" w:eastAsia="Arial" w:hAnsi="Arial"/>
                <w:sz w:val="18"/>
                <w:szCs w:val="18"/>
                <w:color w:val="auto"/>
              </w:rPr>
              <w:t>$(20,892,049)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(17,115,769)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(30,455,105)</w:t>
            </w:r>
          </w:p>
        </w:tc>
      </w:tr>
    </w:tbl>
    <w:p>
      <w:pPr>
        <w:spacing w:after="0" w:line="206"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w:t>
            </w:r>
          </w:p>
        </w:tc>
        <w:tc>
          <w:tcPr>
            <w:tcW w:w="10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June 30, 2020</w:t>
            </w:r>
          </w:p>
        </w:tc>
        <w:tc>
          <w:tcPr>
            <w:tcW w:w="36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2019</w:t>
            </w:r>
          </w:p>
        </w:tc>
        <w:tc>
          <w:tcPr>
            <w:tcW w:w="40" w:type="dxa"/>
            <w:vAlign w:val="bottom"/>
          </w:tcPr>
          <w:p>
            <w:pPr>
              <w:spacing w:after="0"/>
              <w:rPr>
                <w:sz w:val="12"/>
                <w:szCs w:val="12"/>
                <w:color w:val="auto"/>
              </w:rPr>
            </w:pPr>
          </w:p>
        </w:tc>
      </w:tr>
      <w:tr>
        <w:trPr>
          <w:trHeight w:val="209"/>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1,240,721,129</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1,167,536,624</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255,877,816</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212,960,693</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 Months Ended June 30, 2020 vs 2019</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Revenues, net of Discounts</w:t>
      </w:r>
    </w:p>
    <w:p>
      <w:pPr>
        <w:spacing w:after="0" w:line="117"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Revenue for the three months ended June 30, 2020 was $119,639,924, up 167% from $44,726,777 for the three months ended June 30, 2019 driven by contributions from both Retail and Consumer Packaged Goods, largely due to growth in Illinois, and Pennsylvania. Key performance drivers are: increased store traffic to Green Thumb’s open and operating retail stores, particularly in Illinois and Pennsylvania. The Company generated revenue from 48 Retail locations during the quarter compared to 25 in the same quarter of the prior year. During the three months ended June 30, 2020, the Company opened 6 stores as compared to 6 stores opened and 4 stores acquired during the same period in 2019. Since June 30, 2019, the following stores were acquired and contributed to the increase in Retail revenues: one Connecticut store and three New York stores. Since June 30, 2019, the Company also opened 19 new Retail locations in Pennsylvania, Florida, Illinois, Ohio, Nevada, Connecticut, and New Jersey.</w:t>
      </w:r>
    </w:p>
    <w:p>
      <w:pPr>
        <w:spacing w:after="0" w:line="166"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key driver for the Consumer Packaged Goods revenue increase was the expansion of Green Thumb’s branded product portfolio to third-party retailers through the Company’s existing Consumer Packaged Goods cultivation and processing facilities in Illinois, Pennsylvania and Maryland due to increased scale and efficiency.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Goods Sold, net</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Cost of goods sold are derived from retail purchases made from other licensed producers operating within the Company’s state markets and costs related to the internal cultivation and production of cannabis. Cost of goods sold for the three months ended June 30, 2020 was $55,946,010, up 141% from $23,223,025 for the three months ended June 30, 2019 driven by increased volume in open and operating retail stores; new retail store openings in Illinois and Pennsylvania and expansion of the consumer products sales in Illinois, Pennsylvania and Maryland as described above.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Gross profit for the three months ended June 30, 2020 was $63,693,914, representing a gross margin on the sale of branded cannabis flower and processed and packaged products including concentrates, edibles, topicals and other cannabis products, of 53%. This is compared to gross profit for the three months ended June 30, 2019 of $21,503,752 or a 48% gross margin. The Company’s increase in gross margin percentage was mainly attributed to expanded capacity in the Company’s Consumer Packaged Goods segment. The increase in gross profit (dollars) was directly attributable to the revenue increase as described above.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120" w:right="620"/>
        <w:spacing w:after="0" w:line="342" w:lineRule="auto"/>
        <w:rPr>
          <w:sz w:val="20"/>
          <w:szCs w:val="20"/>
          <w:color w:val="auto"/>
        </w:rPr>
      </w:pPr>
      <w:r>
        <w:rPr>
          <w:rFonts w:ascii="Arial" w:cs="Arial" w:eastAsia="Arial" w:hAnsi="Arial"/>
          <w:sz w:val="16"/>
          <w:szCs w:val="16"/>
          <w:color w:val="auto"/>
        </w:rPr>
        <w:t>Total expenses for the three months ended June 30, 2020 were $49,643,211 or 41% of total revenues, net of discounts resulting in an increase of $18,812,729. Total expenses for the three months ended June 30, 2019 were $30,830,482 or 69% of total revenues, net of discounts.</w:t>
      </w:r>
    </w:p>
    <w:p>
      <w:pPr>
        <w:spacing w:after="0" w:line="12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increase in total expenses was attributable to Retail salaries and benefits, depreciation expense and other operational and facility expenses mainly as a result of the Company’s 23 new and acquired retail facilities over the prior year period. In addition, an increase in intangible amortization expense, corporate staff salaries and non-cash equity incentive compensation expense also contributed to the overall increase in total expenses. The reduction in expenses as a percent of revenue was attributable to measures deployed to control variable expenses as well as inherent operating leverage caused by the significant increase in revenue.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Other Income (Expense)</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Total other expense for three months ended June 30, 2020 was $(10,435,925), a decrease of $1,066,781, mainly due to favorable fair value adjustments recorded in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(Loss) Before Provision for Income Taxes and Non-Controlling Interest</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Net operating income before provision for income taxes and non-controlling interest for three months ended June 30, 2020 was $3,614,778, an increase of $24,444,214 compared to the three months ended June 30, 2019.</w:t>
      </w:r>
    </w:p>
    <w:p>
      <w:pPr>
        <w:spacing w:after="0" w:line="170"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As presented under the heading “Non-GAAP Measures” below, after adjusting for non-cash equity incentive compensation of $5,700,144 as well as other non-operating items, adjusted operating EBITDA was $35,412,711 and $2,284,983 for the three months ended June 30, 2020 and 2019,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Income tax expense is recognized based on the expected tax payable on the taxable income for the year, using tax rates enacted or substantively enacted at year-end. For the three months ended June 30, 2020, federal and state income tax expense totaled $15,378,715 compared to expense of $(154,333) for the three months ended June 30, 2019.</w:t>
      </w:r>
    </w:p>
    <w:p>
      <w:pPr>
        <w:spacing w:after="0" w:line="184"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The effective tax rate for the three months ended June 30, 2020 varies widely from the three months ended June 30, 2019 primarily due to the change from pre-tax loss in 2019 to pre-tax income in 2020. The large amount of nondeductible expenses incurred by the Company being subjected to Internal Revenue Code (“IRC”) Section 280E, was the driver for income tax expense being incurred in a pre-tax loss quarter for 2019.</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Six Months Ended June 30, 2020 vs 2019</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net of Discounts</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Revenue for the six months ended June 30, 2020 was $222,242,526 up 206% from $72,639,940 for the six months ended June 30, 2019 driven by contribution from both Retail and Consumer Packaged Goods largely due to growth in Illinois and Pennsylvania. Key performance drivers are: increased store traffic to Green Thumb’s open and operating retail stores, particularly in Illinois and Pennsylvania. The Company generated revenue from 48 Retail locations during the quarter compared to 25 in the prior year. During the six months ended June 30, 2020, the Company opened 9 stores as compared to 7 stores opened and 4 stores acquired during the same period in 2019. Since June 30, 2019, the following stores were acquired and contributed to the increase in Retail revenues: one Connecticut store and three New York stores. Since June 30, 2019, the Company also opened 19 new Retail locations in Pennsylvania, Florida, Illinois, Ohio, Nevada, Connecticut, and New Jersey.</w:t>
      </w:r>
    </w:p>
    <w:p>
      <w:pPr>
        <w:spacing w:after="0" w:line="177"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The key drivers for the Consumer Packaged Goods revenue increase was the expansion of Green Thumb’s branded product portfolio to third-party retailers through the Company’s existing Consumer Packaged Goods cultivation and processing facilities in Illinois, Pennsylvania, Nevada, Massachusetts and Connecticut due to increased scale and efficiency.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Goods Sold, net</w:t>
      </w:r>
    </w:p>
    <w:p>
      <w:pPr>
        <w:spacing w:after="0" w:line="117"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Cost of goods sold are derived from cost related to the internal cultivation and production of cannabis and from retail purchases made from other licensed producers operating within the Company’s state markets.</w:t>
      </w:r>
    </w:p>
    <w:p>
      <w:pPr>
        <w:spacing w:after="0" w:line="170" w:lineRule="exact"/>
        <w:rPr>
          <w:sz w:val="20"/>
          <w:szCs w:val="20"/>
          <w:color w:val="auto"/>
        </w:rPr>
      </w:pPr>
    </w:p>
    <w:p>
      <w:pPr>
        <w:jc w:val="both"/>
        <w:ind w:left="120" w:right="420"/>
        <w:spacing w:after="0" w:line="263" w:lineRule="auto"/>
        <w:rPr>
          <w:sz w:val="20"/>
          <w:szCs w:val="20"/>
          <w:color w:val="auto"/>
        </w:rPr>
      </w:pPr>
      <w:r>
        <w:rPr>
          <w:rFonts w:ascii="Arial" w:cs="Arial" w:eastAsia="Arial" w:hAnsi="Arial"/>
          <w:sz w:val="18"/>
          <w:szCs w:val="18"/>
          <w:color w:val="auto"/>
        </w:rPr>
        <w:t>Cost of goods sold for the six months ended June 30, 2020 was $105,561,198, up 175% from $38,346,967 for the six months ended June 30, 2019, driven by increased volume in open and operating retail stores; new retail store openings in Illinois, Pennsylvania and Nevada and expansion of the consumer products sales in Illinois, Pennsylvania, Nevada, Massachusetts and Connecticut.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Gross profit for the six months ended June 30, 2020 was $116,681,328, representing a gross margin on the sale of finished cannabis consumer packaged goods of 53%. This is compared to gross profit for the six months ended June 30, 2019 of $34,292,973 or a 47% gross margin. The Company’s increase in gross margin percentage was mainly attributed to expanded capacity in the Company’s Consumer Packaged Goods segment. The increase in gross profit (dollars) was directly attributable to the revenue increase as described above.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Total expenses for the six months ended June 30, 2020 were $95,077,968 or 43% of total revenues, net of discounts. Total expenses for the six months ended June 30, 2019 were $57,249,363 or 79% of Total Revenues, net of discounts.</w:t>
      </w:r>
    </w:p>
    <w:p>
      <w:pPr>
        <w:spacing w:after="0" w:line="170"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increase in total expenses was attributable to Retail salaries and benefits, depreciation expense and other operational and facility expenses mainly as a result of the Company’s new and acquired Retail facilities. In addition, an increase in intangible amortization expense, corporate staff salaries and non-cash equity incentive compensation expense also contributed to the overall increase in total expenses. The reduction in expenses as a percent of revenue was attributable to measures deployed to control variable expenses as well as inherent operating leverage caused by the significant increase in revenue.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Other Income (Expense)</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Total other expense for the six months ended June 30, 2020 was ($8,603,142), compared to expense of ($6,341,101), for the six months ended June 30, 2019, mainly due to favorable fair value adjustments recorded in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(Loss) Before Provision for Income Taxes and Non-Controlling Interest</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Net operating income before provision for income taxes and non-controlling interest for the six months ended June 30, 2020 was $13,000,218 compared to loss of ($29,297,491) for the six months ended June 30, 2019.</w:t>
      </w:r>
    </w:p>
    <w:p>
      <w:pPr>
        <w:spacing w:after="0" w:line="170"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As presented under the heading “Non-GAAP Measures” below, after adjusting for non-cash equity incentive compensation of $10,773,886 as described above, as well as other non-operating items, adjusted operating EBITDA was $60,957,635 and $168,938 for the six months ended June 30, 2020 and 2019,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Income tax expense is recognized based on the expected tax payable on the taxable income for the year, using tax rates enacted at year-end. For the six months ended June 30, 2020, federal and state income tax expense totaled $28,527,715 compared to $1,081,667 for the six months ended June 30, 2019.</w:t>
      </w:r>
    </w:p>
    <w:p>
      <w:pPr>
        <w:spacing w:after="0" w:line="124"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The net expense of $28,527,715 for the six months ended June 30, 2020 includes current tax expense of $29,120,715 and deferred tax benefit of $593,000 in the current period. The deferred tax benefit is mainly driven by changes in the fair value of investments and amortization of intangibles.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Results of Operation by Segment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revenues net of sales discounts by segment for the three months ended June 30, 2020 and 2019:</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6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restart"/>
          </w:tcPr>
          <w:p>
            <w:pPr>
              <w:jc w:val="right"/>
              <w:ind w:right="139"/>
              <w:spacing w:after="0"/>
              <w:rPr>
                <w:sz w:val="20"/>
                <w:szCs w:val="20"/>
                <w:color w:val="auto"/>
              </w:rPr>
            </w:pPr>
            <w:r>
              <w:rPr>
                <w:rFonts w:ascii="Arial" w:cs="Arial" w:eastAsia="Arial" w:hAnsi="Arial"/>
                <w:sz w:val="14"/>
                <w:szCs w:val="14"/>
                <w:color w:val="auto"/>
              </w:rPr>
              <w:t>$ Change</w:t>
            </w:r>
          </w:p>
        </w:tc>
        <w:tc>
          <w:tcPr>
            <w:tcW w:w="360" w:type="dxa"/>
            <w:vAlign w:val="bottom"/>
            <w:vMerge w:val="restart"/>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w w:val="91"/>
              </w:rPr>
              <w:t>% 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Consumer Packaged Goods</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$ 56,331,517</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$23,063,374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$ 33,268,143</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Retail</w:t>
            </w:r>
          </w:p>
        </w:tc>
        <w:tc>
          <w:tcPr>
            <w:tcW w:w="1360" w:type="dxa"/>
            <w:vAlign w:val="bottom"/>
            <w:gridSpan w:val="4"/>
          </w:tcPr>
          <w:p>
            <w:pPr>
              <w:jc w:val="right"/>
              <w:ind w:right="340"/>
              <w:spacing w:after="0"/>
              <w:rPr>
                <w:sz w:val="20"/>
                <w:szCs w:val="20"/>
                <w:color w:val="auto"/>
              </w:rPr>
            </w:pPr>
            <w:r>
              <w:rPr>
                <w:rFonts w:ascii="Arial" w:cs="Arial" w:eastAsia="Arial" w:hAnsi="Arial"/>
                <w:sz w:val="18"/>
                <w:szCs w:val="18"/>
                <w:color w:val="auto"/>
              </w:rPr>
              <w:t>87,541,572</w:t>
            </w:r>
          </w:p>
        </w:tc>
        <w:tc>
          <w:tcPr>
            <w:tcW w:w="1140" w:type="dxa"/>
            <w:vAlign w:val="bottom"/>
            <w:gridSpan w:val="4"/>
          </w:tcPr>
          <w:p>
            <w:pPr>
              <w:jc w:val="right"/>
              <w:ind w:right="200"/>
              <w:spacing w:after="0"/>
              <w:rPr>
                <w:sz w:val="20"/>
                <w:szCs w:val="20"/>
                <w:color w:val="auto"/>
              </w:rPr>
            </w:pPr>
            <w:r>
              <w:rPr>
                <w:rFonts w:ascii="Arial" w:cs="Arial" w:eastAsia="Arial" w:hAnsi="Arial"/>
                <w:sz w:val="18"/>
                <w:szCs w:val="18"/>
                <w:color w:val="auto"/>
              </w:rPr>
              <w:t>25,851,990</w:t>
            </w:r>
          </w:p>
        </w:tc>
        <w:tc>
          <w:tcPr>
            <w:tcW w:w="1520" w:type="dxa"/>
            <w:vAlign w:val="bottom"/>
            <w:gridSpan w:val="4"/>
          </w:tcPr>
          <w:p>
            <w:pPr>
              <w:jc w:val="right"/>
              <w:ind w:right="360"/>
              <w:spacing w:after="0"/>
              <w:rPr>
                <w:sz w:val="20"/>
                <w:szCs w:val="20"/>
                <w:color w:val="auto"/>
              </w:rPr>
            </w:pPr>
            <w:r>
              <w:rPr>
                <w:rFonts w:ascii="Arial" w:cs="Arial" w:eastAsia="Arial" w:hAnsi="Arial"/>
                <w:sz w:val="18"/>
                <w:szCs w:val="18"/>
                <w:color w:val="auto"/>
              </w:rPr>
              <w:t>61,689,582</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9"/>
              </w:rPr>
              <w:t>(24,233,165)</w:t>
            </w:r>
          </w:p>
        </w:tc>
        <w:tc>
          <w:tcPr>
            <w:tcW w:w="11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(4,188,587)</w:t>
            </w:r>
          </w:p>
        </w:tc>
        <w:tc>
          <w:tcPr>
            <w:tcW w:w="15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(20,044,578)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Revenues, Net of Discounts</w:t>
            </w:r>
          </w:p>
        </w:tc>
        <w:tc>
          <w:tcPr>
            <w:tcW w:w="4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119,639,924</w:t>
            </w:r>
          </w:p>
        </w:tc>
        <w:tc>
          <w:tcPr>
            <w:tcW w:w="34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44,726,777</w:t>
            </w:r>
          </w:p>
        </w:tc>
        <w:tc>
          <w:tcPr>
            <w:tcW w:w="20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91"/>
              </w:rPr>
              <w:t>$ 74,913,147</w:t>
            </w:r>
          </w:p>
        </w:tc>
        <w:tc>
          <w:tcPr>
            <w:tcW w:w="360" w:type="dxa"/>
            <w:vAlign w:val="bottom"/>
            <w:vMerge w:val="continue"/>
          </w:tcPr>
          <w:p>
            <w:pPr>
              <w:spacing w:after="0"/>
              <w:rPr>
                <w:sz w:val="19"/>
                <w:szCs w:val="19"/>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b w:val="1"/>
                <w:bCs w:val="1"/>
                <w:color w:val="auto"/>
              </w:rPr>
              <w:t>167%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6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vMerge w:val="restart"/>
          </w:tcPr>
          <w:p>
            <w:pPr>
              <w:jc w:val="right"/>
              <w:ind w:right="159"/>
              <w:spacing w:after="0"/>
              <w:rPr>
                <w:sz w:val="20"/>
                <w:szCs w:val="20"/>
                <w:color w:val="auto"/>
              </w:rPr>
            </w:pPr>
            <w:r>
              <w:rPr>
                <w:rFonts w:ascii="Arial" w:cs="Arial" w:eastAsia="Arial" w:hAnsi="Arial"/>
                <w:sz w:val="14"/>
                <w:szCs w:val="14"/>
                <w:color w:val="auto"/>
              </w:rPr>
              <w:t>$ Change</w:t>
            </w:r>
          </w:p>
        </w:tc>
        <w:tc>
          <w:tcPr>
            <w:tcW w:w="360" w:type="dxa"/>
            <w:vAlign w:val="bottom"/>
            <w:vMerge w:val="restart"/>
          </w:tcPr>
          <w:p>
            <w:pPr>
              <w:spacing w:after="0"/>
              <w:rPr>
                <w:sz w:val="24"/>
                <w:szCs w:val="2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w w:val="91"/>
              </w:rPr>
              <w:t>% Change</w:t>
            </w:r>
          </w:p>
        </w:tc>
        <w:tc>
          <w:tcPr>
            <w:tcW w:w="2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26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279"/>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36"/>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Consumer Packaged Goods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$102,653,545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$36,558,111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$ 66,095,434</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Retail</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7"/>
              </w:rPr>
              <w:t>163,503,022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41,969,358</w:t>
            </w:r>
          </w:p>
        </w:tc>
        <w:tc>
          <w:tcPr>
            <w:tcW w:w="200" w:type="dxa"/>
            <w:vAlign w:val="bottom"/>
          </w:tcPr>
          <w:p>
            <w:pPr>
              <w:spacing w:after="0"/>
              <w:rPr>
                <w:sz w:val="18"/>
                <w:szCs w:val="18"/>
                <w:color w:val="auto"/>
              </w:rPr>
            </w:pPr>
          </w:p>
        </w:tc>
        <w:tc>
          <w:tcPr>
            <w:tcW w:w="1520" w:type="dxa"/>
            <w:vAlign w:val="bottom"/>
            <w:gridSpan w:val="4"/>
          </w:tcPr>
          <w:p>
            <w:pPr>
              <w:jc w:val="right"/>
              <w:ind w:right="360"/>
              <w:spacing w:after="0"/>
              <w:rPr>
                <w:sz w:val="20"/>
                <w:szCs w:val="20"/>
                <w:color w:val="auto"/>
              </w:rPr>
            </w:pPr>
            <w:r>
              <w:rPr>
                <w:rFonts w:ascii="Arial" w:cs="Arial" w:eastAsia="Arial" w:hAnsi="Arial"/>
                <w:sz w:val="18"/>
                <w:szCs w:val="18"/>
                <w:color w:val="auto"/>
              </w:rPr>
              <w:t>121,533,664</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13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(43,914,041)</w:t>
            </w:r>
          </w:p>
        </w:tc>
        <w:tc>
          <w:tcPr>
            <w:tcW w:w="11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(5,887,529)</w:t>
            </w:r>
          </w:p>
        </w:tc>
        <w:tc>
          <w:tcPr>
            <w:tcW w:w="15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(38,026,512)</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Revenues, Net of Discounts</w:t>
            </w:r>
          </w:p>
        </w:tc>
        <w:tc>
          <w:tcPr>
            <w:tcW w:w="100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222,242,526</w:t>
            </w:r>
          </w:p>
        </w:tc>
        <w:tc>
          <w:tcPr>
            <w:tcW w:w="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72,639,940</w:t>
            </w:r>
          </w:p>
        </w:tc>
        <w:tc>
          <w:tcPr>
            <w:tcW w:w="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149,602,586</w:t>
            </w:r>
          </w:p>
        </w:tc>
        <w:tc>
          <w:tcPr>
            <w:tcW w:w="360" w:type="dxa"/>
            <w:vAlign w:val="bottom"/>
            <w:vMerge w:val="continue"/>
          </w:tcPr>
          <w:p>
            <w:pPr>
              <w:spacing w:after="0"/>
              <w:rPr>
                <w:sz w:val="19"/>
                <w:szCs w:val="19"/>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b w:val="1"/>
                <w:bCs w:val="1"/>
                <w:color w:val="auto"/>
              </w:rPr>
              <w:t>206%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n.m. </w:t>
      </w:r>
      <w:r>
        <w:rPr>
          <w:rFonts w:ascii="Arial" w:cs="Arial" w:eastAsia="Arial" w:hAnsi="Arial"/>
          <w:sz w:val="18"/>
          <w:szCs w:val="18"/>
          <w:i w:val="1"/>
          <w:iCs w:val="1"/>
          <w:color w:val="auto"/>
        </w:rPr>
        <w:t>–</w:t>
      </w:r>
      <w:r>
        <w:rPr>
          <w:rFonts w:ascii="Arial" w:cs="Arial" w:eastAsia="Arial" w:hAnsi="Arial"/>
          <w:sz w:val="18"/>
          <w:szCs w:val="18"/>
          <w:color w:val="auto"/>
        </w:rPr>
        <w:t xml:space="preserve"> not meaningful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 Months Ended June 30, 2020 vs 2019</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Revenues, net of discounts for the Retail segment were $87,541,572, an increase of $61,689,582 or 239%, compared to the three months ended June 30, 2019. The increase in Retail revenues, net of discounts, was primarily driven by legalization of adult-use in Illinois on January 1, 2020 as well as new store openings particularly in Illinois and Pennsylvania.</w:t>
      </w:r>
    </w:p>
    <w:p>
      <w:pPr>
        <w:spacing w:after="0" w:line="18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Revenues, net of discounts for the Consumer Packaged Goods Segment were $56,331,517, an increase of $33,268,143 or 144%, compared to the three months ended June 30, 2019. The increase in Consumer Packaged Goods revenues, net of discounts, was primarily driven by the legalization of adult-use of cannabis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Illinois on January 1, 2020, as well as increased sales volume in established markets such as Pennsylvania and Maryland.</w:t>
      </w:r>
    </w:p>
    <w:p>
      <w:pPr>
        <w:spacing w:after="0" w:line="225"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Six Months Ended June 30, 2020 vs 2019</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Revenues, net of discounts for the Retail Segment were $163,503,022, an increase of $121,533,664 or 290%, compared to the six months ended June 30, 2019. The increase in Retail revenues, net of discounts, was primarily driven by legalization of adult-use in Illinois on January 1, 2020 as well as new store openings particularly in Illinois and Pennsylvania, and the acquisition of the Essence stores in Nevada in June 2019.</w:t>
      </w:r>
    </w:p>
    <w:p>
      <w:pPr>
        <w:spacing w:after="0" w:line="165"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Revenues, net of discounts for the Consumer Packaged Goods Segment were $102,653,545, an increase of $66,095,434 or 181%, compared to the six months ended June 30, 2019. The increase in Consumer Packaged Goods revenues, net of discounts, was primarily driven by the legalization of adult-use of cannabis in Illinois on January 1, 2020, increased sales volume in established markets such as Pennsylvania, Massachusetts and Maryland and the acquisition of Desert Grown Farms and Cannabiotix in Nevada in June 2019.</w:t>
      </w:r>
    </w:p>
    <w:p>
      <w:pPr>
        <w:spacing w:after="0" w:line="171"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Drivers of 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The Company derives its revenue from two revenue streams: a Consumer Packaged Goods business in which it manufactures, sells and distributes its portfolio of consumer packaged goods, including brands Rythm, Dogwalkers, The Feel Collection and Beboe, among others, primarily to third-party retail customers; and a Retail business in which it sells finished goods sourced primarily from third-party cannabis manufacturers in addition to the Company’s own Consumer Packaged Goods products direct to the end consumer in its retail stores, as well as direct-to-consumer delivery where applicable by state law.</w:t>
      </w:r>
    </w:p>
    <w:p>
      <w:pPr>
        <w:spacing w:after="0" w:line="188"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For the six months ended June 30, 2020, revenue was contributed from Consumer Packaged Goods and Retail sales across all twelve markets, which include California, Colorado, Connecticut, Florida, Illinois, Maryland, Massachusetts, Nevada, New Jersey, New York, Ohio and Pennsylvania.</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Gross profit is revenue less cost of goods sold. Cost of goods sold includes the costs directly attributable to product sales and includes amounts paid for finished goods, such as flower, edibles, and concentrates, as well as 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the Company’s gross profit as a percentage of revenue.</w:t>
      </w:r>
    </w:p>
    <w:p>
      <w:pPr>
        <w:spacing w:after="0" w:line="176"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Over the six months ended June 30, 2020, the Company continued to be focused on executing sustainable, profitable growth of the Company’s business while pursuing expansion. Green Thumb expects to continue its growth strategy for the foreseeable future as the Company expands its Consumer Packaged Goods and Retail footprint within its current markets, subject to the Company’s capital allocation plans and the evolving situation with respect to the impact of COVID-19.</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Total expenses other than the cost of goods sold consist of selling costs to support customer relationships and marketing and branding activities. It also includes a significant investment in the corporate infrastructure required to support the Company’s ongoing business.</w:t>
      </w:r>
    </w:p>
    <w:p>
      <w:pPr>
        <w:spacing w:after="0" w:line="170"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Retail selling costs generally correlate to revenue. As new locations begin operations, these locations generally experience higher selling costs as a percentage of revenue compared to more established locations, which experience a more constant rate of selling costs. As a percentage of sales, the Company expects selling costs to remain constant in the more established locations and increase in the newer locations as business continues to grow.</w:t>
      </w:r>
    </w:p>
    <w:p>
      <w:pPr>
        <w:spacing w:after="0" w:line="149"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General and administrative expenses also include costs incurred at the Company’s corporate offices, primarily related to back office personnel costs, including salaries, incentive compensation, benefits, stock-based compensation and other professional service costs. The Company expects to continue to invest considerably in this area to support aggressive expansion plans and to support the business by attracting and retaining top-tier talent. Furthermore, the Company anticipates an increase in stock compensation expenses related to recruiting and hiring talent, along with legal and professional fees associated with being publicly traded in Canada and a U.S. Securities Exchange Commission registrant.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federally illegal cannabis industry, it is subject to the limitations of IRC Section 280E under which taxpayers are only allowed to deduct expenses directly related to sales of product. This results in permanent differences between ordinary and necessary business expenses deemed non-allowable under IRC Section 280E and a higher effective tax rate than most industries. Therefore, the effective tax rate can be highly variable and may not necessarily correlate to pre-tax income or loss.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EBITDA, Adjusted Operating EBITDA, and Adjusted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23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Borders>
              <w:top w:val="single" w:sz="8" w:color="auto"/>
              <w:bottom w:val="single" w:sz="8" w:color="auto"/>
            </w:tcBorders>
            <w:gridSpan w:val="6"/>
          </w:tcPr>
          <w:p>
            <w:pPr>
              <w:jc w:val="right"/>
              <w:ind w:right="792"/>
              <w:spacing w:after="0" w:line="142" w:lineRule="exact"/>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2"/>
                <w:szCs w:val="12"/>
                <w:color w:val="auto"/>
              </w:rPr>
            </w:pPr>
          </w:p>
        </w:tc>
        <w:tc>
          <w:tcPr>
            <w:tcW w:w="138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June 30,</w:t>
            </w:r>
          </w:p>
        </w:tc>
        <w:tc>
          <w:tcPr>
            <w:tcW w:w="8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Before Non-Controlling Interest</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$(11,763,937)</w:t>
            </w:r>
          </w:p>
        </w:tc>
        <w:tc>
          <w:tcPr>
            <w:tcW w:w="1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(20,675,103)</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$(15,527,497)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(30,379,158)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Interest Income</w:t>
            </w:r>
          </w:p>
        </w:tc>
        <w:tc>
          <w:tcPr>
            <w:tcW w:w="1140" w:type="dxa"/>
            <w:vAlign w:val="bottom"/>
            <w:gridSpan w:val="4"/>
          </w:tcPr>
          <w:p>
            <w:pPr>
              <w:jc w:val="right"/>
              <w:ind w:right="120"/>
              <w:spacing w:after="0"/>
              <w:rPr>
                <w:sz w:val="20"/>
                <w:szCs w:val="20"/>
                <w:color w:val="auto"/>
              </w:rPr>
            </w:pPr>
            <w:r>
              <w:rPr>
                <w:rFonts w:ascii="Arial" w:cs="Arial" w:eastAsia="Arial" w:hAnsi="Arial"/>
                <w:sz w:val="18"/>
                <w:szCs w:val="18"/>
                <w:color w:val="auto"/>
              </w:rPr>
              <w:t>(16,410)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(535,894)</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(104,525)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(892,724)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4,734,908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5,398,054</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9,776,350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5,849,932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15,378,715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(154,333)</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28,527,715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1,081,667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5,717,427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6,640,546</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(1,068,683)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1,383,893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14,239,915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6,251,970</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26,945,085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9,513,303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Earnings before interest, taxes, depreciation and amortization</w:t>
            </w:r>
          </w:p>
        </w:tc>
        <w:tc>
          <w:tcPr>
            <w:tcW w:w="2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(EBITDA) (non-GAAP measure)</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9"/>
              </w:rPr>
              <w:t>$ 28,290,618</w:t>
            </w:r>
          </w:p>
        </w:tc>
        <w:tc>
          <w:tcPr>
            <w:tcW w:w="1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(3,074,760)</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1"/>
              </w:rPr>
              <w:t>$ 48,548,445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0"/>
              </w:rPr>
              <w:t>(13,443,087)</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Stock-based compensation, non-cash</w:t>
            </w:r>
          </w:p>
        </w:tc>
        <w:tc>
          <w:tcPr>
            <w:tcW w:w="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5,700,144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3,915,188</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10,773,886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9,759,988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Acquisition, transaction and other non-operating costs</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1,421,949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1,444,555</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1,635,304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3,852,037</w:t>
            </w: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EBITDA (non-GAAP measure)</w:t>
            </w:r>
          </w:p>
        </w:tc>
        <w:tc>
          <w:tcPr>
            <w:tcW w:w="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$ 35,412,711</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2,284,983</w:t>
            </w:r>
          </w:p>
        </w:tc>
        <w:tc>
          <w:tcPr>
            <w:tcW w:w="3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$ 60,957,635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Financing Activities During the Period, and Capital Resources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As of June 30, 2020, and December 31, 2019 the Company had total current liabilities of $133,444,995 and $111,367,255, respectively, and cash and cash equivalents of $82,942,672 and $46,667,334, respectively to meet its current obligations. The Company had working capital of $19,201,585 as of June 30, 2020, an increase of $21,506,229 as compared to December 31, 2019. This increase in working capital was primarily driven by the $43,838,166 increase in revenue experienced in the second quarter of 2020 over the fourth quarter of 2019 and the corresponding working capital impact from this increase. The Company’s quarterly results were driven by organic growth across the Company’s Consumer Packaged Goods and Retail businesses, particularly in Illinois following the commencement of adult use sales on January 1, 2020, and in Pennsylvania along with the settlement of certain contingent consideration during the quarter.</w:t>
      </w:r>
    </w:p>
    <w:p>
      <w:pPr>
        <w:spacing w:after="0" w:line="195"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In the first six months of 2020, Green Thumb generated revenue from all 12 of its markets: California, Colorado, Connecticut, Florida, Illinois, Maryland, Massachusetts, Nevada, New Jersey, New York, Ohio and Pennsylvania. The Company’s Consumer Packaged Goods revenue grew approximately 20% net of intersegment sales during the three months ended June 30, 2020 as compared to the three months ended March 31, 2020. As of June 30, 2020, Green Thumb’s branded products were sold in over 700 retail stores, including the Company’s Rise and Essence retail stores. The Company’s Retail gross revenue increased 15% during the three months ended June 30, 2020 as compared to the three months ended March 31, 2020, primarily driven by increased transaction activity across the Company’s 48 retail store footprint, which includes two retail stores opened in Illinois and the one retail store opened in Pennsylvania during the quarter.</w:t>
      </w:r>
    </w:p>
    <w:p>
      <w:pPr>
        <w:spacing w:after="0" w:line="177" w:lineRule="exact"/>
        <w:rPr>
          <w:sz w:val="20"/>
          <w:szCs w:val="20"/>
          <w:color w:val="auto"/>
        </w:rPr>
      </w:pPr>
    </w:p>
    <w:p>
      <w:pPr>
        <w:jc w:val="both"/>
        <w:ind w:left="120" w:right="280"/>
        <w:spacing w:after="0" w:line="311" w:lineRule="auto"/>
        <w:rPr>
          <w:sz w:val="20"/>
          <w:szCs w:val="20"/>
          <w:color w:val="auto"/>
        </w:rPr>
      </w:pPr>
      <w:r>
        <w:rPr>
          <w:rFonts w:ascii="Arial" w:cs="Arial" w:eastAsia="Arial" w:hAnsi="Arial"/>
          <w:sz w:val="16"/>
          <w:szCs w:val="16"/>
          <w:color w:val="auto"/>
        </w:rPr>
        <w:t>The Company is an early-stage growth company, which is generating cash from revenues and is deploying its capital reserves to acquire and develop assets capable of producing additional revenues and earnings over both the immediate and near term. Capital reserves are primarily being utilized for capital expenditures, facility improvements, product development and marketing, as well as customer, supplier and investor and industry relations.</w:t>
      </w:r>
    </w:p>
    <w:p>
      <w:pPr>
        <w:spacing w:after="0" w:line="14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While the Company’s revenue, gross profit and operating income were not materially impacted by COVID-19 and we maintained the consistency of our operations during the first and second quarter of 2020, the uncertain nature of the spread of COVID-19 may impact the Company’s business operations for reasons including the potential quarantine of Green Thumb employees or those of the Company’s supply chain partners and continued designation as “essential” in states where the Company does business that currently or in the future impose restrictions on business operations. The Company takes a cautious approach in allocating its capital to maximize its returns while ensuring appropriate liquidity. Given the current uncertainty of the future economic environment, the Company has taken additional measures in monitoring and deploying its capital to minimize the negative impact on its current operations and expansion plans.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cash used in operating activities for the six months ended June 30, 2020 and 2019, were as follows:</w:t>
      </w:r>
    </w:p>
    <w:p>
      <w:pPr>
        <w:spacing w:after="0" w:line="244" w:lineRule="exact"/>
        <w:rPr>
          <w:sz w:val="20"/>
          <w:szCs w:val="20"/>
          <w:color w:val="auto"/>
        </w:rPr>
      </w:pPr>
    </w:p>
    <w:p>
      <w:pPr>
        <w:jc w:val="center"/>
        <w:ind w:left="54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6350</wp:posOffset>
            </wp:positionV>
            <wp:extent cx="1714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ind w:left="7440"/>
        <w:spacing w:after="0"/>
        <w:tabs>
          <w:tab w:leader="none" w:pos="89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-635</wp:posOffset>
            </wp:positionV>
            <wp:extent cx="5314950"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ind w:left="1440"/>
        <w:spacing w:after="0"/>
        <w:tabs>
          <w:tab w:leader="none" w:pos="6980" w:val="left"/>
          <w:tab w:leader="none" w:pos="7340" w:val="left"/>
          <w:tab w:leader="none" w:pos="8500" w:val="left"/>
          <w:tab w:leader="none" w:pos="8900" w:val="left"/>
        </w:tabs>
        <w:rPr>
          <w:sz w:val="20"/>
          <w:szCs w:val="20"/>
          <w:color w:val="auto"/>
        </w:rPr>
      </w:pPr>
      <w:r>
        <w:rPr>
          <w:rFonts w:ascii="Arial" w:cs="Arial" w:eastAsia="Arial" w:hAnsi="Arial"/>
          <w:sz w:val="18"/>
          <w:szCs w:val="18"/>
          <w:color w:val="auto"/>
        </w:rPr>
        <w:t>Net Cash provided by (used in) Operating Activities</w:t>
      </w:r>
      <w:r>
        <w:rPr>
          <w:sz w:val="20"/>
          <w:szCs w:val="20"/>
          <w:color w:val="auto"/>
        </w:rPr>
        <w:tab/>
      </w:r>
      <w:r>
        <w:rPr>
          <w:rFonts w:ascii="Arial" w:cs="Arial" w:eastAsia="Arial" w:hAnsi="Arial"/>
          <w:sz w:val="18"/>
          <w:szCs w:val="18"/>
          <w:color w:val="auto"/>
        </w:rPr>
        <w:t>$</w:t>
        <w:tab/>
        <w:t>60,250,326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(4,874,188)</w:t>
      </w:r>
    </w:p>
    <w:p>
      <w:pPr>
        <w:spacing w:after="0" w:line="33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 from Investing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cash used in investing activities for the six months ended June 30, 2020 and 2019, were as follows:</w:t>
      </w:r>
    </w:p>
    <w:p>
      <w:pPr>
        <w:spacing w:after="0" w:line="244" w:lineRule="exact"/>
        <w:rPr>
          <w:sz w:val="20"/>
          <w:szCs w:val="20"/>
          <w:color w:val="auto"/>
        </w:rPr>
      </w:pPr>
    </w:p>
    <w:p>
      <w:pPr>
        <w:jc w:val="center"/>
        <w:ind w:left="54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6350</wp:posOffset>
            </wp:positionV>
            <wp:extent cx="17145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ind w:left="7440"/>
        <w:spacing w:after="0"/>
        <w:tabs>
          <w:tab w:leader="none" w:pos="89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tbl>
      <w:tblPr>
        <w:tblLayout w:type="fixed"/>
        <w:tblInd w:w="1440" w:type="dxa"/>
        <w:tblCellMar>
          <w:top w:w="0" w:type="dxa"/>
          <w:left w:w="0" w:type="dxa"/>
          <w:bottom w:w="0" w:type="dxa"/>
          <w:right w:w="0" w:type="dxa"/>
        </w:tblCellMar>
      </w:tblPr>
      <w:tr>
        <w:trPr>
          <w:trHeight w:val="209"/>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(22,234,932)</w:t>
            </w:r>
          </w:p>
        </w:tc>
        <w:tc>
          <w:tcPr>
            <w:tcW w:w="3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(100,097,530)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 from Financing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cash (used in) provided by financing activities for the six months ended June 30, 2020 and 2019, were as follows:</w:t>
      </w:r>
    </w:p>
    <w:p>
      <w:pPr>
        <w:spacing w:after="0" w:line="244" w:lineRule="exact"/>
        <w:rPr>
          <w:sz w:val="20"/>
          <w:szCs w:val="20"/>
          <w:color w:val="auto"/>
        </w:rPr>
      </w:pPr>
    </w:p>
    <w:p>
      <w:pPr>
        <w:jc w:val="center"/>
        <w:ind w:left="556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6350</wp:posOffset>
            </wp:positionV>
            <wp:extent cx="17056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ind w:left="7520"/>
        <w:spacing w:after="0"/>
        <w:tabs>
          <w:tab w:leader="none" w:pos="90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-635</wp:posOffset>
            </wp:positionV>
            <wp:extent cx="531495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14950" cy="146050"/>
                    </a:xfrm>
                    <a:prstGeom prst="rect">
                      <a:avLst/>
                    </a:prstGeom>
                    <a:noFill/>
                  </pic:spPr>
                </pic:pic>
              </a:graphicData>
            </a:graphic>
          </wp:anchor>
        </w:drawing>
      </w:r>
    </w:p>
    <w:p>
      <w:pPr>
        <w:ind w:left="1440"/>
        <w:spacing w:after="0"/>
        <w:tabs>
          <w:tab w:leader="none" w:pos="7040" w:val="left"/>
          <w:tab w:leader="none" w:pos="7440" w:val="left"/>
          <w:tab w:leader="none" w:pos="8560" w:val="left"/>
          <w:tab w:leader="none" w:pos="8920" w:val="left"/>
        </w:tabs>
        <w:rPr>
          <w:sz w:val="20"/>
          <w:szCs w:val="20"/>
          <w:color w:val="auto"/>
        </w:rPr>
      </w:pPr>
      <w:r>
        <w:rPr>
          <w:rFonts w:ascii="Arial" w:cs="Arial" w:eastAsia="Arial" w:hAnsi="Arial"/>
          <w:sz w:val="18"/>
          <w:szCs w:val="18"/>
          <w:color w:val="auto"/>
        </w:rPr>
        <w:t>Net Cash (used in) provided by Financing Activities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(1,740,056)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94,745,072</w:t>
      </w:r>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Cash Obligations and Other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quantifies the Company’s future contractual obligations as of June 30,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1140" w:type="dxa"/>
            <w:vAlign w:val="bottom"/>
            <w:gridSpan w:val="3"/>
          </w:tcPr>
          <w:p>
            <w:pPr>
              <w:ind w:left="3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1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Thereafter</w:t>
            </w:r>
          </w:p>
        </w:tc>
      </w:tr>
      <w:tr>
        <w:trPr>
          <w:trHeight w:val="210"/>
        </w:trPr>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w:t>
            </w:r>
            <w:r>
              <w:rPr>
                <w:rFonts w:ascii="Arial" w:cs="Arial" w:eastAsia="Arial" w:hAnsi="Arial"/>
                <w:sz w:val="15"/>
                <w:szCs w:val="15"/>
                <w:color w:val="auto"/>
              </w:rPr>
              <w:t>(a)</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$105,466,429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$105,466,429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Charitable Contributions</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809,887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183,918</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187,942</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192,054</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196,256</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49,717</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Mortgage Payable</w:t>
            </w:r>
            <w:r>
              <w:rPr>
                <w:rFonts w:ascii="Arial" w:cs="Arial" w:eastAsia="Arial" w:hAnsi="Arial"/>
                <w:sz w:val="15"/>
                <w:szCs w:val="15"/>
                <w:color w:val="auto"/>
              </w:rPr>
              <w:t>(b)</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1,814,000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82,907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87,209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91,734</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96,285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101,490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1,354,375</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Interest Due on Notes Payable</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36,615,633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6,310,649</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12,655,971</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12,655,971</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4,993,041</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Interest Due on Mortgage Payable</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780,475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45,677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87,928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83,516</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78,874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74,207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410,273</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Operating Leases—Third Party</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279,478,764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9,508,748</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22,589,952</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22,569,154</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22,349,279</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21,503,153</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180,958,478</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8"/>
              </w:rPr>
              <w:t>Operating Leases—Related Parties</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16,257,187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644,060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1,307,183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1,337,130</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1,367,771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1,255,713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10,345,330</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36,528,724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27,542,989</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8,985,735</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Construction Commitments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5,069,000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5,069,000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2800" w:type="dxa"/>
            <w:vAlign w:val="bottom"/>
          </w:tcPr>
          <w:p>
            <w:pPr>
              <w:spacing w:after="0"/>
              <w:rPr>
                <w:sz w:val="20"/>
                <w:szCs w:val="20"/>
                <w:color w:val="auto"/>
              </w:rPr>
            </w:pPr>
            <w:r>
              <w:rPr>
                <w:rFonts w:ascii="Arial" w:cs="Arial" w:eastAsia="Arial" w:hAnsi="Arial"/>
                <w:sz w:val="18"/>
                <w:szCs w:val="18"/>
                <w:b w:val="1"/>
                <w:bCs w:val="1"/>
                <w:color w:val="auto"/>
              </w:rPr>
              <w:t>Total as of June 30,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482,820,099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49,387,948</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45,901,920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36,929,559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134,547,935</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22,984,280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193,068,456</w:t>
            </w:r>
          </w:p>
        </w:tc>
        <w:tc>
          <w:tcPr>
            <w:tcW w:w="60" w:type="dxa"/>
            <w:vAlign w:val="bottom"/>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660" w:right="180" w:hanging="544"/>
        <w:spacing w:after="0" w:line="255" w:lineRule="auto"/>
        <w:tabs>
          <w:tab w:leader="none" w:pos="4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 On May 21, 2020, the Company exercised its option to extend the maturity date of its senior secured notes for an additional year. The new maturity date is May 22, 2023. Additionally, this amount excludes $12,703,887 of unamortized debt discount as of June 30, 2020. See Note 6 - Notes Payable for details.</w:t>
      </w:r>
    </w:p>
    <w:p>
      <w:pPr>
        <w:spacing w:after="0" w:line="2" w:lineRule="exact"/>
        <w:rPr>
          <w:rFonts w:ascii="Arial" w:cs="Arial" w:eastAsia="Arial" w:hAnsi="Arial"/>
          <w:sz w:val="18"/>
          <w:szCs w:val="18"/>
          <w:color w:val="auto"/>
        </w:rPr>
      </w:pPr>
    </w:p>
    <w:p>
      <w:pPr>
        <w:ind w:left="460" w:hanging="344"/>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The amount excludes $181,272 of unamortized debt discount as of June 30, 2020. See Note 6 - Notes Payable for details.</w:t>
      </w:r>
    </w:p>
    <w:p>
      <w:pPr>
        <w:spacing w:after="0" w:line="143" w:lineRule="exact"/>
        <w:rPr>
          <w:rFonts w:ascii="Arial" w:cs="Arial" w:eastAsia="Arial" w:hAnsi="Arial"/>
          <w:sz w:val="18"/>
          <w:szCs w:val="18"/>
          <w:color w:val="auto"/>
        </w:rPr>
      </w:pPr>
    </w:p>
    <w:p>
      <w:pPr>
        <w:ind w:left="5540" w:hanging="111"/>
        <w:spacing w:after="0"/>
        <w:tabs>
          <w:tab w:leader="none" w:pos="5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As of June 30, 2020, the Company does not have any off-balance-sheet arrangements that have, or are reasonably likely to have, a current or future effect on the results of operations or financial condition of the Company, including, and without limitation, such considerations as liquidity and capital resources.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or Adoption of Accounting Practices</w:t>
      </w:r>
    </w:p>
    <w:p>
      <w:pPr>
        <w:spacing w:after="0" w:line="121"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Refer to the discussion of recently adopted/issued accounting pronouncements under Part I, Item 1, Notes to Unaudited Interim Condensed Consolidated Financial Statements, Note 1—Overview and Basis of Presentation.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121" w:lineRule="exact"/>
        <w:rPr>
          <w:sz w:val="20"/>
          <w:szCs w:val="20"/>
          <w:color w:val="auto"/>
        </w:rPr>
      </w:pPr>
    </w:p>
    <w:p>
      <w:pPr>
        <w:ind w:left="120" w:right="780"/>
        <w:spacing w:after="0" w:line="308" w:lineRule="auto"/>
        <w:rPr>
          <w:sz w:val="20"/>
          <w:szCs w:val="20"/>
          <w:color w:val="auto"/>
        </w:rPr>
      </w:pPr>
      <w:r>
        <w:rPr>
          <w:rFonts w:ascii="Arial" w:cs="Arial" w:eastAsia="Arial" w:hAnsi="Arial"/>
          <w:sz w:val="17"/>
          <w:szCs w:val="17"/>
          <w:color w:val="auto"/>
        </w:rPr>
        <w:t>There were no material changes to the Company’s critical accounting policies and estimates from the information provided in “Management’s Discussion and Analysis of Financial Condition and Results of Operations,” included in the Company’s 2019 Form 10-K.</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Company is an “emerging growth company” as defined in the Section 2(a) of the Exchange Act, as modified by the Jumpstart Our Business Start-ups Act of 2012, or the JOBS Act provides that an emerging growth company can take advantage of the extended transition period provided in Section 13(a) of the Exchange Act for complying with new or revised accounting standards applicable to public companies. The Company has elected to take advantage of this extended transition period and as a result of this election, the Company’s financial statements may not be comparable to companies that comply with public company effective dates.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QUANTITAVE AND QUALITATIVE DISCLOSURES ABOUT MARKET RISK</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There have been no material changes to the Company’s market risk disclosures as set forth in Part II Item 7A of the Company’s Annual Report on Form 10-K for the year ended December 31, 2019 except as described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COVID-19</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Company is monitoring COVID-19 closely, and although operations have not been materially affected by the COVID-19 outbreak to date, the ultimate severity of the outbreak and its impact on the economic environment is uncertain. Operations of the Company are currently ongoing as the cultivation, processing and sale of cannabis products is currently considered an essential business by the States in which we operate with respect to all customers (except for Massachusetts, where cannabis has been deemed essential only for medical patients, leading to a state-wide suspension of sales of recreational cannabis from March 24, 2020 to May 25, 2020). The Company’s ability to continue to operate without any significant negative operational impact from COVID-19 pandemic will in part depend on the Company’s ability to protect Green Thumb employees, customers and supply chain and continued designation as “essential” in states where the Company does business that currently or in the future impose restrictions on business operations.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Disclosure Controls and Procedures</w:t>
      </w:r>
    </w:p>
    <w:p>
      <w:pPr>
        <w:spacing w:after="0" w:line="12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The Company evaluated the effectiveness of its disclosure controls and procedures as of June 30, 2020.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The Company recognizes that any controls and procedures, no matter how well designed and operated, can provide only reasonable assurance of achieving their objectives. Management, including the Chief Executive Officer and Chief Financial Officer, evaluated the effectiveness of the Company’s disclosure controls and procedures (as defined in Rules 13a-15(b) and Rule 15d-15(e) of the Exchange Act) as of June 30, 2020. As of December 31, 2019, Green Thumb, as an emerging growth company, was not required to include management’s assessment of Internal Controls over Financial Reporting (“ICFR”) or an attestation report of the Company’s registered public accounting firm in its 2019 Form 10-K. However, management has developed and is in the process of enhancing the Company’s ICFR and its disclosure controls and procedures in preparation for the annual audit of the Company for the 2021 fiscal year. Green Thumb expects to be required to include both management’s assessment of ICFR and the attestation of the Company’s registered public accounting firm regarding the Company’s ICFR in the Company’s 2021 annual report on Form 10-K. Management, including the Chief Executive Officer and Chief Financial Officer, have carefully considered the Company’s progress in the development of the disclosure controls and procedures to date and determined that they were reasonably effective at the assurance level as of June 30, 2020.</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120" w:right="280"/>
        <w:spacing w:after="0" w:line="286" w:lineRule="auto"/>
        <w:rPr>
          <w:sz w:val="20"/>
          <w:szCs w:val="20"/>
          <w:color w:val="auto"/>
        </w:rPr>
      </w:pPr>
      <w:r>
        <w:rPr>
          <w:rFonts w:ascii="Arial" w:cs="Arial" w:eastAsia="Arial" w:hAnsi="Arial"/>
          <w:sz w:val="17"/>
          <w:szCs w:val="17"/>
          <w:color w:val="auto"/>
        </w:rPr>
        <w:t>The Company is a party to a variety of legal proceedings that arise out of operations in the normal course of business. While the results of these legal proceedings cannot be predicted with certainty, the Company believes that the final outcome of these proceedings will not have a material adverse effect, individually or in the aggregate, on the Company’s results of operations or financial condition.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have been no material changes to the risk factors disclosed in the 2019 Form 10-K.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 OF EQUITY SECURITIES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following information represents securities sold by the Company during the six months ended June 30, 2020 which were not registered under the Securities Act. Included are new issues, securities issued in exchange for property, services or other securities, securities issued upon conversion from other share classes and new securities resulting from the modification of outstanding securities. The Company sold all of the securities listed below pursuant to the exemption from registration provided by Section 4(a)(2) of the Securities Act, or Regulation D or Regulation S promulgated thereunder, or, in the case of shares in connection with the Company’s 2018 Share and Incentive Plan, in reliance upon Rule 701 promulgated under Section 3(b) of the Securities Act as transactions by an issuer pursuant to benefit plans and contracts related to compensation.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Subordinate Voting Shares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On January 3, 2020, the Company issued 287,478 Subordinate Voting Shares as contingent consideration associated with the Company’s 2019 acquisition of Advanced Grow Labs.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January 15, 2020, the Company converted 127,730 Multiple Voting Shares into 12,773,000 Subordinate Voting Shares.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February 11, 2020, the Company converted 2,480 Multiple Voting Shares into 248,000 Subordinate Voting Shares.</w:t>
      </w:r>
    </w:p>
    <w:p>
      <w:pPr>
        <w:spacing w:after="0" w:line="22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On February 12, 2020, the Company issued 48,450 Subordinate Voting Shares as deferred share issuances associated with the Company’s 2019 acquisition of KW Ventures Holdings, LLC minority interest.</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On February 26, 2020, the Company issued 779,690 Subordinate Voting Shares as contingent consideration associated with the Company’s 2019 acquisition of For Success Holding Company.</w:t>
      </w:r>
    </w:p>
    <w:p>
      <w:pPr>
        <w:spacing w:after="0" w:line="170"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On May 15, 2020, the Company issued 101,695 Subordinate Voting Shares as deferred share issuances associated with the Company’s 2019 acquisition of Salveo (Rise Canton).</w:t>
      </w:r>
    </w:p>
    <w:p>
      <w:pPr>
        <w:spacing w:after="0" w:line="170"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On May 18, 2020, the Company issued 1,109,055 Subordinate Voting Shares as contingent consideration associated with the Company’s 2019 acquisition of Advanced Grow Labs, LLC.</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On May 20, 2020, the Company issued 17,112 Subordinate Voting Shares associated with the exercise of broker options issued as part of the Company’s June 12, 2018 reverse takeover of Bayswater Uranium Corporation.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On May 25, 2020, the Company issued 268,620 Subordinate Voting Shares as contingent consideration associated with the Company’s 2019 acquisition of Integral Associates, LLC.</w:t>
      </w:r>
    </w:p>
    <w:p>
      <w:pPr>
        <w:spacing w:after="0" w:line="170"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On June 29, 2020, the Company issued 190,000 Subordinate Voting Shares as deferred share issuances associated with the Company’s 2019 acquisition of MC Brands, LLC.</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Beginning on January 9, 2020 and continuing through June 26, 2020, the Company converted 260,591 Multiple Voting Shares into 26,059,100 Subordinate Voting Shares.</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From January 1, 2020 through February 19, 2020 (the effective date of the filing of the Company’s registration statement on Form S-8), the Company issued, in total, 77,500 Subordinate Voting Shares to holders of the Company’s RSU’s issued under the Company’s 2018 Stock and Incentive Plan, which vested over the same period.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Multiple Voting Shares</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Beginning January 15, 2020 and continuing through June 26, 2020, the Company converted 13,953 Super Voting Shares were converted into 13,953 Multiple Voting Shares.</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Beginning on January 9, 2020 and continuing through June 26, 2020, the Company converted 260,591 Multiple Voting Shares into 26,059,100 Subordinate Voting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exhibits are filed with this report:</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9880" w:type="dxa"/>
            <w:vAlign w:val="bottom"/>
            <w:gridSpan w:val="2"/>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CERTIFICATE OF CHIEF EXECUTIVE OFFICER</w:t>
              </w:r>
            </w:hyperlink>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9880" w:type="dxa"/>
            <w:vAlign w:val="bottom"/>
            <w:gridSpan w:val="2"/>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CERTIFICATE OF CHIEF FINANCIAL OFFICER</w:t>
              </w:r>
            </w:hyperlink>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988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48">
              <w:r>
                <w:rPr>
                  <w:rFonts w:ascii="Arial" w:cs="Arial" w:eastAsia="Arial" w:hAnsi="Arial"/>
                  <w:sz w:val="18"/>
                  <w:szCs w:val="18"/>
                  <w:color w:val="0000EE"/>
                  <w:w w:val="94"/>
                </w:rPr>
                <w:t>CERTIFICATION PURSUANT TO 18 U.S.C. SECTION 1350, AS ADOPTED PURSUANT TO SECTION 906 OF THE SARBANES-</w:t>
              </w:r>
            </w:hyperlink>
          </w:p>
        </w:tc>
      </w:tr>
      <w:tr>
        <w:trPr>
          <w:trHeight w:val="196"/>
        </w:trPr>
        <w:tc>
          <w:tcPr>
            <w:tcW w:w="1100" w:type="dxa"/>
            <w:vAlign w:val="bottom"/>
          </w:tcPr>
          <w:p>
            <w:pPr>
              <w:spacing w:after="0"/>
              <w:rPr>
                <w:sz w:val="17"/>
                <w:szCs w:val="17"/>
                <w:color w:val="auto"/>
              </w:rPr>
            </w:pPr>
          </w:p>
        </w:tc>
        <w:tc>
          <w:tcPr>
            <w:tcW w:w="170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48">
              <w:r>
                <w:rPr>
                  <w:rFonts w:ascii="Arial" w:cs="Arial" w:eastAsia="Arial" w:hAnsi="Arial"/>
                  <w:sz w:val="18"/>
                  <w:szCs w:val="18"/>
                  <w:color w:val="0000EE"/>
                  <w:w w:val="95"/>
                </w:rPr>
                <w:t>OXLEY ACT OF 2002</w:t>
              </w:r>
            </w:hyperlink>
          </w:p>
        </w:tc>
        <w:tc>
          <w:tcPr>
            <w:tcW w:w="8180" w:type="dxa"/>
            <w:vAlign w:val="bottom"/>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32.2</w:t>
            </w:r>
          </w:p>
        </w:tc>
        <w:tc>
          <w:tcPr>
            <w:tcW w:w="988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49">
              <w:r>
                <w:rPr>
                  <w:rFonts w:ascii="Arial" w:cs="Arial" w:eastAsia="Arial" w:hAnsi="Arial"/>
                  <w:sz w:val="18"/>
                  <w:szCs w:val="18"/>
                  <w:color w:val="0000EE"/>
                  <w:w w:val="94"/>
                </w:rPr>
                <w:t>CERTIFICATION PURSUANT TO 18 U.S.C. SECTION 1350, AS ADOPTED PURSUANT TO SECTION 906 OF THE SARBANES-</w:t>
              </w:r>
            </w:hyperlink>
          </w:p>
        </w:tc>
      </w:tr>
      <w:tr>
        <w:trPr>
          <w:trHeight w:val="196"/>
        </w:trPr>
        <w:tc>
          <w:tcPr>
            <w:tcW w:w="1100" w:type="dxa"/>
            <w:vAlign w:val="bottom"/>
          </w:tcPr>
          <w:p>
            <w:pPr>
              <w:spacing w:after="0"/>
              <w:rPr>
                <w:sz w:val="17"/>
                <w:szCs w:val="17"/>
                <w:color w:val="auto"/>
              </w:rPr>
            </w:pPr>
          </w:p>
        </w:tc>
        <w:tc>
          <w:tcPr>
            <w:tcW w:w="170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49">
              <w:r>
                <w:rPr>
                  <w:rFonts w:ascii="Arial" w:cs="Arial" w:eastAsia="Arial" w:hAnsi="Arial"/>
                  <w:sz w:val="18"/>
                  <w:szCs w:val="18"/>
                  <w:color w:val="0000EE"/>
                  <w:w w:val="95"/>
                </w:rPr>
                <w:t>OXLEY ACT OF 2002</w:t>
              </w:r>
            </w:hyperlink>
          </w:p>
        </w:tc>
        <w:tc>
          <w:tcPr>
            <w:tcW w:w="8180" w:type="dxa"/>
            <w:vAlign w:val="bottom"/>
          </w:tcPr>
          <w:p>
            <w:pPr>
              <w:spacing w:after="0"/>
              <w:rPr>
                <w:sz w:val="17"/>
                <w:szCs w:val="17"/>
                <w:color w:val="auto"/>
              </w:rPr>
            </w:pPr>
          </w:p>
        </w:tc>
      </w:tr>
      <w:tr>
        <w:trPr>
          <w:trHeight w:val="345"/>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988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988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988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988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988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988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4"/>
        </w:trPr>
        <w:tc>
          <w:tcPr>
            <w:tcW w:w="1100" w:type="dxa"/>
            <w:vAlign w:val="bottom"/>
          </w:tcPr>
          <w:p>
            <w:pPr>
              <w:spacing w:after="0"/>
              <w:rPr>
                <w:sz w:val="24"/>
                <w:szCs w:val="24"/>
                <w:color w:val="auto"/>
              </w:rPr>
            </w:pPr>
          </w:p>
        </w:tc>
        <w:tc>
          <w:tcPr>
            <w:tcW w:w="9880" w:type="dxa"/>
            <w:vAlign w:val="bottom"/>
            <w:gridSpan w:val="2"/>
          </w:tcPr>
          <w:p>
            <w:pPr>
              <w:ind w:left="4200"/>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requirements of the Securities Exchange Act of 1934, the Company has duly caused this report to be signed on its behalf by the undersigned thereunto duly authorized.</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27946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Benjamin Kovler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Title: Chief Executive Officer</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August 13, 2020</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 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27946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Anthony Georgiadis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Title: Chief Financial Officer</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August 13, 2020</w:t>
      </w:r>
    </w:p>
    <w:p>
      <w:pPr>
        <w:spacing w:after="0" w:line="200" w:lineRule="exact"/>
        <w:rPr>
          <w:sz w:val="20"/>
          <w:szCs w:val="20"/>
          <w:color w:val="auto"/>
        </w:rPr>
      </w:pP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60"/>
          </w:cols>
          <w:pgMar w:left="320" w:top="459" w:right="51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Benjamin Kovler, certify that:</w:t>
      </w:r>
    </w:p>
    <w:p>
      <w:pPr>
        <w:spacing w:after="0" w:line="131" w:lineRule="exact"/>
        <w:rPr>
          <w:sz w:val="20"/>
          <w:szCs w:val="20"/>
          <w:color w:val="auto"/>
        </w:rPr>
      </w:pPr>
    </w:p>
    <w:p>
      <w:pPr>
        <w:ind w:left="960" w:hanging="532"/>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Green Thumb Industries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220" w:hanging="532"/>
        <w:spacing w:after="0" w:line="291"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rFonts w:ascii="Arial" w:cs="Arial" w:eastAsia="Arial" w:hAnsi="Arial"/>
          <w:sz w:val="16"/>
          <w:szCs w:val="16"/>
          <w:color w:val="auto"/>
        </w:rPr>
      </w:pPr>
    </w:p>
    <w:p>
      <w:pPr>
        <w:ind w:left="1960" w:right="100" w:hanging="533"/>
        <w:spacing w:after="0" w:line="311" w:lineRule="auto"/>
        <w:tabs>
          <w:tab w:leader="none" w:pos="19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6"/>
          <w:szCs w:val="16"/>
          <w:color w:val="auto"/>
        </w:rPr>
      </w:pPr>
    </w:p>
    <w:p>
      <w:pPr>
        <w:jc w:val="both"/>
        <w:ind w:left="1960" w:right="100" w:hanging="533"/>
        <w:spacing w:after="0" w:line="263" w:lineRule="auto"/>
        <w:tabs>
          <w:tab w:leader="none" w:pos="1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960" w:right="100" w:hanging="533"/>
        <w:spacing w:after="0" w:line="286" w:lineRule="auto"/>
        <w:tabs>
          <w:tab w:leader="none" w:pos="19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0"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8"/>
          <w:szCs w:val="18"/>
          <w:color w:val="auto"/>
        </w:rPr>
      </w:pPr>
    </w:p>
    <w:p>
      <w:pPr>
        <w:ind w:left="1960" w:right="360" w:hanging="533"/>
        <w:spacing w:after="0" w:line="263" w:lineRule="auto"/>
        <w:tabs>
          <w:tab w:leader="none" w:pos="1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960" w:right="740" w:hanging="533"/>
        <w:spacing w:after="0" w:line="277" w:lineRule="auto"/>
        <w:tabs>
          <w:tab w:leader="none" w:pos="1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THUMB INDUSTRIES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Benjamin Kovler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2020</w:t>
      </w:r>
    </w:p>
    <w:p>
      <w:pPr>
        <w:sectPr>
          <w:pgSz w:w="11900" w:h="16838" w:orient="portrait"/>
          <w:cols w:equalWidth="0" w:num="1">
            <w:col w:w="11020"/>
          </w:cols>
          <w:pgMar w:left="440" w:top="121" w:right="4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Anthony Georgiadis, certify that:</w:t>
      </w:r>
    </w:p>
    <w:p>
      <w:pPr>
        <w:spacing w:after="0" w:line="131" w:lineRule="exact"/>
        <w:rPr>
          <w:sz w:val="20"/>
          <w:szCs w:val="20"/>
          <w:color w:val="auto"/>
        </w:rPr>
      </w:pPr>
    </w:p>
    <w:p>
      <w:pPr>
        <w:ind w:left="960" w:hanging="532"/>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Green Thumb Industries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540" w:hanging="532"/>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1960" w:right="100" w:hanging="533"/>
        <w:spacing w:after="0" w:line="311" w:lineRule="auto"/>
        <w:tabs>
          <w:tab w:leader="none" w:pos="19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6"/>
          <w:szCs w:val="16"/>
          <w:color w:val="auto"/>
        </w:rPr>
      </w:pPr>
    </w:p>
    <w:p>
      <w:pPr>
        <w:jc w:val="both"/>
        <w:ind w:left="1960" w:right="100" w:hanging="533"/>
        <w:spacing w:after="0" w:line="263" w:lineRule="auto"/>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960" w:right="100" w:hanging="533"/>
        <w:spacing w:after="0" w:line="286" w:lineRule="auto"/>
        <w:tabs>
          <w:tab w:leader="none" w:pos="19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0"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8"/>
          <w:szCs w:val="18"/>
          <w:color w:val="auto"/>
        </w:rPr>
      </w:pPr>
    </w:p>
    <w:p>
      <w:pPr>
        <w:ind w:left="1960" w:right="360" w:hanging="533"/>
        <w:spacing w:after="0" w:line="263" w:lineRule="auto"/>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960" w:right="740" w:hanging="533"/>
        <w:spacing w:after="0" w:line="277" w:lineRule="auto"/>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THUMB INDUSTRIES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Anthony Georgiadis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2020</w:t>
      </w:r>
    </w:p>
    <w:p>
      <w:pPr>
        <w:sectPr>
          <w:pgSz w:w="11900" w:h="16838" w:orient="portrait"/>
          <w:cols w:equalWidth="0" w:num="1">
            <w:col w:w="11020"/>
          </w:cols>
          <w:pgMar w:left="440" w:top="121" w:right="4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firstLine="440"/>
        <w:spacing w:after="0" w:line="296" w:lineRule="auto"/>
        <w:rPr>
          <w:sz w:val="20"/>
          <w:szCs w:val="20"/>
          <w:color w:val="auto"/>
        </w:rPr>
      </w:pPr>
      <w:r>
        <w:rPr>
          <w:rFonts w:ascii="Arial" w:cs="Arial" w:eastAsia="Arial" w:hAnsi="Arial"/>
          <w:sz w:val="16"/>
          <w:szCs w:val="16"/>
          <w:color w:val="auto"/>
        </w:rPr>
        <w:t>In connection with the Quarterly Report of Green Thumb Industries Inc. (the “Company”) on Form 10-Q for the three and six months ended June 30, 2020 as filed with the Securities and Exchange Commission on the date hereof (the “Report”), I, Benjamin Kovler, Chief Executive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THUMB INDUSTRIES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Benjamin Kovler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2020</w:t>
      </w:r>
    </w:p>
    <w:p>
      <w:pPr>
        <w:sectPr>
          <w:pgSz w:w="11900" w:h="16838" w:orient="portrait"/>
          <w:cols w:equalWidth="0" w:num="1">
            <w:col w:w="11020"/>
          </w:cols>
          <w:pgMar w:left="440" w:top="121" w:right="4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In connection with the Quarterly Report of Green Thumb Industries Inc. (the “Company”) on Form 10-Q for the three and six months ended June 30, 2020 as filed with the Securities and Exchange Commission on the date hereof (the “Report”), I, Anthony Georgiadis, Chief Financial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THUMB INDUSTRIES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Anthony Georgiadis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3">
    <w:nsid w:val="1190CDE7"/>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3"/>
    </w:lvl>
  </w:abstractNum>
  <w:abstractNum w:abstractNumId="4">
    <w:nsid w:val="66EF438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
    <w:nsid w:val="140E0F76"/>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6">
    <w:nsid w:val="3352255A"/>
    <w:multiLevelType w:val="hybridMultilevel"/>
    <w:lvl w:ilvl="0">
      <w:lvlJc w:val="left"/>
      <w:lvlText w:val="%1."/>
      <w:numFmt w:val="decimal"/>
      <w:start w:val="5"/>
    </w:lvl>
    <w:lvl w:ilvl="1">
      <w:lvlJc w:val="left"/>
      <w:lvlText w:val="(%2)"/>
      <w:numFmt w:val="lowerLetter"/>
      <w:start w:val="1"/>
    </w:lvl>
  </w:abstractNum>
  <w:abstractNum w:abstractNumId="7">
    <w:nsid w:val="109CF92E"/>
    <w:multiLevelType w:val="hybridMultilevel"/>
    <w:lvl w:ilvl="0">
      <w:lvlJc w:val="left"/>
      <w:lvlText w:val="%1."/>
      <w:numFmt w:val="decimal"/>
      <w:start w:val="5"/>
    </w:lvl>
  </w:abstractNum>
  <w:abstractNum w:abstractNumId="8">
    <w:nsid w:val="DED7263"/>
    <w:multiLevelType w:val="hybridMultilevel"/>
    <w:lvl w:ilvl="0">
      <w:lvlJc w:val="left"/>
      <w:lvlText w:val="%1."/>
      <w:numFmt w:val="decimal"/>
      <w:start w:val="5"/>
    </w:lvl>
  </w:abstractNum>
  <w:abstractNum w:abstractNumId="9">
    <w:nsid w:val="7FDCC233"/>
    <w:multiLevelType w:val="hybridMultilevel"/>
    <w:lvl w:ilvl="0">
      <w:lvlJc w:val="left"/>
      <w:lvlText w:val="%1."/>
      <w:numFmt w:val="decimal"/>
      <w:start w:val="7"/>
    </w:lvl>
  </w:abstractNum>
  <w:abstractNum w:abstractNumId="10">
    <w:nsid w:val="1BEFD79F"/>
    <w:multiLevelType w:val="hybridMultilevel"/>
    <w:lvl w:ilvl="0">
      <w:lvlJc w:val="left"/>
      <w:lvlText w:val="%1."/>
      <w:numFmt w:val="decimal"/>
      <w:start w:val="7"/>
    </w:lvl>
  </w:abstractNum>
  <w:abstractNum w:abstractNumId="11">
    <w:nsid w:val="41A7C4C9"/>
    <w:multiLevelType w:val="hybridMultilevel"/>
    <w:lvl w:ilvl="0">
      <w:lvlJc w:val="left"/>
      <w:lvlText w:val="%1."/>
      <w:numFmt w:val="decimal"/>
      <w:start w:val="10"/>
    </w:lvl>
    <w:lvl w:ilvl="1">
      <w:lvlJc w:val="left"/>
      <w:lvlText w:val="(%2)"/>
      <w:numFmt w:val="lowerLetter"/>
      <w:start w:val="2"/>
    </w:lvl>
  </w:abstractNum>
  <w:abstractNum w:abstractNumId="12">
    <w:nsid w:val="6B68079A"/>
    <w:multiLevelType w:val="hybridMultilevel"/>
    <w:lvl w:ilvl="0">
      <w:lvlJc w:val="left"/>
      <w:lvlText w:val="%1."/>
      <w:numFmt w:val="decimal"/>
      <w:start w:val="10"/>
    </w:lvl>
    <w:lvl w:ilvl="1">
      <w:lvlJc w:val="left"/>
      <w:lvlText w:val="(%2)"/>
      <w:numFmt w:val="lowerLetter"/>
      <w:start w:val="3"/>
    </w:lvl>
  </w:abstractNum>
  <w:abstractNum w:abstractNumId="13">
    <w:nsid w:val="4E6AFB66"/>
    <w:multiLevelType w:val="hybridMultilevel"/>
    <w:lvl w:ilvl="0">
      <w:lvlJc w:val="left"/>
      <w:lvlText w:val="%1."/>
      <w:numFmt w:val="decimal"/>
      <w:start w:val="10"/>
    </w:lvl>
    <w:lvl w:ilvl="1">
      <w:lvlJc w:val="left"/>
      <w:lvlText w:val="(%2)"/>
      <w:numFmt w:val="lowerLetter"/>
      <w:start w:val="4"/>
    </w:lvl>
  </w:abstractNum>
  <w:abstractNum w:abstractNumId="14">
    <w:nsid w:val="25E45D32"/>
    <w:multiLevelType w:val="hybridMultilevel"/>
    <w:lvl w:ilvl="0">
      <w:lvlJc w:val="left"/>
      <w:lvlText w:val="(%1)"/>
      <w:numFmt w:val="lowerLetter"/>
      <w:start w:val="1"/>
    </w:lvl>
    <w:lvl w:ilvl="1">
      <w:lvlJc w:val="left"/>
      <w:lvlText w:val="-"/>
      <w:numFmt w:val="bullet"/>
      <w:start w:val="1"/>
    </w:lvl>
  </w:abstractNum>
  <w:abstractNum w:abstractNumId="15">
    <w:nsid w:val="519B500D"/>
    <w:multiLevelType w:val="hybridMultilevel"/>
    <w:lvl w:ilvl="0">
      <w:lvlJc w:val="left"/>
      <w:lvlText w:val="(%1)"/>
      <w:numFmt w:val="lowerRoman"/>
      <w:start w:val="1"/>
    </w:lvl>
  </w:abstractNum>
  <w:abstractNum w:abstractNumId="16">
    <w:nsid w:val="431BD7B7"/>
    <w:multiLevelType w:val="hybridMultilevel"/>
    <w:lvl w:ilvl="0">
      <w:lvlJc w:val="left"/>
      <w:lvlText w:val="(%1)"/>
      <w:numFmt w:val="lowerLetter"/>
      <w:start w:val="1"/>
    </w:lvl>
    <w:lvl w:ilvl="1">
      <w:lvlJc w:val="left"/>
      <w:lvlText w:val="-"/>
      <w:numFmt w:val="bullet"/>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2020-08-13T05:15:11Z</dcterms:created>
  <dcterms:modified xsi:type="dcterms:W3CDTF">2020-08-13T05:15:11Z</dcterms:modified>
</cp:coreProperties>
</file>