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1042024_091148.xml.htm"/>
      <w:bookmarkStart w:id="1" w:name="ksform411042024_0911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Kovler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WEST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5"/>
        <w:gridCol w:w="925"/>
        <w:gridCol w:w="794"/>
        <w:gridCol w:w="614"/>
        <w:gridCol w:w="340"/>
        <w:gridCol w:w="1010"/>
        <w:gridCol w:w="418"/>
        <w:gridCol w:w="586"/>
        <w:gridCol w:w="1113"/>
        <w:gridCol w:w="965"/>
        <w:gridCol w:w="127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11/01/2024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750,000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894,117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158,130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Outsiders Capital LLC</w:t>
            </w:r>
          </w:p>
        </w:tc>
      </w:tr>
      <w:tr>
        <w:trPr/>
        <w:tc>
          <w:tcPr>
            <w:tcW w:w="21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57,612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80,642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Outsiders Capital LLC</w:t>
            </w:r>
          </w:p>
        </w:tc>
      </w:tr>
      <w:tr>
        <w:trPr/>
        <w:tc>
          <w:tcPr>
            <w:tcW w:w="216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BK 2021 Descendant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granted in the form of Restricted Share Units that vest in one-third increments annually over a three-year period beginning on the first anniversary of the grant date, as described in the Green Thumb Industries Inc. Current Report Form 8-K filed with the Commission on October 25,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3392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646</Words>
  <Characters>3490</Characters>
  <CharactersWithSpaces>4062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