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-594360</wp:posOffset>
            </wp:positionV>
            <wp:extent cx="8255" cy="594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-602615</wp:posOffset>
            </wp:positionV>
            <wp:extent cx="8255" cy="603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-578485</wp:posOffset>
            </wp:positionV>
            <wp:extent cx="1270000" cy="55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0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0"/>
                </w:rPr>
                <w:t>Knudson Julie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Green Thumb Industries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GTII/GTBIF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325 WEST HURON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03/27/2020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-5" w:right="680" w:firstLine="5"/>
        <w:spacing w:after="0" w:line="234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PEOPLE OFFICER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5"/>
            <w:col w:w="335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jc w:val="right"/>
              <w:ind w:right="25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CHICAGO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60654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Subordinate Voting Shares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03/27/2020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2,766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2,766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9.22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03/27/2021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Subordinate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54,347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54,347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54,347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-2998470</wp:posOffset>
            </wp:positionV>
            <wp:extent cx="7035165" cy="3039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3039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price is denominated and reported in Canadian dollars.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granted on March 27, 2020 and vests in one third increments annually over a three-year period beginning on the first anniversary of the grant date.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Kathryn A. Lloyd,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03/31/2020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29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-15240</wp:posOffset>
            </wp:positionV>
            <wp:extent cx="295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-79375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3539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2020-03-31T16:25:41Z</dcterms:created>
  <dcterms:modified xsi:type="dcterms:W3CDTF">2020-03-31T16:25:41Z</dcterms:modified>
</cp:coreProperties>
</file>