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424" w:right="40" w:hanging="424"/>
        <w:spacing w:after="0" w:line="256" w:lineRule="auto"/>
        <w:tabs>
          <w:tab w:leader="none" w:pos="42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2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24" w:right="2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84"/>
        <w:spacing w:after="0"/>
        <w:tabs>
          <w:tab w:leader="none" w:pos="6604"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3717290</wp:posOffset>
            </wp:positionH>
            <wp:positionV relativeFrom="paragraph">
              <wp:posOffset>-7620</wp:posOffset>
            </wp:positionV>
            <wp:extent cx="1066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89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171450</wp:posOffset>
            </wp:positionV>
            <wp:extent cx="4080510" cy="711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051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Commission file number 000-56132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43"/>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4" w:type="dxa"/>
        <w:tblCellMar>
          <w:top w:w="0" w:type="dxa"/>
          <w:left w:w="0" w:type="dxa"/>
          <w:bottom w:w="0" w:type="dxa"/>
          <w:right w:w="0" w:type="dxa"/>
        </w:tblCellMar>
      </w:tblPr>
      <w:tr>
        <w:trPr>
          <w:trHeight w:val="212"/>
        </w:trPr>
        <w:tc>
          <w:tcPr>
            <w:tcW w:w="6160" w:type="dxa"/>
            <w:vAlign w:val="bottom"/>
          </w:tcPr>
          <w:p>
            <w:pPr>
              <w:jc w:val="center"/>
              <w:ind w:right="3537"/>
              <w:spacing w:after="0"/>
              <w:rPr>
                <w:sz w:val="20"/>
                <w:szCs w:val="20"/>
                <w:color w:val="auto"/>
              </w:rPr>
            </w:pPr>
            <w:r>
              <w:rPr>
                <w:rFonts w:ascii="Arial" w:cs="Arial" w:eastAsia="Arial" w:hAnsi="Arial"/>
                <w:sz w:val="18"/>
                <w:szCs w:val="18"/>
                <w:b w:val="1"/>
                <w:bCs w:val="1"/>
                <w:color w:val="auto"/>
                <w:w w:val="93"/>
              </w:rPr>
              <w:t>British Columbia</w:t>
            </w:r>
          </w:p>
        </w:tc>
        <w:tc>
          <w:tcPr>
            <w:tcW w:w="1220" w:type="dxa"/>
            <w:vAlign w:val="bottom"/>
          </w:tcPr>
          <w:p>
            <w:pPr>
              <w:jc w:val="right"/>
              <w:ind w:right="21"/>
              <w:spacing w:after="0"/>
              <w:rPr>
                <w:sz w:val="20"/>
                <w:szCs w:val="20"/>
                <w:color w:val="auto"/>
              </w:rPr>
            </w:pPr>
            <w:r>
              <w:rPr>
                <w:rFonts w:ascii="Arial" w:cs="Arial" w:eastAsia="Arial" w:hAnsi="Arial"/>
                <w:sz w:val="18"/>
                <w:szCs w:val="18"/>
                <w:b w:val="1"/>
                <w:bCs w:val="1"/>
                <w:color w:val="auto"/>
              </w:rPr>
              <w:t>98-1437430</w:t>
            </w:r>
          </w:p>
        </w:tc>
      </w:tr>
      <w:tr>
        <w:trPr>
          <w:trHeight w:val="148"/>
        </w:trPr>
        <w:tc>
          <w:tcPr>
            <w:tcW w:w="6160" w:type="dxa"/>
            <w:vAlign w:val="bottom"/>
          </w:tcPr>
          <w:p>
            <w:pPr>
              <w:jc w:val="center"/>
              <w:ind w:right="351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6160" w:type="dxa"/>
            <w:vAlign w:val="bottom"/>
          </w:tcPr>
          <w:p>
            <w:pPr>
              <w:jc w:val="center"/>
              <w:ind w:right="3517"/>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61"/>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6160" w:type="dxa"/>
            <w:vAlign w:val="bottom"/>
          </w:tcPr>
          <w:p>
            <w:pPr>
              <w:jc w:val="center"/>
              <w:ind w:right="3537"/>
              <w:spacing w:after="0"/>
              <w:rPr>
                <w:sz w:val="20"/>
                <w:szCs w:val="20"/>
                <w:color w:val="auto"/>
              </w:rPr>
            </w:pPr>
            <w:r>
              <w:rPr>
                <w:rFonts w:ascii="Arial" w:cs="Arial" w:eastAsia="Arial" w:hAnsi="Arial"/>
                <w:sz w:val="18"/>
                <w:szCs w:val="18"/>
                <w:b w:val="1"/>
                <w:bCs w:val="1"/>
                <w:color w:val="auto"/>
                <w:w w:val="90"/>
              </w:rPr>
              <w:t>325 West Huron Street, Suite 700</w:t>
            </w:r>
          </w:p>
        </w:tc>
        <w:tc>
          <w:tcPr>
            <w:tcW w:w="1220" w:type="dxa"/>
            <w:vAlign w:val="bottom"/>
          </w:tcPr>
          <w:p>
            <w:pPr>
              <w:spacing w:after="0"/>
              <w:rPr>
                <w:sz w:val="24"/>
                <w:szCs w:val="24"/>
                <w:color w:val="auto"/>
              </w:rPr>
            </w:pPr>
          </w:p>
        </w:tc>
      </w:tr>
      <w:tr>
        <w:trPr>
          <w:trHeight w:val="212"/>
        </w:trPr>
        <w:tc>
          <w:tcPr>
            <w:tcW w:w="6160" w:type="dxa"/>
            <w:vAlign w:val="bottom"/>
          </w:tcPr>
          <w:p>
            <w:pPr>
              <w:jc w:val="center"/>
              <w:ind w:right="3517"/>
              <w:spacing w:after="0"/>
              <w:rPr>
                <w:sz w:val="20"/>
                <w:szCs w:val="20"/>
                <w:color w:val="auto"/>
              </w:rPr>
            </w:pPr>
            <w:r>
              <w:rPr>
                <w:rFonts w:ascii="Arial" w:cs="Arial" w:eastAsia="Arial" w:hAnsi="Arial"/>
                <w:sz w:val="18"/>
                <w:szCs w:val="18"/>
                <w:b w:val="1"/>
                <w:bCs w:val="1"/>
                <w:color w:val="auto"/>
                <w:w w:val="89"/>
              </w:rPr>
              <w:t>Chicago, Illinois</w:t>
            </w:r>
          </w:p>
        </w:tc>
        <w:tc>
          <w:tcPr>
            <w:tcW w:w="1220" w:type="dxa"/>
            <w:vAlign w:val="bottom"/>
          </w:tcPr>
          <w:p>
            <w:pPr>
              <w:jc w:val="right"/>
              <w:ind w:right="241"/>
              <w:spacing w:after="0"/>
              <w:rPr>
                <w:sz w:val="20"/>
                <w:szCs w:val="20"/>
                <w:color w:val="auto"/>
              </w:rPr>
            </w:pPr>
            <w:r>
              <w:rPr>
                <w:rFonts w:ascii="Arial" w:cs="Arial" w:eastAsia="Arial" w:hAnsi="Arial"/>
                <w:sz w:val="18"/>
                <w:szCs w:val="18"/>
                <w:b w:val="1"/>
                <w:bCs w:val="1"/>
                <w:color w:val="auto"/>
              </w:rPr>
              <w:t>60654</w:t>
            </w:r>
          </w:p>
        </w:tc>
      </w:tr>
      <w:tr>
        <w:trPr>
          <w:trHeight w:val="186"/>
        </w:trPr>
        <w:tc>
          <w:tcPr>
            <w:tcW w:w="6160" w:type="dxa"/>
            <w:vAlign w:val="bottom"/>
          </w:tcPr>
          <w:p>
            <w:pPr>
              <w:jc w:val="center"/>
              <w:ind w:right="3537"/>
              <w:spacing w:after="0"/>
              <w:rPr>
                <w:sz w:val="20"/>
                <w:szCs w:val="20"/>
                <w:color w:val="auto"/>
              </w:rPr>
            </w:pPr>
            <w:r>
              <w:rPr>
                <w:rFonts w:ascii="Arial" w:cs="Arial" w:eastAsia="Arial" w:hAnsi="Arial"/>
                <w:sz w:val="14"/>
                <w:szCs w:val="14"/>
                <w:b w:val="1"/>
                <w:bCs w:val="1"/>
                <w:color w:val="auto"/>
                <w:w w:val="91"/>
              </w:rPr>
              <w:t>( Address of principal executive offices)</w:t>
            </w:r>
          </w:p>
        </w:tc>
        <w:tc>
          <w:tcPr>
            <w:tcW w:w="1220" w:type="dxa"/>
            <w:vAlign w:val="bottom"/>
          </w:tcPr>
          <w:p>
            <w:pPr>
              <w:jc w:val="center"/>
              <w:ind w:left="61"/>
              <w:spacing w:after="0"/>
              <w:rPr>
                <w:sz w:val="20"/>
                <w:szCs w:val="20"/>
                <w:color w:val="auto"/>
              </w:rPr>
            </w:pPr>
            <w:r>
              <w:rPr>
                <w:rFonts w:ascii="Arial" w:cs="Arial" w:eastAsia="Arial" w:hAnsi="Arial"/>
                <w:sz w:val="14"/>
                <w:szCs w:val="14"/>
                <w:b w:val="1"/>
                <w:bCs w:val="1"/>
                <w:color w:val="auto"/>
                <w:w w:val="91"/>
              </w:rPr>
              <w:t>(zip code)</w:t>
            </w:r>
          </w:p>
        </w:tc>
      </w:tr>
      <w:tr>
        <w:trPr>
          <w:trHeight w:val="399"/>
        </w:trPr>
        <w:tc>
          <w:tcPr>
            <w:tcW w:w="6160" w:type="dxa"/>
            <w:vAlign w:val="bottom"/>
          </w:tcPr>
          <w:p>
            <w:pPr>
              <w:jc w:val="right"/>
              <w:ind w:right="1517"/>
              <w:spacing w:after="0"/>
              <w:rPr>
                <w:sz w:val="20"/>
                <w:szCs w:val="20"/>
                <w:color w:val="auto"/>
              </w:rPr>
            </w:pPr>
            <w:r>
              <w:rPr>
                <w:rFonts w:ascii="Arial" w:cs="Arial" w:eastAsia="Arial" w:hAnsi="Arial"/>
                <w:sz w:val="18"/>
                <w:szCs w:val="18"/>
                <w:b w:val="1"/>
                <w:bCs w:val="1"/>
                <w:color w:val="auto"/>
              </w:rPr>
              <w:t>(312) 471-6720</w:t>
            </w:r>
          </w:p>
        </w:tc>
        <w:tc>
          <w:tcPr>
            <w:tcW w:w="1220" w:type="dxa"/>
            <w:vAlign w:val="bottom"/>
          </w:tcPr>
          <w:p>
            <w:pPr>
              <w:spacing w:after="0"/>
              <w:rPr>
                <w:sz w:val="24"/>
                <w:szCs w:val="24"/>
                <w:color w:val="auto"/>
              </w:rPr>
            </w:pPr>
          </w:p>
        </w:tc>
      </w:tr>
      <w:tr>
        <w:trPr>
          <w:trHeight w:val="234"/>
        </w:trPr>
        <w:tc>
          <w:tcPr>
            <w:tcW w:w="6160" w:type="dxa"/>
            <w:vAlign w:val="bottom"/>
          </w:tcPr>
          <w:p>
            <w:pPr>
              <w:jc w:val="center"/>
              <w:ind w:left="1777"/>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Subordinate Voting Shares</w:t>
      </w:r>
    </w:p>
    <w:p>
      <w:pPr>
        <w:spacing w:after="0" w:line="27"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Multiple Voting Shares</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Super Voting Shares</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(Title of each Class)</w:t>
      </w:r>
    </w:p>
    <w:p>
      <w:pPr>
        <w:spacing w:after="0" w:line="211" w:lineRule="exact"/>
        <w:rPr>
          <w:sz w:val="24"/>
          <w:szCs w:val="24"/>
          <w:color w:val="auto"/>
        </w:rPr>
      </w:pPr>
    </w:p>
    <w:p>
      <w:pPr>
        <w:ind w:left="444"/>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4" w:right="2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4" w:right="16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0964"/>
          </w:cols>
          <w:pgMar w:left="436" w:top="368" w:right="499" w:bottom="0" w:gutter="0" w:footer="0" w:header="0"/>
        </w:sectPr>
      </w:pPr>
    </w:p>
    <w:bookmarkStart w:id="1" w:name="page2"/>
    <w:bookmarkEnd w:id="1"/>
    <w:p>
      <w:pPr>
        <w:ind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6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As of November 5, 2020, there were 175,040,286 shares of the registrant’s Subordinate Voting Shares, 6,779,300 shares of the registrant’s Multiple Voting Shares (on an as converted basis) and 31,203,100 shares of the registrant’s Super Voting Shares (on an as 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60"/>
          </w:cols>
          <w:pgMar w:left="440" w:top="125" w:right="5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20"/>
                <w:szCs w:val="20"/>
                <w:color w:val="auto"/>
              </w:rPr>
            </w:pPr>
            <w:r>
              <w:rPr>
                <w:rFonts w:ascii="Arial" w:cs="Arial" w:eastAsia="Arial" w:hAnsi="Arial"/>
                <w:sz w:val="14"/>
                <w:szCs w:val="14"/>
                <w:b w:val="1"/>
                <w:bCs w:val="1"/>
                <w:color w:val="auto"/>
              </w:rPr>
              <w:t>FINANCIAL INFORMATION</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80" w:type="dxa"/>
            <w:vAlign w:val="bottom"/>
            <w:gridSpan w:val="4"/>
            <w:vMerge w:val="restart"/>
          </w:tcPr>
          <w:p>
            <w:pPr>
              <w:jc w:val="center"/>
              <w:ind w:right="2120"/>
              <w:spacing w:after="0"/>
              <w:rPr>
                <w:sz w:val="20"/>
                <w:szCs w:val="20"/>
                <w:color w:val="auto"/>
              </w:rPr>
            </w:pPr>
            <w:r>
              <w:rPr>
                <w:rFonts w:ascii="Arial" w:cs="Arial" w:eastAsia="Arial" w:hAnsi="Arial"/>
                <w:sz w:val="18"/>
                <w:szCs w:val="18"/>
                <w:b w:val="1"/>
                <w:bCs w:val="1"/>
                <w:color w:val="auto"/>
                <w:w w:val="97"/>
              </w:rPr>
              <w:t>Part I</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8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8220" w:type="dxa"/>
            <w:vAlign w:val="bottom"/>
            <w:gridSpan w:val="6"/>
          </w:tcPr>
          <w:p>
            <w:pPr>
              <w:spacing w:after="0"/>
              <w:rPr>
                <w:rFonts w:ascii="Arial" w:cs="Arial" w:eastAsia="Arial" w:hAnsi="Arial"/>
                <w:sz w:val="18"/>
                <w:szCs w:val="18"/>
                <w:u w:val="single" w:color="auto"/>
                <w:color w:val="0000EE"/>
                <w:w w:val="92"/>
              </w:rPr>
            </w:pPr>
            <w:hyperlink w:anchor="page5">
              <w:r>
                <w:rPr>
                  <w:rFonts w:ascii="Arial" w:cs="Arial" w:eastAsia="Arial" w:hAnsi="Arial"/>
                  <w:sz w:val="18"/>
                  <w:szCs w:val="18"/>
                  <w:u w:val="single" w:color="auto"/>
                  <w:color w:val="0000EE"/>
                  <w:w w:val="92"/>
                </w:rPr>
                <w:t>Unaudited Interim Condensed Consolidated Balance Sheets as of September 30, 2020 and December 31,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16"/>
                <w:szCs w:val="16"/>
                <w:color w:val="auto"/>
              </w:rPr>
            </w:pPr>
          </w:p>
        </w:tc>
        <w:tc>
          <w:tcPr>
            <w:tcW w:w="7660" w:type="dxa"/>
            <w:vAlign w:val="bottom"/>
            <w:tcBorders>
              <w:bottom w:val="single" w:sz="8" w:color="0000EE"/>
            </w:tcBorders>
            <w:gridSpan w:val="3"/>
          </w:tcPr>
          <w:p>
            <w:pPr>
              <w:spacing w:after="0" w:line="190"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Interim Condensed Consolidated Statements of Operations for the three and nine months ended</w:t>
              </w:r>
            </w:hyperlink>
          </w:p>
        </w:tc>
        <w:tc>
          <w:tcPr>
            <w:tcW w:w="56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822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2020 and 2019</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76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Interim Condensed Consolidated Statements of Shareholders’ Equity for the nine months ended</w:t>
              </w:r>
            </w:hyperlink>
          </w:p>
        </w:tc>
        <w:tc>
          <w:tcPr>
            <w:tcW w:w="5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8220" w:type="dxa"/>
            <w:vAlign w:val="bottom"/>
            <w:gridSpan w:val="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2020 and 2019</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8220" w:type="dxa"/>
            <w:vAlign w:val="bottom"/>
            <w:gridSpan w:val="6"/>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Unaudited Interim Condensed Consolidated Statements of Cash Flows for the nine months ended September 30,</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80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2020 and 2019</w:t>
              </w:r>
            </w:hyperlink>
          </w:p>
        </w:tc>
        <w:tc>
          <w:tcPr>
            <w:tcW w:w="1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8220" w:type="dxa"/>
            <w:vAlign w:val="bottom"/>
            <w:gridSpan w:val="6"/>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Interim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2"/>
        </w:trPr>
        <w:tc>
          <w:tcPr>
            <w:tcW w:w="2300" w:type="dxa"/>
            <w:vAlign w:val="bottom"/>
            <w:vMerge w:val="continue"/>
          </w:tcPr>
          <w:p>
            <w:pPr>
              <w:spacing w:after="0"/>
              <w:rPr>
                <w:sz w:val="18"/>
                <w:szCs w:val="18"/>
                <w:color w:val="auto"/>
              </w:rPr>
            </w:pPr>
          </w:p>
        </w:tc>
        <w:tc>
          <w:tcPr>
            <w:tcW w:w="8220" w:type="dxa"/>
            <w:vAlign w:val="bottom"/>
            <w:gridSpan w:val="6"/>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220" w:type="dxa"/>
            <w:vAlign w:val="bottom"/>
            <w:gridSpan w:val="6"/>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 About Market Risk</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220" w:type="dxa"/>
            <w:vAlign w:val="bottom"/>
            <w:gridSpan w:val="6"/>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Controls and Procedures</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00" w:type="dxa"/>
            <w:vAlign w:val="bottom"/>
            <w:vMerge w:val="restart"/>
          </w:tcPr>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OTHER INFORMATION</w:t>
              </w:r>
            </w:hyperlink>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80" w:type="dxa"/>
            <w:vAlign w:val="bottom"/>
            <w:gridSpan w:val="4"/>
          </w:tcPr>
          <w:p>
            <w:pPr>
              <w:jc w:val="center"/>
              <w:ind w:right="2120"/>
              <w:spacing w:after="0"/>
              <w:rPr>
                <w:sz w:val="20"/>
                <w:szCs w:val="20"/>
                <w:color w:val="auto"/>
              </w:rPr>
            </w:pPr>
            <w:r>
              <w:rPr>
                <w:rFonts w:ascii="Arial" w:cs="Arial" w:eastAsia="Arial" w:hAnsi="Arial"/>
                <w:sz w:val="18"/>
                <w:szCs w:val="18"/>
                <w:b w:val="1"/>
                <w:bCs w:val="1"/>
                <w:color w:val="auto"/>
              </w:rPr>
              <w:t>Part 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3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20" w:type="dxa"/>
            <w:vAlign w:val="bottom"/>
            <w:gridSpan w:val="6"/>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220" w:type="dxa"/>
            <w:vAlign w:val="bottom"/>
            <w:gridSpan w:val="6"/>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220" w:type="dxa"/>
            <w:vAlign w:val="bottom"/>
            <w:gridSpan w:val="6"/>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Mine Safety Disclosure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220" w:type="dxa"/>
            <w:vAlign w:val="bottom"/>
            <w:gridSpan w:val="6"/>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4"/>
        </w:trPr>
        <w:tc>
          <w:tcPr>
            <w:tcW w:w="2300" w:type="dxa"/>
            <w:vAlign w:val="bottom"/>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Signatures</w:t>
              </w:r>
            </w:hyperlink>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Use of Names</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In this Interim Report on Form 10-Q, unless the context otherwise requires, the terms “we,” “us,” “our,” “Company,” “Corporation” or “Green Thumb” refer to Green Thumb Industries Inc. together with its wholly-owned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Unless otherwise indicated, all references to “$” or “US$” in this document refer to United States dollars, and all references to “C$” refer to Canadian dollars.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marijuana remains illegal under federal law, and enforcement of cannabis laws could change; the Company may face limitations on ownership of cannabis licenses; the Company may become subject to regulation by the U.S. Food and Drug Administration or the U.S. Bureau of Alcohol, Tobacco and Firearms; the Company may face difficulties obtaining additional financing; the Company operates in a highly regulated sector and may not always succeed in complying fully with applicable regulatory requirements in all jurisdictions where we carry on business; the Company is subject to general economic risks; the Company may be negatively impacted by challenging global economic conditions; the Company is subject to risks arising from epidemic diseases, such as the recent outbreak of the COVID-19 illness; the Company may face difficulties in enforcing its contracts; the Company is subject to taxation in Canada and the United States; cannabis businesses are subject to unfavorable tax treatment; cannabis businesses may be subject to civil asset forfeiture; the Company is subject to proceeds of crime statutes; the Company faces security risks; our use of joint ventures may expose us to risks associated with jointly owned investments; 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 the Company faces risks related to its products; the Company is dependent on the popularity of consumer acceptance of the Company’s brand portfolio; the Company faces risks related to its insurance coverage and uninsurable risks; the Company is dependent on key inputs, suppliers and skilled labor; the Company must attract and maintain key personnel or our business will fail; the Company’s business is subject to the risks inherent in agricultural operations; the Company’s sales are difficult to forecast; the Company’s products may be subject to product recalls; the Company may face unfavorable publicity or consumer perception; the Company faces intense competition; the Company’s voting control is concentrated; the Company’s capital structure and voting control may cause unpredictability; and additional issuances of Super Voting Shares, Multiple Voting Shares or Subordinate Voting Shares may result in dilution. Further information on these and other potential factors that could affect the Company’s business and financial condition and the results of operations are included in the “Risk Factors” section of the Company’s Annual Report on Form 10-K for the year ended December 31, 2019, and elsewhere in the Company’s filings with the SEC, which are available on the SEC’s website or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2020 and 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91"/>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78,091,073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46,667,334</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13,121,285</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7,530,253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55,164,258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46,034,481</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6,990,373</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6,780,657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5,692,248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2,049,886</w:t>
            </w:r>
          </w:p>
        </w:tc>
        <w:tc>
          <w:tcPr>
            <w:tcW w:w="0" w:type="dxa"/>
            <w:vAlign w:val="bottom"/>
          </w:tcPr>
          <w:p>
            <w:pPr>
              <w:spacing w:after="0"/>
              <w:rPr>
                <w:sz w:val="1"/>
                <w:szCs w:val="1"/>
                <w:color w:val="auto"/>
              </w:rPr>
            </w:pPr>
          </w:p>
        </w:tc>
      </w:tr>
      <w:tr>
        <w:trPr>
          <w:trHeight w:val="223"/>
        </w:trPr>
        <w:tc>
          <w:tcPr>
            <w:tcW w:w="84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159,059,237</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109,062,611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177,725,092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155,596,675</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99,447,497</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63,647,812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22,210,999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14,068,821</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Investment in Associate</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11,750,000</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10,350,000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815,937</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409,655,517</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435,246,898</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373,081,716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375,084,991</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1,684,389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3,662,879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1,254,614,447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1,167,536,624</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22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10,988,374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8,745,821</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46,311,550</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37,184,406</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301,027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206,675</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Current Portion of Lease Liabilities</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4,654,032</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3,833,268</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Liability for Acquisition of Noncontrolling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27,100,000</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50,391,181</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16,543,826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5,505,904</w:t>
            </w:r>
          </w:p>
        </w:tc>
        <w:tc>
          <w:tcPr>
            <w:tcW w:w="0" w:type="dxa"/>
            <w:vAlign w:val="bottom"/>
          </w:tcPr>
          <w:p>
            <w:pPr>
              <w:spacing w:after="0"/>
              <w:rPr>
                <w:sz w:val="1"/>
                <w:szCs w:val="1"/>
                <w:color w:val="auto"/>
              </w:rPr>
            </w:pPr>
          </w:p>
        </w:tc>
      </w:tr>
      <w:tr>
        <w:trPr>
          <w:trHeight w:val="223"/>
        </w:trPr>
        <w:tc>
          <w:tcPr>
            <w:tcW w:w="84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105,898,809</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111,367,255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Lease Liabilities,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102,408,462</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61,115,737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Current Portion and Debt Discount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96,758,233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91,140,194</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9,215,360</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8,545,558</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18,513,000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15,879,843</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41,744,283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36,279,361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374,538,147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324,327,948</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COMMITMENTS AND CONTINGENCIES SHARE HOLDERS’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Subordinate Voting Shares (Shares Authorized, Issued and Outstanding at September 30, 2020: Unlimited,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162,999,921 and 162,999,921, respectively, at December 31, 2019: Unlimited, 128,999,964 and 128,999,964,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20" w:type="dxa"/>
            <w:vAlign w:val="bottom"/>
          </w:tcPr>
          <w:p>
            <w:pPr>
              <w:spacing w:after="0" w:line="201" w:lineRule="exact"/>
              <w:rPr>
                <w:sz w:val="20"/>
                <w:szCs w:val="20"/>
                <w:color w:val="auto"/>
              </w:rPr>
            </w:pPr>
            <w:r>
              <w:rPr>
                <w:rFonts w:ascii="Arial" w:cs="Arial" w:eastAsia="Arial" w:hAnsi="Arial"/>
                <w:sz w:val="18"/>
                <w:szCs w:val="18"/>
                <w:color w:val="auto"/>
                <w:w w:val="94"/>
              </w:rPr>
              <w:t>Multiple Voting Shares (Shares Authorized, Issued and Outstanding at September 30, 2020: Unlimited, 120,910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and 120,910, respectively, at December 31, 2019: Unlimited, 373,350 and 373,350, respectively)</w:t>
            </w:r>
          </w:p>
        </w:tc>
        <w:tc>
          <w:tcPr>
            <w:tcW w:w="1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Super Voting Shares (Shares Authorized, Issued and Outstanding at September 30, 2020: Unlimited, 379,336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379,336, respectively, at December 31, 2019: Unlimited, 402,289 and 402,289,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1,041,770,917</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980,638,701</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Contributed Surplus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1,656,498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3,960,854</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Deferred Share Issuances</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1,835,331</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16,587,798</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(167,963,430)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(160,491,590)</w:t>
            </w:r>
          </w:p>
        </w:tc>
        <w:tc>
          <w:tcPr>
            <w:tcW w:w="0" w:type="dxa"/>
            <w:vAlign w:val="bottom"/>
          </w:tcPr>
          <w:p>
            <w:pPr>
              <w:spacing w:after="0"/>
              <w:rPr>
                <w:sz w:val="1"/>
                <w:szCs w:val="1"/>
                <w:color w:val="auto"/>
              </w:rPr>
            </w:pPr>
          </w:p>
        </w:tc>
      </w:tr>
      <w:tr>
        <w:trPr>
          <w:trHeight w:val="223"/>
        </w:trPr>
        <w:tc>
          <w:tcPr>
            <w:tcW w:w="8420" w:type="dxa"/>
            <w:vAlign w:val="bottom"/>
          </w:tcPr>
          <w:p>
            <w:pPr>
              <w:ind w:left="720"/>
              <w:spacing w:after="0"/>
              <w:rPr>
                <w:sz w:val="20"/>
                <w:szCs w:val="20"/>
                <w:color w:val="auto"/>
              </w:rPr>
            </w:pPr>
            <w:r>
              <w:rPr>
                <w:rFonts w:ascii="Arial" w:cs="Arial" w:eastAsia="Arial" w:hAnsi="Arial"/>
                <w:sz w:val="18"/>
                <w:szCs w:val="18"/>
                <w:color w:val="auto"/>
              </w:rPr>
              <w:t>Equity of Green Thumb Industries Inc.</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877,299,316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840,695,763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2,776,984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2,512,913</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880,076,300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843,208,676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1,254,614,447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1,167,536,624</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4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24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157,103,841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67,990,907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379,346,367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140,630,847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(70,146,676)</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(35,849,783)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(175,707,874)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(74,196,750)</w:t>
            </w:r>
          </w:p>
        </w:tc>
        <w:tc>
          <w:tcPr>
            <w:tcW w:w="0" w:type="dxa"/>
            <w:vAlign w:val="bottom"/>
          </w:tcPr>
          <w:p>
            <w:pPr>
              <w:spacing w:after="0"/>
              <w:rPr>
                <w:sz w:val="1"/>
                <w:szCs w:val="1"/>
                <w:color w:val="auto"/>
              </w:rPr>
            </w:pPr>
          </w:p>
        </w:tc>
      </w:tr>
      <w:tr>
        <w:trPr>
          <w:trHeight w:val="115"/>
        </w:trPr>
        <w:tc>
          <w:tcPr>
            <w:tcW w:w="6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86,957,165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32,141,124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203,638,493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66,434,097</w:t>
            </w:r>
          </w:p>
        </w:tc>
        <w:tc>
          <w:tcPr>
            <w:tcW w:w="0" w:type="dxa"/>
            <w:vAlign w:val="bottom"/>
          </w:tcPr>
          <w:p>
            <w:pPr>
              <w:spacing w:after="0"/>
              <w:rPr>
                <w:sz w:val="1"/>
                <w:szCs w:val="1"/>
                <w:color w:val="auto"/>
              </w:rPr>
            </w:pPr>
          </w:p>
        </w:tc>
      </w:tr>
      <w:tr>
        <w:trPr>
          <w:trHeight w:val="331"/>
        </w:trPr>
        <w:tc>
          <w:tcPr>
            <w:tcW w:w="61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49,745,979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30,764,406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144,823,947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88,013,769</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49,745,979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30,764,406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144,823,947</w:t>
            </w: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88,013,769</w:t>
            </w:r>
          </w:p>
        </w:tc>
        <w:tc>
          <w:tcPr>
            <w:tcW w:w="0" w:type="dxa"/>
            <w:vAlign w:val="bottom"/>
          </w:tcPr>
          <w:p>
            <w:pPr>
              <w:spacing w:after="0"/>
              <w:rPr>
                <w:sz w:val="1"/>
                <w:szCs w:val="1"/>
                <w:color w:val="auto"/>
              </w:rPr>
            </w:pPr>
          </w:p>
        </w:tc>
      </w:tr>
      <w:tr>
        <w:trPr>
          <w:trHeight w:val="115"/>
        </w:trPr>
        <w:tc>
          <w:tcPr>
            <w:tcW w:w="6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37,211,186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1,376,718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58,814,546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(21,579,672)</w:t>
            </w:r>
          </w:p>
        </w:tc>
        <w:tc>
          <w:tcPr>
            <w:tcW w:w="0" w:type="dxa"/>
            <w:vAlign w:val="bottom"/>
          </w:tcPr>
          <w:p>
            <w:pPr>
              <w:spacing w:after="0"/>
              <w:rPr>
                <w:sz w:val="1"/>
                <w:szCs w:val="1"/>
                <w:color w:val="auto"/>
              </w:rPr>
            </w:pPr>
          </w:p>
        </w:tc>
      </w:tr>
      <w:tr>
        <w:trPr>
          <w:trHeight w:val="331"/>
        </w:trPr>
        <w:tc>
          <w:tcPr>
            <w:tcW w:w="61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6,432,883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(6,585,540)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7,501,566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(7,969,433)</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407,509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109,922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1,300,233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(4,460,125)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(5,912,290)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(14,236,475)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(11,762,222)</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1,978,155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(12,090,321)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(6,624,987)</w:t>
            </w: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(18,431,422)</w:t>
            </w:r>
          </w:p>
        </w:tc>
        <w:tc>
          <w:tcPr>
            <w:tcW w:w="0" w:type="dxa"/>
            <w:vAlign w:val="bottom"/>
          </w:tcPr>
          <w:p>
            <w:pPr>
              <w:spacing w:after="0"/>
              <w:rPr>
                <w:sz w:val="1"/>
                <w:szCs w:val="1"/>
                <w:color w:val="auto"/>
              </w:rPr>
            </w:pPr>
          </w:p>
        </w:tc>
      </w:tr>
      <w:tr>
        <w:trPr>
          <w:trHeight w:val="115"/>
        </w:trPr>
        <w:tc>
          <w:tcPr>
            <w:tcW w:w="6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 (Loss) Before Provision for Income Taxes And Non-Controlling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Interest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39,189,341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(10,713,603)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52,189,559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(40,011,094)</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Income Taxes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28,436,332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3,624,333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56,964,047</w:t>
            </w: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4,706,000</w:t>
            </w:r>
          </w:p>
        </w:tc>
        <w:tc>
          <w:tcPr>
            <w:tcW w:w="0" w:type="dxa"/>
            <w:vAlign w:val="bottom"/>
          </w:tcPr>
          <w:p>
            <w:pPr>
              <w:spacing w:after="0"/>
              <w:rPr>
                <w:sz w:val="1"/>
                <w:szCs w:val="1"/>
                <w:color w:val="auto"/>
              </w:rPr>
            </w:pPr>
          </w:p>
        </w:tc>
      </w:tr>
      <w:tr>
        <w:trPr>
          <w:trHeight w:val="115"/>
        </w:trPr>
        <w:tc>
          <w:tcPr>
            <w:tcW w:w="6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10,753,009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(14,337,936)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(4,774,488)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(44,717,094)</w:t>
            </w:r>
          </w:p>
        </w:tc>
        <w:tc>
          <w:tcPr>
            <w:tcW w:w="0" w:type="dxa"/>
            <w:vAlign w:val="bottom"/>
          </w:tcPr>
          <w:p>
            <w:pPr>
              <w:spacing w:after="0"/>
              <w:rPr>
                <w:sz w:val="1"/>
                <w:szCs w:val="1"/>
                <w:color w:val="auto"/>
              </w:rPr>
            </w:pPr>
          </w:p>
        </w:tc>
      </w:tr>
      <w:tr>
        <w:trPr>
          <w:trHeight w:val="324"/>
        </w:trPr>
        <w:tc>
          <w:tcPr>
            <w:tcW w:w="612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1,109,080</w:t>
            </w: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252,857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2,697,352</w:t>
            </w: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328,804</w:t>
            </w:r>
          </w:p>
        </w:tc>
        <w:tc>
          <w:tcPr>
            <w:tcW w:w="0" w:type="dxa"/>
            <w:vAlign w:val="bottom"/>
          </w:tcPr>
          <w:p>
            <w:pPr>
              <w:spacing w:after="0"/>
              <w:rPr>
                <w:sz w:val="1"/>
                <w:szCs w:val="1"/>
                <w:color w:val="auto"/>
              </w:rPr>
            </w:pPr>
          </w:p>
        </w:tc>
      </w:tr>
      <w:tr>
        <w:trPr>
          <w:trHeight w:val="115"/>
        </w:trPr>
        <w:tc>
          <w:tcPr>
            <w:tcW w:w="6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Green Thumb Industries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9,643,929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(14,590,793)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(7,471,840)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(45,045,898)</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per share -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2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211,990,405</w:t>
            </w: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204,709,085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210,127,323</w:t>
            </w: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184,851,805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 outstandingdiluted</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214,212,292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204,709,085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210,127,323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184,851,805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Contributed</w:t>
            </w:r>
          </w:p>
        </w:tc>
        <w:tc>
          <w:tcPr>
            <w:tcW w:w="80" w:type="dxa"/>
            <w:vAlign w:val="bottom"/>
          </w:tcPr>
          <w:p>
            <w:pPr>
              <w:spacing w:after="0"/>
              <w:rPr>
                <w:sz w:val="14"/>
                <w:szCs w:val="1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Deferred Share</w:t>
            </w:r>
          </w:p>
        </w:tc>
        <w:tc>
          <w:tcPr>
            <w:tcW w:w="60" w:type="dxa"/>
            <w:vAlign w:val="bottom"/>
          </w:tcPr>
          <w:p>
            <w:pPr>
              <w:spacing w:after="0"/>
              <w:rPr>
                <w:sz w:val="14"/>
                <w:szCs w:val="14"/>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Non-</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Share 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Controlling</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Be Issued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Issuance</w:t>
            </w:r>
          </w:p>
        </w:tc>
        <w:tc>
          <w:tcPr>
            <w:tcW w:w="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Earnings (Deficit)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July 1, 2019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950,736,500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(4,997,380)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16,587,798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(131,830,288)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(392,655)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$830,103,975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w w:val="89"/>
              </w:rPr>
              <w:t>Issuance of shares under business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w w:val="95"/>
              </w:rPr>
              <w:t>combinations and investments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14,085,238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14,085,326</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3,564,095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3,564,095</w:t>
            </w: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color w:val="auto"/>
              </w:rPr>
              <w:t>Shares withheld in lieu of cash</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(125,060)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(125,060)</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limited liability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 unit holders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(1,900,000)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(1,900,000)</w:t>
            </w: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(14,590,793)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252,857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(14,337,936)</w:t>
            </w:r>
          </w:p>
        </w:tc>
        <w:tc>
          <w:tcPr>
            <w:tcW w:w="0" w:type="dxa"/>
            <w:vAlign w:val="bottom"/>
          </w:tcPr>
          <w:p>
            <w:pPr>
              <w:spacing w:after="0"/>
              <w:rPr>
                <w:sz w:val="1"/>
                <w:szCs w:val="1"/>
                <w:color w:val="auto"/>
              </w:rPr>
            </w:pPr>
          </w:p>
        </w:tc>
      </w:tr>
      <w:tr>
        <w:trPr>
          <w:trHeight w:val="115"/>
        </w:trPr>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964,821,738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(1,558,257)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16,587,798</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 (146,421,081)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(2,039,798)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831,390,400</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Balance, January 1, 2019</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52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397,590,465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27,773,234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14,202,659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 (100,876,937)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3,497,459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$342,186,880</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Adoption of ASC 842, </w:t>
            </w:r>
            <w:r>
              <w:rPr>
                <w:rFonts w:ascii="Arial" w:cs="Arial" w:eastAsia="Arial" w:hAnsi="Arial"/>
                <w:sz w:val="18"/>
                <w:szCs w:val="18"/>
                <w:i w:val="1"/>
                <w:iCs w:val="1"/>
                <w:color w:val="auto"/>
              </w:rPr>
              <w:t>Leases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(498,246)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(498,246)</w:t>
            </w: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adjustment for change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ownership</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27,773,234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(27,773,234)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4,200,382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4,200,382</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limited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company unit holders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1,650,000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w w:val="89"/>
              </w:rPr>
              <w:t>Issuance of shares under business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w w:val="95"/>
              </w:rPr>
              <w:t>combinations and investments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509,568,665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(23,813,393)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485,755,272</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7"/>
              </w:rPr>
              <w:t>Reciprocal derivative instrument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(4,526,401)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(4,526,401)</w:t>
            </w: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w w:val="91"/>
              </w:rPr>
              <w:t>Issuance of shares for redemption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of noncontrolling interests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29,889,374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(4,820,527)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25,068,847</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Deferred share issuances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16,587,798</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16,587,798</w:t>
            </w: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13,324,083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13,324,083</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lieu of cash</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(125,060)</w:t>
            </w: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Distributions to limited liability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company unit holders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(7,516,061)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(7,516,061)</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(45,045,898)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328,804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(44,717,094)</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2019</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964,821,738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(1,558,257)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16,587,798</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 (146,421,081)</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(2,039,798)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831,390,400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July 1, 2020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1,004,812,062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6,545,712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15,280,000</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 (177,607,359)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2,367,904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$851,398,319</w:t>
            </w: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adjustment for change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ownership</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5,700,000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5,700,000</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Issuance of shares for redemption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noncontrolling interests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20,078,940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(14,728,940)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5,350,000</w:t>
            </w: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Distribution of contingent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consideration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2,690,914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2,690,914</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deferred 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13,444,669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(13,444,669)</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color w:val="auto"/>
                <w:w w:val="95"/>
              </w:rPr>
              <w:t>Exercise of options and warrants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744,332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(295,908)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448,424</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4,435,634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4,435,634</w:t>
            </w: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Distributions to third party and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limited liability company unit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holders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(700,000)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9,643,929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1,109,080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10,753,009</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2020</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1,041,770,917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1,656,498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1,835,331</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 (167,963,430)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2,776,984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880,076,300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980,638,701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3,960,854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16,587,798</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 (160,491,590)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2,512,913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$843,208,676</w:t>
            </w: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Contributions from limited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liability company unit holders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Issuance of shares under business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combinations and investments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2,524,560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(2,678,489)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(153,929)</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91"/>
              </w:rPr>
              <w:t>Issuance of shares for redemption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of noncontrolling interests</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20,078,940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(14,728,940)</w:t>
            </w:r>
          </w:p>
        </w:tc>
        <w:tc>
          <w:tcPr>
            <w:tcW w:w="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5,350,000</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 of contingent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22,885,813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22,885,813</w:t>
            </w: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color w:val="auto"/>
              </w:rPr>
              <w:t>Distribution of deferred shares</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14,752,467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(14,752,467)</w:t>
            </w:r>
          </w:p>
        </w:tc>
        <w:tc>
          <w:tcPr>
            <w:tcW w:w="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Issueance of warrants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181,272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181,272</w:t>
            </w: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color w:val="auto"/>
                <w:w w:val="95"/>
              </w:rPr>
              <w:t>Exercise of options and warrants</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890,436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(234,340)</w:t>
            </w: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656,096</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15,209,518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15,209,518</w:t>
            </w: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Distributions to third party and</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limited liability company unit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holders</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(53,377)</w:t>
            </w:r>
          </w:p>
        </w:tc>
        <w:tc>
          <w:tcPr>
            <w:tcW w:w="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(2,483,281)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(2,536,658)</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(7,471,840)</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2,697,352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(4,774,488)</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2020</w:t>
            </w: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1,041,770,917</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  1,656,498</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  1,835,331</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 (167,963,430)</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w w:val="96"/>
              </w:rPr>
              <w:t>$ 2,776,984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880,076,300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8"/>
                <w:szCs w:val="18"/>
                <w:color w:val="auto"/>
              </w:rPr>
              <w:t>- 6 -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3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7"/>
          </w:tcPr>
          <w:p>
            <w:pPr>
              <w:jc w:val="right"/>
              <w:ind w:right="14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8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Net loss attributable to Green Thumb Industries Inc.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(7,471,840)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(45,045,898)</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2,697,352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328,804</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38,479,960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17,528,891</w:t>
            </w: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Amortization of operating lease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18,987,980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4,229,889</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(Gain) loss from investment in associate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56,423</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Bad debt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315,798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4,377,000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(5,712,000)</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15,209,520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13,324,083</w:t>
            </w: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Decrease (increase) in fair value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(9,542,178)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886,002</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value of liabilities related to put option and purchase of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(823,550)</w:t>
            </w: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Interest on contingent consideration payable and acquisition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998,842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3,258,804</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of contingent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(425,424)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Increase in fair value of warrant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2,060,771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of note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815,937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7,424,727</w:t>
            </w: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Amortization of debt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4,048,531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2,100,738</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(5,616,054)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1,165,271</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(9,129,777)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(9,478,848)</w:t>
            </w: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(4,142,854)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(3,237,772)</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1,567,458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1,045,821</w:t>
            </w: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2,242,553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1,707,947</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13,609,399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14,451,557</w:t>
            </w: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(12,674,176)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(4,184,228)</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14,617,544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260,535</w:t>
            </w:r>
          </w:p>
        </w:tc>
      </w:tr>
      <w:tr>
        <w:trPr>
          <w:trHeight w:val="223"/>
        </w:trPr>
        <w:tc>
          <w:tcPr>
            <w:tcW w:w="8540" w:type="dxa"/>
            <w:vAlign w:val="bottom"/>
          </w:tcPr>
          <w:p>
            <w:pPr>
              <w:ind w:left="10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71,056,200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(712,804)</w:t>
            </w:r>
          </w:p>
        </w:tc>
        <w:tc>
          <w:tcPr>
            <w:tcW w:w="120" w:type="dxa"/>
            <w:vAlign w:val="bottom"/>
          </w:tcPr>
          <w:p>
            <w:pPr>
              <w:spacing w:after="0"/>
              <w:rPr>
                <w:sz w:val="19"/>
                <w:szCs w:val="19"/>
                <w:color w:val="auto"/>
              </w:rPr>
            </w:pPr>
          </w:p>
        </w:tc>
      </w:tr>
      <w:tr>
        <w:trPr>
          <w:trHeight w:val="115"/>
        </w:trPr>
        <w:tc>
          <w:tcPr>
            <w:tcW w:w="8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(49,221,442)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(66,875,245)</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11,799,025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Repayment of debenture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3,000,000</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businesses,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(108,067,892)</w:t>
            </w:r>
          </w:p>
        </w:tc>
      </w:tr>
      <w:tr>
        <w:trPr>
          <w:trHeight w:val="223"/>
        </w:trPr>
        <w:tc>
          <w:tcPr>
            <w:tcW w:w="8540" w:type="dxa"/>
            <w:vAlign w:val="bottom"/>
          </w:tcPr>
          <w:p>
            <w:pPr>
              <w:ind w:left="72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(37,422,417</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(171,943,137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15"/>
        </w:trPr>
        <w:tc>
          <w:tcPr>
            <w:tcW w:w="8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Contributions from limited liability company unit 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1,650,000</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third parties and limited liability company unit 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(2,536,658)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(7,516,061)</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Proceeds from exercise of options and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656,096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117,435,724</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Payment for purchase of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repayment of 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(229,482)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(18,778,140)</w:t>
            </w:r>
          </w:p>
        </w:tc>
      </w:tr>
      <w:tr>
        <w:trPr>
          <w:trHeight w:val="223"/>
        </w:trPr>
        <w:tc>
          <w:tcPr>
            <w:tcW w:w="8540" w:type="dxa"/>
            <w:vAlign w:val="bottom"/>
          </w:tcPr>
          <w:p>
            <w:pPr>
              <w:ind w:left="7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(2,210,044)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92,791,523</w:t>
            </w:r>
          </w:p>
        </w:tc>
        <w:tc>
          <w:tcPr>
            <w:tcW w:w="120" w:type="dxa"/>
            <w:vAlign w:val="bottom"/>
          </w:tcPr>
          <w:p>
            <w:pPr>
              <w:spacing w:after="0"/>
              <w:rPr>
                <w:sz w:val="19"/>
                <w:szCs w:val="19"/>
                <w:color w:val="auto"/>
              </w:rPr>
            </w:pPr>
          </w:p>
        </w:tc>
      </w:tr>
      <w:tr>
        <w:trPr>
          <w:trHeight w:val="115"/>
        </w:trPr>
        <w:tc>
          <w:tcPr>
            <w:tcW w:w="8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31,423,739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(79,864,418)</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46,667,334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145,986,072</w:t>
            </w:r>
          </w:p>
        </w:tc>
      </w:tr>
      <w:tr>
        <w:trPr>
          <w:trHeight w:val="223"/>
        </w:trPr>
        <w:tc>
          <w:tcPr>
            <w:tcW w:w="8540" w:type="dxa"/>
            <w:vAlign w:val="bottom"/>
          </w:tcPr>
          <w:p>
            <w:pPr>
              <w:ind w:left="720"/>
              <w:spacing w:after="0"/>
              <w:rPr>
                <w:sz w:val="20"/>
                <w:szCs w:val="20"/>
                <w:color w:val="auto"/>
              </w:rPr>
            </w:pPr>
            <w:r>
              <w:rPr>
                <w:rFonts w:ascii="Arial" w:cs="Arial" w:eastAsia="Arial" w:hAnsi="Arial"/>
                <w:sz w:val="18"/>
                <w:szCs w:val="18"/>
                <w:b w:val="1"/>
                <w:bCs w:val="1"/>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78,091,073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66,121,654</w:t>
            </w:r>
          </w:p>
        </w:tc>
        <w:tc>
          <w:tcPr>
            <w:tcW w:w="12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w:t>
      </w:r>
    </w:p>
    <w:p>
      <w:pPr>
        <w:sectPr>
          <w:pgSz w:w="11900" w:h="16838" w:orient="portrait"/>
          <w:cols w:equalWidth="0" w:num="1">
            <w:col w:w="11020"/>
          </w:cols>
          <w:pgMar w:left="440" w:top="270" w:right="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Interest paid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9,418,727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5,964,621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82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(6,798,187)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4,232,914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Noncash increase in right of use asset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(36,854,352)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(22,233,609)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20" w:type="dxa"/>
            <w:vAlign w:val="bottom"/>
          </w:tcPr>
          <w:p>
            <w:pPr>
              <w:spacing w:after="0"/>
              <w:rPr>
                <w:sz w:val="20"/>
                <w:szCs w:val="20"/>
                <w:color w:val="auto"/>
              </w:rPr>
            </w:pPr>
            <w:r>
              <w:rPr>
                <w:rFonts w:ascii="Arial" w:cs="Arial" w:eastAsia="Arial" w:hAnsi="Arial"/>
                <w:sz w:val="18"/>
                <w:szCs w:val="18"/>
                <w:color w:val="auto"/>
              </w:rPr>
              <w:t>Noncash increase in lease liability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36,854,352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22,731,855</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liability upon adoption of ASC 842, </w:t>
            </w:r>
            <w:r>
              <w:rPr>
                <w:rFonts w:ascii="Arial" w:cs="Arial" w:eastAsia="Arial" w:hAnsi="Arial"/>
                <w:sz w:val="18"/>
                <w:szCs w:val="18"/>
                <w:i w:val="1"/>
                <w:iCs w:val="1"/>
                <w:color w:val="auto"/>
              </w:rPr>
              <w:t>Leases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(498,246)</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20" w:type="dxa"/>
            <w:vAlign w:val="bottom"/>
          </w:tcPr>
          <w:p>
            <w:pPr>
              <w:spacing w:after="0"/>
              <w:rPr>
                <w:sz w:val="20"/>
                <w:szCs w:val="20"/>
                <w:color w:val="auto"/>
              </w:rPr>
            </w:pPr>
            <w:r>
              <w:rPr>
                <w:rFonts w:ascii="Arial" w:cs="Arial" w:eastAsia="Arial" w:hAnsi="Arial"/>
                <w:sz w:val="18"/>
                <w:szCs w:val="18"/>
                <w:color w:val="auto"/>
              </w:rPr>
              <w:t>Exercise of put option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4,200,382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Warrants attributable to debt issuance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753,658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20" w:type="dxa"/>
            <w:vAlign w:val="bottom"/>
          </w:tcPr>
          <w:p>
            <w:pPr>
              <w:spacing w:after="0"/>
              <w:rPr>
                <w:sz w:val="20"/>
                <w:szCs w:val="20"/>
                <w:color w:val="auto"/>
              </w:rPr>
            </w:pPr>
            <w:r>
              <w:rPr>
                <w:rFonts w:ascii="Arial" w:cs="Arial" w:eastAsia="Arial" w:hAnsi="Arial"/>
                <w:sz w:val="18"/>
                <w:szCs w:val="18"/>
                <w:color w:val="auto"/>
              </w:rPr>
              <w:t>Mortgages associated with dispensaries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2,647,000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Liability for purchase of noncontrolling interest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(5,350,000)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20" w:type="dxa"/>
            <w:vAlign w:val="bottom"/>
          </w:tcPr>
          <w:p>
            <w:pPr>
              <w:spacing w:after="0"/>
              <w:rPr>
                <w:sz w:val="20"/>
                <w:szCs w:val="20"/>
                <w:color w:val="auto"/>
              </w:rPr>
            </w:pPr>
            <w:r>
              <w:rPr>
                <w:rFonts w:ascii="Arial" w:cs="Arial" w:eastAsia="Arial" w:hAnsi="Arial"/>
                <w:sz w:val="18"/>
                <w:szCs w:val="18"/>
                <w:color w:val="auto"/>
              </w:rPr>
              <w:t>Liability associated with acquisition agreement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acquisition agreement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22,485,670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(485,476,925)</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20" w:type="dxa"/>
            <w:vAlign w:val="bottom"/>
          </w:tcPr>
          <w:p>
            <w:pPr>
              <w:spacing w:after="0"/>
              <w:rPr>
                <w:sz w:val="20"/>
                <w:szCs w:val="20"/>
                <w:color w:val="auto"/>
              </w:rPr>
            </w:pPr>
            <w:r>
              <w:rPr>
                <w:rFonts w:ascii="Arial" w:cs="Arial" w:eastAsia="Arial" w:hAnsi="Arial"/>
                <w:sz w:val="18"/>
                <w:szCs w:val="18"/>
                <w:color w:val="auto"/>
              </w:rPr>
              <w:t>Deferred share issuances</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(14,752,467)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16,587,798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8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13,602,245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2,117,412</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80,615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17,341,103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 of use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4,154,672</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Identifiable intangible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305,625,592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(2,003,275)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393,278,807</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Deposits and other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603,988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1,694,533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assumed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(1,302,604)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(9,489,616)</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(4,154,672)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liabilities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(52,864,000)</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Equity interests issued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503,389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(485,476,925)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share issuances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(16,587,798)</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Conversion of note receivable previously issued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(27,025,800)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liability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(1,630,893)</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2,491,700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(32,448,100)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75,116,621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66,121,654</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2,974,452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7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 AND RESTRICED CASH</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78,091,073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66,121,654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6995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0"/>
          </w:cols>
          <w:pgMar w:left="440" w:top="274" w:right="43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83"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964" w:hanging="532"/>
        <w:spacing w:after="0"/>
        <w:tabs>
          <w:tab w:leader="none" w:pos="96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Green Thumb Industries Inc. (“Green Thumb” or the “Company”) is promoting well-being through the power of cannabis through branded consumer packaged goods and people-first retail experiences, while being committed to community and sustainable profitable growth. Green Thumb owns, manufactures, and distributes a portfolio of cannabis consumer packaged goods brands including Beboe, Dogwalkers, Dr. Solomon’s, incredibles, Rythm and The Feel Collection, primarily to third-party retail stores across the United States as well as to Green Thumb owned retail stores. The Company also owns and operates retail cannabis stores that include a rapidly growing national chain of retail cannabis stores named Rise™ and a Las Vegas, Nevada area chain of retail cannabis stores named Essence. As of September 30, 2020, Green Thumb has revenue in twelve markets (California, Colorado, Connecticut, Florida, Illinois, Maryland, Massachusetts, Nevada, New Jersey, New York, Ohio, and Pennsylvania).</w:t>
      </w:r>
    </w:p>
    <w:p>
      <w:pPr>
        <w:spacing w:after="0" w:line="166"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On June 12, 2018, the Company completed a reverse takeover transaction (“RTO”) as further described in Note 3 of Green Thumb’s Annual Report on Form 10-K for the year ended December 31, 2019 filed with the SEC on April 15, 2020 (“2019 Form 10-K”). Following the RTO, the Company was listed on the Canadian Securities Exchange (the “CSE”) under ticker symbol “GTII” and on the OTCQX, part of the OTC Markets Group, under the ticker “GTBIF”.</w:t>
      </w:r>
    </w:p>
    <w:p>
      <w:pPr>
        <w:spacing w:after="0" w:line="187"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Suite 700, Chicago, IL 60654.</w:t>
      </w:r>
    </w:p>
    <w:p>
      <w:pPr>
        <w:spacing w:after="0" w:line="319" w:lineRule="exact"/>
        <w:rPr>
          <w:sz w:val="20"/>
          <w:szCs w:val="20"/>
          <w:color w:val="auto"/>
        </w:rPr>
      </w:pPr>
    </w:p>
    <w:p>
      <w:pPr>
        <w:ind w:left="964" w:hanging="532"/>
        <w:spacing w:after="0"/>
        <w:tabs>
          <w:tab w:leader="none" w:pos="96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The accompanying unaudited interim condensed consolidated financial statements include the accounts of Green Thumb Industries Inc. and have been prepared in accordance with accounting principles generally accepted in the United States (“GAAP”) for interim financial information and in accordance with the rules and regulations of the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and combined financial statements and accompanying notes included in the 2019 Form 10-K. In the opinion of management, the financial data presented includes all adjustments necessary to present fairly the financial position, results of operations and cash flows for the interim periods presented.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168"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Certain previously reported amounts have been reclassified between line items to conform to the current presentation. The reclassifications did not affect the Company’s previously reported consolidated balance sheets, consolidated statements of operations, statements of cash flows or statements of changes in shareholders’ equity.</w:t>
      </w:r>
    </w:p>
    <w:p>
      <w:pPr>
        <w:spacing w:after="0" w:line="184"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2020 are not necessarily indicative of the results to be expected for the entire year ending December 31, 2020.</w:t>
      </w:r>
    </w:p>
    <w:p>
      <w:pPr>
        <w:spacing w:after="0" w:line="319" w:lineRule="exact"/>
        <w:rPr>
          <w:sz w:val="20"/>
          <w:szCs w:val="20"/>
          <w:color w:val="auto"/>
        </w:rPr>
      </w:pPr>
    </w:p>
    <w:p>
      <w:pPr>
        <w:ind w:left="964" w:hanging="532"/>
        <w:spacing w:after="0"/>
        <w:tabs>
          <w:tab w:leader="none" w:pos="96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jc w:val="center"/>
        <w:ind w:right="256"/>
        <w:spacing w:after="0" w:line="449" w:lineRule="auto"/>
        <w:rPr>
          <w:sz w:val="20"/>
          <w:szCs w:val="20"/>
          <w:color w:val="auto"/>
        </w:rPr>
      </w:pPr>
      <w:r>
        <w:rPr>
          <w:rFonts w:ascii="Arial" w:cs="Arial" w:eastAsia="Arial" w:hAnsi="Arial"/>
          <w:sz w:val="18"/>
          <w:szCs w:val="18"/>
          <w:color w:val="auto"/>
        </w:rPr>
        <w:t>There have been no changes to the Company’s significant accounting policies as described in Note 2 of the Company’s 2019 Form 10-K. - 9 -</w:t>
      </w:r>
    </w:p>
    <w:p>
      <w:pPr>
        <w:sectPr>
          <w:pgSz w:w="11900" w:h="16838" w:orient="portrait"/>
          <w:cols w:equalWidth="0" w:num="1">
            <w:col w:w="11004"/>
          </w:cols>
          <w:pgMar w:left="436" w:top="270" w:right="45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964" w:hanging="532"/>
        <w:spacing w:after="0"/>
        <w:tabs>
          <w:tab w:leader="none" w:pos="964"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Earnings (Loss) per Share</w:t>
      </w:r>
    </w:p>
    <w:p>
      <w:pPr>
        <w:spacing w:after="0" w:line="117"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Basic earnings (loss) per share is calculated by dividing the net income (loss) attributable to shareholders by the weighted average number of common shares (Subordinate Voting Shares, Multiple Voting Shares on an as converted basis, and Super Voting Shares on an as converted basis) outstanding during each of the periods presented. Contingently issuable shares (including shares held in escrow) are not considered outstanding common shares and consequently are not included in the basic earnings (loss) per share calculations. Diluted earnings (loss)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At September 30, 2020, the Company had 5,782,599 options, 688,507 restricted stock units and 2,520,794 warrants outstanding. At September 30, 2019, the Company had 6,031,833 options, 1,479,038 restricted stock units and 2,041,735 warrants outstanding.</w:t>
      </w:r>
    </w:p>
    <w:p>
      <w:pPr>
        <w:spacing w:after="0" w:line="165"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In order to determine diluted earnings (loss) per share, it is assumed that any proceeds from the exercise of dilutive unvested restricted stock units, stock options, and warrants would be used to repurchase common shares at the average market price during the period. Under the treasury stock method, the diluted loss per share calculation excludes any potential exercise of restricted stock units, stock options or warrants that would decrease loss per share. For the three months ended September 30, 2020, the computation of diluted loss per share included 1,928,946 options, 151,458 restricted stock units and 141,482 warrants. No potentially dilutive common share equivalents were included in the computation of diluted loss per share for the three months ended September 30, 2019 and nine months ended September 30, 2020 and 2019 because their impact was anti-dilutive.</w:t>
      </w:r>
    </w:p>
    <w:p>
      <w:pPr>
        <w:spacing w:after="0" w:line="313" w:lineRule="exact"/>
        <w:rPr>
          <w:sz w:val="20"/>
          <w:szCs w:val="20"/>
          <w:color w:val="auto"/>
        </w:rPr>
      </w:pPr>
    </w:p>
    <w:p>
      <w:pPr>
        <w:ind w:left="964" w:hanging="532"/>
        <w:spacing w:after="0"/>
        <w:tabs>
          <w:tab w:leader="none" w:pos="96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w:t>
      </w:r>
    </w:p>
    <w:p>
      <w:pPr>
        <w:spacing w:after="0" w:line="130" w:lineRule="exact"/>
        <w:rPr>
          <w:rFonts w:ascii="Arial" w:cs="Arial" w:eastAsia="Arial" w:hAnsi="Arial"/>
          <w:sz w:val="18"/>
          <w:szCs w:val="18"/>
          <w:i w:val="1"/>
          <w:iCs w:val="1"/>
          <w:color w:val="auto"/>
        </w:rPr>
      </w:pPr>
    </w:p>
    <w:p>
      <w:pPr>
        <w:ind w:left="1424" w:right="60" w:hanging="439"/>
        <w:spacing w:after="0" w:line="290" w:lineRule="auto"/>
        <w:tabs>
          <w:tab w:leader="none" w:pos="1424" w:val="left"/>
        </w:tabs>
        <w:numPr>
          <w:ilvl w:val="1"/>
          <w:numId w:val="9"/>
        </w:numPr>
        <w:rPr>
          <w:rFonts w:ascii="Arial" w:cs="Arial" w:eastAsia="Arial" w:hAnsi="Arial"/>
          <w:sz w:val="16"/>
          <w:szCs w:val="16"/>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(Topic 326) Measurement of Credit Losses on Financial Instruments (“ASU 2016-13”), which replaces the incurred loss model with a current expected credit loss (“CECL”) model and requires consideration of a broader range of reasonable and supportable information to explain credit loss estimates. This standard applies to financial assets, measured at amortized cost, including loans, held-to-maturity debt securities, net investments in leases and trade accounts receivable. The guidance must be adopted using a modified retrospective transition method through a cumulative-effect adjustment to retained earnings in the period of adoption. The Company adopted the new standard in the first quarter of 2020. The adoption of the standard did not have a material impact on the Company’s unaudited interim condensed consolidated financial statements.</w:t>
      </w:r>
    </w:p>
    <w:p>
      <w:pPr>
        <w:spacing w:after="0" w:line="70" w:lineRule="exact"/>
        <w:rPr>
          <w:rFonts w:ascii="Arial" w:cs="Arial" w:eastAsia="Arial" w:hAnsi="Arial"/>
          <w:sz w:val="16"/>
          <w:szCs w:val="16"/>
          <w:color w:val="auto"/>
        </w:rPr>
      </w:pPr>
    </w:p>
    <w:p>
      <w:pPr>
        <w:ind w:left="1424" w:hanging="439"/>
        <w:spacing w:after="0" w:line="271" w:lineRule="auto"/>
        <w:tabs>
          <w:tab w:leader="none" w:pos="1424" w:val="left"/>
        </w:tabs>
        <w:numPr>
          <w:ilvl w:val="1"/>
          <w:numId w:val="9"/>
        </w:numPr>
        <w:rPr>
          <w:rFonts w:ascii="Arial" w:cs="Arial" w:eastAsia="Arial" w:hAnsi="Arial"/>
          <w:sz w:val="17"/>
          <w:szCs w:val="17"/>
          <w:color w:val="auto"/>
        </w:rPr>
      </w:pPr>
      <w:r>
        <w:rPr>
          <w:rFonts w:ascii="Arial" w:cs="Arial" w:eastAsia="Arial" w:hAnsi="Arial"/>
          <w:sz w:val="17"/>
          <w:szCs w:val="17"/>
          <w:color w:val="auto"/>
        </w:rPr>
        <w:t>In January 2017, the FASB issued Accounting Standards Update No. 2017-04 “Intangibles—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 The Company adopted the new standard in the first quarter of 2020. The adoption of the standard did not have a material impact on the Company’s unaudited interim condensed consolidated financial statements.</w:t>
      </w:r>
    </w:p>
    <w:p>
      <w:pPr>
        <w:spacing w:after="0" w:line="110" w:lineRule="exact"/>
        <w:rPr>
          <w:rFonts w:ascii="Arial" w:cs="Arial" w:eastAsia="Arial" w:hAnsi="Arial"/>
          <w:sz w:val="17"/>
          <w:szCs w:val="17"/>
          <w:color w:val="auto"/>
        </w:rPr>
      </w:pPr>
    </w:p>
    <w:p>
      <w:pPr>
        <w:ind w:left="5424" w:hanging="111"/>
        <w:spacing w:after="0"/>
        <w:tabs>
          <w:tab w:leader="none" w:pos="5424" w:val="left"/>
        </w:tabs>
        <w:numPr>
          <w:ilvl w:val="2"/>
          <w:numId w:val="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0" w:right="459" w:bottom="1440" w:gutter="0" w:footer="0" w:header="0"/>
        </w:sectPr>
      </w:pPr>
    </w:p>
    <w:bookmarkStart w:id="12" w:name="page13"/>
    <w:bookmarkEnd w:id="12"/>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5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2" w:lineRule="exact"/>
        <w:rPr>
          <w:rFonts w:ascii="Arial" w:cs="Arial" w:eastAsia="Arial" w:hAnsi="Arial"/>
          <w:sz w:val="18"/>
          <w:szCs w:val="18"/>
          <w:b w:val="1"/>
          <w:bCs w:val="1"/>
          <w:color w:val="auto"/>
        </w:rPr>
      </w:pPr>
    </w:p>
    <w:p>
      <w:pPr>
        <w:ind w:left="964" w:hanging="532"/>
        <w:spacing w:after="0"/>
        <w:tabs>
          <w:tab w:leader="none" w:pos="964" w:val="left"/>
        </w:tabs>
        <w:numPr>
          <w:ilvl w:val="1"/>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 (Continued)</w:t>
      </w:r>
    </w:p>
    <w:p>
      <w:pPr>
        <w:spacing w:after="0" w:line="130" w:lineRule="exact"/>
        <w:rPr>
          <w:rFonts w:ascii="Arial" w:cs="Arial" w:eastAsia="Arial" w:hAnsi="Arial"/>
          <w:sz w:val="18"/>
          <w:szCs w:val="18"/>
          <w:i w:val="1"/>
          <w:iCs w:val="1"/>
          <w:color w:val="auto"/>
        </w:rPr>
      </w:pPr>
    </w:p>
    <w:p>
      <w:pPr>
        <w:ind w:left="1424" w:right="60" w:hanging="439"/>
        <w:spacing w:after="0" w:line="275" w:lineRule="auto"/>
        <w:tabs>
          <w:tab w:leader="none" w:pos="1424" w:val="left"/>
        </w:tabs>
        <w:numPr>
          <w:ilvl w:val="2"/>
          <w:numId w:val="10"/>
        </w:numPr>
        <w:rPr>
          <w:rFonts w:ascii="Arial" w:cs="Arial" w:eastAsia="Arial" w:hAnsi="Arial"/>
          <w:sz w:val="17"/>
          <w:szCs w:val="17"/>
          <w:color w:val="auto"/>
        </w:rPr>
      </w:pPr>
      <w:r>
        <w:rPr>
          <w:rFonts w:ascii="Arial" w:cs="Arial" w:eastAsia="Arial" w:hAnsi="Arial"/>
          <w:sz w:val="17"/>
          <w:szCs w:val="17"/>
          <w:color w:val="auto"/>
        </w:rPr>
        <w:t>In August 2018, the FASB issued ASU 2018-13, Disclosure Framework - Changes to the Disclosure Requirements for Fair Value Measurement (Topic 820)(“ASU 2018-13”). ASU 2018-13 adds, modifies, and removes certain fair value measurement disclosure requirements. ASU 2018-13 is effective for annual and interim periods beginning after December 15, 2019. The Company adopted the new standard in the first quarter of 2020. The adoption of the standard did not have a material impact on the Company’s unaudited interim condensed consolidated financial statements.</w:t>
      </w:r>
    </w:p>
    <w:p>
      <w:pPr>
        <w:spacing w:after="0" w:line="324" w:lineRule="exact"/>
        <w:rPr>
          <w:rFonts w:ascii="Arial" w:cs="Arial" w:eastAsia="Arial" w:hAnsi="Arial"/>
          <w:sz w:val="17"/>
          <w:szCs w:val="17"/>
          <w:color w:val="auto"/>
        </w:rPr>
      </w:pPr>
    </w:p>
    <w:p>
      <w:pPr>
        <w:ind w:left="964" w:hanging="532"/>
        <w:spacing w:after="0"/>
        <w:tabs>
          <w:tab w:leader="none" w:pos="964" w:val="left"/>
        </w:tabs>
        <w:numPr>
          <w:ilvl w:val="1"/>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Recently Issued Accounting Standards</w:t>
      </w:r>
    </w:p>
    <w:p>
      <w:pPr>
        <w:spacing w:after="0" w:line="130" w:lineRule="exact"/>
        <w:rPr>
          <w:rFonts w:ascii="Arial" w:cs="Arial" w:eastAsia="Arial" w:hAnsi="Arial"/>
          <w:sz w:val="18"/>
          <w:szCs w:val="18"/>
          <w:i w:val="1"/>
          <w:iCs w:val="1"/>
          <w:color w:val="auto"/>
        </w:rPr>
      </w:pPr>
    </w:p>
    <w:p>
      <w:pPr>
        <w:ind w:left="1424" w:right="60" w:hanging="439"/>
        <w:spacing w:after="0" w:line="257" w:lineRule="auto"/>
        <w:tabs>
          <w:tab w:leader="none" w:pos="1424"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 December 2019, the FASB issued ASU 2019-12, Income Taxes (Topic 740) - Simplifying the Accounting for Income Taxes, which is intended to simplify various aspects related to accounting for income taxes (“ASU 2019-12”). ASU 2019-12 removes certain exceptions to the general principles in Topic 740 and also clarifies and amends existing guidance to improve consistent application. ASU 2019-12 is effective for the Company beginning January 1, 2021. The Company is currently evaluating the effect of adopting this ASU on the Company’s financial statements.</w:t>
      </w:r>
    </w:p>
    <w:p>
      <w:pPr>
        <w:spacing w:after="0" w:line="93" w:lineRule="exact"/>
        <w:rPr>
          <w:rFonts w:ascii="Arial" w:cs="Arial" w:eastAsia="Arial" w:hAnsi="Arial"/>
          <w:sz w:val="18"/>
          <w:szCs w:val="18"/>
          <w:color w:val="auto"/>
        </w:rPr>
      </w:pPr>
    </w:p>
    <w:p>
      <w:pPr>
        <w:ind w:left="1424" w:right="20" w:hanging="439"/>
        <w:spacing w:after="0" w:line="255" w:lineRule="auto"/>
        <w:tabs>
          <w:tab w:leader="none" w:pos="1424"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 on the Company’s financial statements.</w:t>
      </w:r>
    </w:p>
    <w:p>
      <w:pPr>
        <w:spacing w:after="0" w:line="97" w:lineRule="exact"/>
        <w:rPr>
          <w:rFonts w:ascii="Arial" w:cs="Arial" w:eastAsia="Arial" w:hAnsi="Arial"/>
          <w:sz w:val="18"/>
          <w:szCs w:val="18"/>
          <w:color w:val="auto"/>
        </w:rPr>
      </w:pPr>
    </w:p>
    <w:p>
      <w:pPr>
        <w:ind w:left="1424" w:hanging="439"/>
        <w:spacing w:after="0" w:line="269" w:lineRule="auto"/>
        <w:tabs>
          <w:tab w:leader="none" w:pos="1424" w:val="left"/>
        </w:tabs>
        <w:numPr>
          <w:ilvl w:val="2"/>
          <w:numId w:val="11"/>
        </w:numPr>
        <w:rPr>
          <w:rFonts w:ascii="Arial" w:cs="Arial" w:eastAsia="Arial" w:hAnsi="Arial"/>
          <w:sz w:val="17"/>
          <w:szCs w:val="17"/>
          <w:color w:val="auto"/>
        </w:rPr>
      </w:pPr>
      <w:r>
        <w:rPr>
          <w:rFonts w:ascii="Arial" w:cs="Arial" w:eastAsia="Arial" w:hAnsi="Arial"/>
          <w:sz w:val="17"/>
          <w:szCs w:val="17"/>
          <w:color w:val="auto"/>
        </w:rPr>
        <w:t xml:space="preserve">On August 5, 2020, the FASB issued Accounting Standards Update No. 2020-06, </w:t>
      </w:r>
      <w:r>
        <w:rPr>
          <w:rFonts w:ascii="Arial" w:cs="Arial" w:eastAsia="Arial" w:hAnsi="Arial"/>
          <w:sz w:val="17"/>
          <w:szCs w:val="17"/>
          <w:i w:val="1"/>
          <w:iCs w:val="1"/>
          <w:color w:val="auto"/>
        </w:rPr>
        <w:t>Debt - Debt with Conversion and Other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Arial" w:cs="Arial" w:eastAsia="Arial" w:hAnsi="Arial"/>
          <w:sz w:val="17"/>
          <w:szCs w:val="17"/>
          <w:color w:val="auto"/>
        </w:rPr>
        <w:t>to improve financial reporting associated with accounting for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contracts in an entity’s own equity. The amendments in this Update are effective for public business entities that meet the definition of a Securities and Exchange Commission (“SEC”) filer,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FASB specified that an entity should adopt the guidance as of the beginning of its annual fiscal year. The Company is currently evaluating the effect of adopting this ASU on the Company’s financial statements.</w:t>
      </w:r>
    </w:p>
    <w:p>
      <w:pPr>
        <w:spacing w:after="0" w:line="114" w:lineRule="exact"/>
        <w:rPr>
          <w:rFonts w:ascii="Arial" w:cs="Arial" w:eastAsia="Arial" w:hAnsi="Arial"/>
          <w:sz w:val="17"/>
          <w:szCs w:val="17"/>
          <w:color w:val="auto"/>
        </w:rPr>
      </w:pPr>
    </w:p>
    <w:p>
      <w:pPr>
        <w:ind w:left="5424" w:hanging="108"/>
        <w:spacing w:after="0"/>
        <w:tabs>
          <w:tab w:leader="none" w:pos="5424" w:val="left"/>
        </w:tabs>
        <w:numPr>
          <w:ilvl w:val="3"/>
          <w:numId w:val="11"/>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-4845050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4"/>
          </w:cols>
          <w:pgMar w:left="436" w:top="270" w:right="55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964" w:hanging="532"/>
        <w:spacing w:after="0"/>
        <w:tabs>
          <w:tab w:leader="none" w:pos="96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Coronavirus Pandemic</w:t>
      </w:r>
    </w:p>
    <w:p>
      <w:pPr>
        <w:spacing w:after="0" w:line="117" w:lineRule="exact"/>
        <w:rPr>
          <w:sz w:val="20"/>
          <w:szCs w:val="20"/>
          <w:color w:val="auto"/>
        </w:rPr>
      </w:pPr>
    </w:p>
    <w:p>
      <w:pPr>
        <w:ind w:left="444" w:right="80"/>
        <w:spacing w:after="0" w:line="311" w:lineRule="auto"/>
        <w:rPr>
          <w:sz w:val="20"/>
          <w:szCs w:val="20"/>
          <w:color w:val="auto"/>
        </w:rPr>
      </w:pPr>
      <w:r>
        <w:rPr>
          <w:rFonts w:ascii="Arial" w:cs="Arial" w:eastAsia="Arial" w:hAnsi="Arial"/>
          <w:sz w:val="16"/>
          <w:szCs w:val="16"/>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is implementing and evaluating actions to strengthen its financial position and support the continuity of its business and operations.</w:t>
      </w:r>
    </w:p>
    <w:p>
      <w:pPr>
        <w:spacing w:after="0" w:line="41" w:lineRule="exact"/>
        <w:rPr>
          <w:sz w:val="20"/>
          <w:szCs w:val="20"/>
          <w:color w:val="auto"/>
        </w:rPr>
      </w:pPr>
    </w:p>
    <w:p>
      <w:pPr>
        <w:ind w:left="444"/>
        <w:spacing w:after="0" w:line="286" w:lineRule="auto"/>
        <w:rPr>
          <w:sz w:val="20"/>
          <w:szCs w:val="20"/>
          <w:color w:val="auto"/>
        </w:rPr>
      </w:pPr>
      <w:r>
        <w:rPr>
          <w:rFonts w:ascii="Arial" w:cs="Arial" w:eastAsia="Arial" w:hAnsi="Arial"/>
          <w:sz w:val="16"/>
          <w:szCs w:val="16"/>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assessment of the annual effective tax rate;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the first nine months of 2020, the uncertain nature of the spread of COVID-19 may impact the Company’s business operations for reasons including the potential quarantine of the Company’s employees or those of its supply chain partners, and the Company’s continued designation as an “essential” business in states where the Company does business that currently or in the future impose restrictions on its business operations. The estimates and assumptions used in the unaudited interim condensed consolidated financial statements for the three and nine months ended September 30, 2020 include, but are not limited to certain judgmental reserves requiring management to makes estimates based on current information. The carrying value of the Company’s goodwill and other long-lived assets, may change in future periods as the expected impacts from COVID-19 are revised, resulting in further potential impacts to the Company’s financial statements.</w:t>
      </w:r>
    </w:p>
    <w:p>
      <w:pPr>
        <w:spacing w:after="0" w:line="315"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Company’s inventories include the following at September 30, 2020 and December 31, 2019:</w:t>
      </w:r>
    </w:p>
    <w:p>
      <w:pPr>
        <w:spacing w:after="0" w:line="231"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3,603,977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6,375,032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Packaging and Miscellaneous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6,173,017</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4,887,970</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24,945,006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20,162,723</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Finished Goods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22,430,016</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16,640,629</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(1,987,758)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(2,031,873)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90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3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55,164,258</w:t>
            </w: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46,034,481</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340" w:type="dxa"/>
            <w:vAlign w:val="bottom"/>
            <w:vMerge w:val="restart"/>
          </w:tcPr>
          <w:p>
            <w:pPr>
              <w:jc w:val="right"/>
              <w:ind w:right="121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September 30, 2020, property and equipment consisted of the following:</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2"/>
              </w:rPr>
              <w:t>Buildings and</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Equipment,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Leasehold</w:t>
            </w:r>
          </w:p>
        </w:tc>
        <w:tc>
          <w:tcPr>
            <w:tcW w:w="9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Capitalized</w:t>
            </w:r>
          </w:p>
        </w:tc>
        <w:tc>
          <w:tcPr>
            <w:tcW w:w="80" w:type="dxa"/>
            <w:vAlign w:val="bottom"/>
          </w:tcPr>
          <w:p>
            <w:pPr>
              <w:spacing w:after="0"/>
              <w:rPr>
                <w:sz w:val="14"/>
                <w:szCs w:val="14"/>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3"/>
              </w:rPr>
              <w:t>Assets Under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Cost</w:t>
            </w:r>
          </w:p>
        </w:tc>
        <w:tc>
          <w:tcPr>
            <w:tcW w:w="322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Computers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Improvements</w:t>
            </w:r>
          </w:p>
        </w:tc>
        <w:tc>
          <w:tcPr>
            <w:tcW w:w="10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and Furniture</w:t>
            </w:r>
          </w:p>
        </w:tc>
        <w:tc>
          <w:tcPr>
            <w:tcW w:w="80" w:type="dxa"/>
            <w:vAlign w:val="bottom"/>
          </w:tcPr>
          <w:p>
            <w:pPr>
              <w:spacing w:after="0"/>
              <w:rPr>
                <w:sz w:val="15"/>
                <w:szCs w:val="15"/>
                <w:color w:val="auto"/>
              </w:rPr>
            </w:pPr>
          </w:p>
        </w:tc>
        <w:tc>
          <w:tcPr>
            <w:tcW w:w="106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5"/>
                <w:szCs w:val="15"/>
                <w:color w:val="auto"/>
              </w:rPr>
            </w:pPr>
          </w:p>
        </w:tc>
        <w:tc>
          <w:tcPr>
            <w:tcW w:w="80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5"/>
                <w:szCs w:val="15"/>
                <w:color w:val="auto"/>
              </w:rPr>
            </w:pPr>
          </w:p>
        </w:tc>
        <w:tc>
          <w:tcPr>
            <w:tcW w:w="1120" w:type="dxa"/>
            <w:vAlign w:val="bottom"/>
            <w:gridSpan w:val="3"/>
          </w:tcPr>
          <w:p>
            <w:pPr>
              <w:jc w:val="right"/>
              <w:ind w:right="260"/>
              <w:spacing w:after="0" w:line="158" w:lineRule="exact"/>
              <w:rPr>
                <w:sz w:val="20"/>
                <w:szCs w:val="20"/>
                <w:color w:val="auto"/>
              </w:rPr>
            </w:pPr>
            <w:r>
              <w:rPr>
                <w:rFonts w:ascii="Arial" w:cs="Arial" w:eastAsia="Arial" w:hAnsi="Arial"/>
                <w:sz w:val="14"/>
                <w:szCs w:val="14"/>
                <w:b w:val="1"/>
                <w:bCs w:val="1"/>
                <w:color w:val="auto"/>
                <w:w w:val="96"/>
              </w:rPr>
              <w:t>Construction</w:t>
            </w: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As at January 1, 2020</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3,272,439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33,377,471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35,509,871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68,681,497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2,500,000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21,372,116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164,713,394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586.867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21,128,482</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4,794,342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12,413,970</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342,966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6,118,878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45,385,505</w:t>
            </w:r>
          </w:p>
        </w:tc>
        <w:tc>
          <w:tcPr>
            <w:tcW w:w="0" w:type="dxa"/>
            <w:vAlign w:val="bottom"/>
          </w:tcPr>
          <w:p>
            <w:pPr>
              <w:spacing w:after="0"/>
              <w:rPr>
                <w:sz w:val="1"/>
                <w:szCs w:val="1"/>
                <w:color w:val="auto"/>
              </w:rPr>
            </w:pPr>
          </w:p>
        </w:tc>
      </w:tr>
      <w:tr>
        <w:trPr>
          <w:trHeight w:val="216"/>
        </w:trPr>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Disposals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(979,930)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(4,507,086)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(6,978,389)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(12,465,405)</w:t>
            </w:r>
          </w:p>
        </w:tc>
        <w:tc>
          <w:tcPr>
            <w:tcW w:w="0" w:type="dxa"/>
            <w:vAlign w:val="bottom"/>
          </w:tcPr>
          <w:p>
            <w:pPr>
              <w:spacing w:after="0"/>
              <w:rPr>
                <w:sz w:val="1"/>
                <w:szCs w:val="1"/>
                <w:color w:val="auto"/>
              </w:rPr>
            </w:pPr>
          </w:p>
        </w:tc>
      </w:tr>
      <w:tr>
        <w:trPr>
          <w:trHeight w:val="223"/>
        </w:trPr>
        <w:tc>
          <w:tcPr>
            <w:tcW w:w="3500" w:type="dxa"/>
            <w:vAlign w:val="bottom"/>
            <w:gridSpan w:val="4"/>
          </w:tcPr>
          <w:p>
            <w:pPr>
              <w:spacing w:after="0"/>
              <w:rPr>
                <w:sz w:val="20"/>
                <w:szCs w:val="20"/>
                <w:color w:val="auto"/>
              </w:rPr>
            </w:pPr>
            <w:r>
              <w:rPr>
                <w:rFonts w:ascii="Arial" w:cs="Arial" w:eastAsia="Arial" w:hAnsi="Arial"/>
                <w:sz w:val="18"/>
                <w:szCs w:val="18"/>
                <w:color w:val="auto"/>
              </w:rPr>
              <w:t>As at September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2,879,376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49,998,867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40,304,213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81,095,467</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2,842,966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20,512,605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197,633,494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5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at January 1, 2020</w:t>
            </w: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w w:val="99"/>
              </w:rPr>
              <w:t>2,236,254</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99"/>
              </w:rPr>
              <w:t>3,882,178</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99"/>
              </w:rPr>
              <w:t>2,998,287</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9,116,719</w:t>
            </w:r>
          </w:p>
        </w:tc>
        <w:tc>
          <w:tcPr>
            <w:tcW w:w="0" w:type="dxa"/>
            <w:vAlign w:val="bottom"/>
          </w:tcPr>
          <w:p>
            <w:pPr>
              <w:spacing w:after="0"/>
              <w:rPr>
                <w:sz w:val="1"/>
                <w:szCs w:val="1"/>
                <w:color w:val="auto"/>
              </w:rPr>
            </w:pPr>
          </w:p>
        </w:tc>
      </w:tr>
      <w:tr>
        <w:trPr>
          <w:trHeight w:val="216"/>
        </w:trPr>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September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2,939,951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8,375,318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8,426,333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166,800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19,908,402</w:t>
            </w:r>
          </w:p>
        </w:tc>
        <w:tc>
          <w:tcPr>
            <w:tcW w:w="0" w:type="dxa"/>
            <w:vAlign w:val="bottom"/>
          </w:tcPr>
          <w:p>
            <w:pPr>
              <w:spacing w:after="0"/>
              <w:rPr>
                <w:sz w:val="1"/>
                <w:szCs w:val="1"/>
                <w:color w:val="auto"/>
              </w:rPr>
            </w:pPr>
          </w:p>
        </w:tc>
      </w:tr>
      <w:tr>
        <w:trPr>
          <w:trHeight w:val="283"/>
        </w:trPr>
        <w:tc>
          <w:tcPr>
            <w:tcW w:w="3500" w:type="dxa"/>
            <w:vAlign w:val="bottom"/>
            <w:gridSpan w:val="4"/>
          </w:tcPr>
          <w:p>
            <w:pPr>
              <w:spacing w:after="0"/>
              <w:rPr>
                <w:sz w:val="20"/>
                <w:szCs w:val="20"/>
                <w:color w:val="auto"/>
              </w:rPr>
            </w:pPr>
            <w:r>
              <w:rPr>
                <w:rFonts w:ascii="Arial" w:cs="Arial" w:eastAsia="Arial" w:hAnsi="Arial"/>
                <w:sz w:val="18"/>
                <w:szCs w:val="18"/>
                <w:color w:val="auto"/>
              </w:rPr>
              <w:t>Net book value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January 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3,272,439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31,141,217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31,627,693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65,683,210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2,500,000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21,372,116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155,596,675</w:t>
            </w:r>
          </w:p>
        </w:tc>
        <w:tc>
          <w:tcPr>
            <w:tcW w:w="0" w:type="dxa"/>
            <w:vAlign w:val="bottom"/>
          </w:tcPr>
          <w:p>
            <w:pPr>
              <w:spacing w:after="0"/>
              <w:rPr>
                <w:sz w:val="1"/>
                <w:szCs w:val="1"/>
                <w:color w:val="auto"/>
              </w:rPr>
            </w:pPr>
          </w:p>
        </w:tc>
      </w:tr>
      <w:tr>
        <w:trPr>
          <w:trHeight w:val="230"/>
        </w:trPr>
        <w:tc>
          <w:tcPr>
            <w:tcW w:w="3500" w:type="dxa"/>
            <w:vAlign w:val="bottom"/>
            <w:gridSpan w:val="4"/>
          </w:tcPr>
          <w:p>
            <w:pPr>
              <w:spacing w:after="0"/>
              <w:rPr>
                <w:sz w:val="20"/>
                <w:szCs w:val="20"/>
                <w:color w:val="auto"/>
              </w:rPr>
            </w:pPr>
            <w:r>
              <w:rPr>
                <w:rFonts w:ascii="Arial" w:cs="Arial" w:eastAsia="Arial" w:hAnsi="Arial"/>
                <w:sz w:val="18"/>
                <w:szCs w:val="18"/>
                <w:color w:val="auto"/>
              </w:rPr>
              <w:t>As at September 30, 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2,879,376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47,058,916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31,928,895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72,669,134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2,676,166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20,512,605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177,725,092</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Buildings and</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Equipment,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Leasehold</w:t>
            </w: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Capitalized</w:t>
            </w:r>
          </w:p>
        </w:tc>
        <w:tc>
          <w:tcPr>
            <w:tcW w:w="80" w:type="dxa"/>
            <w:vAlign w:val="bottom"/>
          </w:tcPr>
          <w:p>
            <w:pPr>
              <w:spacing w:after="0"/>
              <w:rPr>
                <w:sz w:val="14"/>
                <w:szCs w:val="14"/>
                <w:color w:val="auto"/>
              </w:rPr>
            </w:pP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3"/>
              </w:rPr>
              <w:t>Assets Under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Cost</w:t>
            </w:r>
          </w:p>
        </w:tc>
        <w:tc>
          <w:tcPr>
            <w:tcW w:w="2420" w:type="dxa"/>
            <w:vAlign w:val="bottom"/>
            <w:gridSpan w:val="3"/>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Land</w:t>
            </w: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Computers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242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Improvements</w:t>
            </w:r>
          </w:p>
        </w:tc>
        <w:tc>
          <w:tcPr>
            <w:tcW w:w="10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and Furniture</w:t>
            </w:r>
          </w:p>
        </w:tc>
        <w:tc>
          <w:tcPr>
            <w:tcW w:w="80" w:type="dxa"/>
            <w:vAlign w:val="bottom"/>
          </w:tcPr>
          <w:p>
            <w:pPr>
              <w:spacing w:after="0"/>
              <w:rPr>
                <w:sz w:val="15"/>
                <w:szCs w:val="15"/>
                <w:color w:val="auto"/>
              </w:rPr>
            </w:pPr>
          </w:p>
        </w:tc>
        <w:tc>
          <w:tcPr>
            <w:tcW w:w="10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Improvements</w:t>
            </w:r>
          </w:p>
        </w:tc>
        <w:tc>
          <w:tcPr>
            <w:tcW w:w="80" w:type="dxa"/>
            <w:vAlign w:val="bottom"/>
          </w:tcPr>
          <w:p>
            <w:pPr>
              <w:spacing w:after="0"/>
              <w:rPr>
                <w:sz w:val="15"/>
                <w:szCs w:val="15"/>
                <w:color w:val="auto"/>
              </w:rPr>
            </w:pPr>
          </w:p>
        </w:tc>
        <w:tc>
          <w:tcPr>
            <w:tcW w:w="8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5"/>
                <w:szCs w:val="15"/>
                <w:color w:val="auto"/>
              </w:rPr>
            </w:pPr>
          </w:p>
        </w:tc>
        <w:tc>
          <w:tcPr>
            <w:tcW w:w="106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w w:val="96"/>
              </w:rPr>
              <w:t>Construction</w:t>
            </w: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As at January 1, 2019</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2,243,085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20,861,988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11,001,498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18,435,893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16,664,958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69,207,422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4,393,030</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28,217,500</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23,109,209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38,002,678</w:t>
            </w:r>
          </w:p>
        </w:tc>
        <w:tc>
          <w:tcPr>
            <w:tcW w:w="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2,500,000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4,678,084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100,900,501</w:t>
            </w:r>
          </w:p>
        </w:tc>
        <w:tc>
          <w:tcPr>
            <w:tcW w:w="0" w:type="dxa"/>
            <w:vAlign w:val="bottom"/>
          </w:tcPr>
          <w:p>
            <w:pPr>
              <w:spacing w:after="0"/>
              <w:rPr>
                <w:sz w:val="1"/>
                <w:szCs w:val="1"/>
                <w:color w:val="auto"/>
              </w:rPr>
            </w:pPr>
          </w:p>
        </w:tc>
      </w:tr>
      <w:tr>
        <w:trPr>
          <w:trHeight w:val="216"/>
        </w:trPr>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4,253,362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12,242,926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29,074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16,525,362</w:t>
            </w:r>
          </w:p>
        </w:tc>
        <w:tc>
          <w:tcPr>
            <w:tcW w:w="0" w:type="dxa"/>
            <w:vAlign w:val="bottom"/>
          </w:tcPr>
          <w:p>
            <w:pPr>
              <w:spacing w:after="0"/>
              <w:rPr>
                <w:sz w:val="1"/>
                <w:szCs w:val="1"/>
                <w:color w:val="auto"/>
              </w:rPr>
            </w:pPr>
          </w:p>
        </w:tc>
      </w:tr>
      <w:tr>
        <w:trPr>
          <w:trHeight w:val="216"/>
        </w:trPr>
        <w:tc>
          <w:tcPr>
            <w:tcW w:w="2700" w:type="dxa"/>
            <w:vAlign w:val="bottom"/>
            <w:gridSpan w:val="4"/>
          </w:tcPr>
          <w:p>
            <w:pPr>
              <w:spacing w:after="0"/>
              <w:rPr>
                <w:sz w:val="20"/>
                <w:szCs w:val="20"/>
                <w:color w:val="auto"/>
              </w:rPr>
            </w:pPr>
            <w:r>
              <w:rPr>
                <w:rFonts w:ascii="Arial" w:cs="Arial" w:eastAsia="Arial" w:hAnsi="Arial"/>
                <w:sz w:val="18"/>
                <w:szCs w:val="18"/>
                <w:color w:val="auto"/>
              </w:rPr>
              <w:t>Disposals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(3,363,676)</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(15,702,017)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(2,854,198)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(21,919,891)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3,272,439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33,377,471</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35,509,871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68,681,497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2,500,000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21,372,116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164,713,394</w:t>
            </w:r>
          </w:p>
        </w:tc>
        <w:tc>
          <w:tcPr>
            <w:tcW w:w="0" w:type="dxa"/>
            <w:vAlign w:val="bottom"/>
          </w:tcPr>
          <w:p>
            <w:pPr>
              <w:spacing w:after="0"/>
              <w:rPr>
                <w:sz w:val="1"/>
                <w:szCs w:val="1"/>
                <w:color w:val="auto"/>
              </w:rPr>
            </w:pPr>
          </w:p>
        </w:tc>
      </w:tr>
      <w:tr>
        <w:trPr>
          <w:trHeight w:val="20"/>
        </w:trPr>
        <w:tc>
          <w:tcPr>
            <w:tcW w:w="2700" w:type="dxa"/>
            <w:vAlign w:val="bottom"/>
            <w:gridSpan w:val="4"/>
            <w:vMerge w:val="restart"/>
          </w:tcPr>
          <w:p>
            <w:pPr>
              <w:spacing w:after="0"/>
              <w:rPr>
                <w:sz w:val="20"/>
                <w:szCs w:val="20"/>
                <w:color w:val="auto"/>
              </w:rPr>
            </w:pPr>
            <w:r>
              <w:rPr>
                <w:rFonts w:ascii="Arial" w:cs="Arial" w:eastAsia="Arial" w:hAnsi="Arial"/>
                <w:sz w:val="18"/>
                <w:szCs w:val="18"/>
                <w:color w:val="auto"/>
              </w:rPr>
              <w:t>Accumulated Depreciation</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0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January 1, 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1,351,230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1,524,114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1,007,998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3,883,342</w:t>
            </w:r>
          </w:p>
        </w:tc>
        <w:tc>
          <w:tcPr>
            <w:tcW w:w="0" w:type="dxa"/>
            <w:vAlign w:val="bottom"/>
          </w:tcPr>
          <w:p>
            <w:pPr>
              <w:spacing w:after="0"/>
              <w:rPr>
                <w:sz w:val="1"/>
                <w:szCs w:val="1"/>
                <w:color w:val="auto"/>
              </w:rPr>
            </w:pPr>
          </w:p>
        </w:tc>
      </w:tr>
      <w:tr>
        <w:trPr>
          <w:trHeight w:val="230"/>
        </w:trPr>
        <w:tc>
          <w:tcPr>
            <w:tcW w:w="270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2,236,254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3,882,178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2,998,287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9,116,719</w:t>
            </w:r>
          </w:p>
        </w:tc>
        <w:tc>
          <w:tcPr>
            <w:tcW w:w="0" w:type="dxa"/>
            <w:vAlign w:val="bottom"/>
          </w:tcPr>
          <w:p>
            <w:pPr>
              <w:spacing w:after="0"/>
              <w:rPr>
                <w:sz w:val="1"/>
                <w:szCs w:val="1"/>
                <w:color w:val="auto"/>
              </w:rPr>
            </w:pPr>
          </w:p>
        </w:tc>
      </w:tr>
      <w:tr>
        <w:trPr>
          <w:trHeight w:val="94"/>
        </w:trPr>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Net book value</w:t>
            </w:r>
          </w:p>
        </w:tc>
        <w:tc>
          <w:tcPr>
            <w:tcW w:w="160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2,243,085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19,510,758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9,477,384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17,427,895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16,664,958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65,324,080</w:t>
            </w:r>
          </w:p>
        </w:tc>
        <w:tc>
          <w:tcPr>
            <w:tcW w:w="0" w:type="dxa"/>
            <w:vAlign w:val="bottom"/>
          </w:tcPr>
          <w:p>
            <w:pPr>
              <w:spacing w:after="0"/>
              <w:rPr>
                <w:sz w:val="1"/>
                <w:szCs w:val="1"/>
                <w:color w:val="auto"/>
              </w:rPr>
            </w:pPr>
          </w:p>
        </w:tc>
      </w:tr>
      <w:tr>
        <w:trPr>
          <w:trHeight w:val="216"/>
        </w:trPr>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3,272,439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31,141,217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31,627,693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65,683,210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2,500,000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21,372,116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155,596,675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Depreciation expense for the three and nine months ended September 30, 2020 totaled $2,003,585 and $11,193,570, respectively of which $311,315 and $5,571,477, respectively, is included in cost of goods sold. Depreciation expense for the three and nine months ended September 30, 2019 totaled $2,494,601 and $5,113,195, respectively of which $1,732,146 and $3,541,236, respectively, is included in cost of goods sold.</w:t>
      </w:r>
    </w:p>
    <w:p>
      <w:pPr>
        <w:spacing w:after="0" w:line="165"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On January 31, 2020, the Company closed a sale and lease back transaction to sell its Toledo, Ohio processing facility to Innovative Industrial Properties (“IIP”). Under the long-term agreement, the Company will lease back the facility and continue to operate and manage it. As a result of the sale, the Company disposed of $205,000 of land and $2,695,000 of construction in progress. There was no gain or loss on the sale.</w:t>
      </w:r>
    </w:p>
    <w:p>
      <w:pPr>
        <w:spacing w:after="0" w:line="165"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On March 6, 2020, the Company closed a sale and lease back transaction to sell its Oglesby, Illinois cultivation and processing facility to IIP. Under the long-term agreement, the Company will lease back the facility and continue to operate and manage it. As a result of the sale, the Company disposed of $774,930 of land, $4,507,086 of buildings and improvements and $3,813,636 of construction in progress. The Company recognized a gain on the sale of Oglesby facility of $239,096 which was recorded within other income (expense) on the unaudited interim condensed consolidated statement of operations.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further information regarding these transactions, see Note 5 - Leases.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0" w:right="43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jc w:val="both"/>
        <w:ind w:left="4" w:right="12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September 30, 2020 intangible assets consisted of the following:</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Licenses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6"/>
              </w:rPr>
              <w:t>Tradenames</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100" w:type="dxa"/>
            <w:vAlign w:val="bottom"/>
          </w:tcPr>
          <w:p>
            <w:pPr>
              <w:spacing w:after="0"/>
              <w:rPr>
                <w:sz w:val="12"/>
                <w:szCs w:val="12"/>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and Permits</w:t>
            </w:r>
          </w:p>
        </w:tc>
        <w:tc>
          <w:tcPr>
            <w:tcW w:w="1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Relationships</w:t>
            </w:r>
          </w:p>
        </w:tc>
        <w:tc>
          <w:tcPr>
            <w:tcW w:w="1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4"/>
          </w:tcPr>
          <w:p>
            <w:pPr>
              <w:spacing w:after="0"/>
              <w:rPr>
                <w:sz w:val="20"/>
                <w:szCs w:val="20"/>
                <w:color w:val="auto"/>
              </w:rPr>
            </w:pPr>
            <w:r>
              <w:rPr>
                <w:rFonts w:ascii="Arial" w:cs="Arial" w:eastAsia="Arial" w:hAnsi="Arial"/>
                <w:sz w:val="18"/>
                <w:szCs w:val="18"/>
                <w:color w:val="auto"/>
              </w:rPr>
              <w:t>As at January 1, 2020</w:t>
            </w: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$336,954,213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97,455,590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$25,258,000</w:t>
            </w:r>
          </w:p>
        </w:tc>
        <w:tc>
          <w:tcPr>
            <w:tcW w:w="1220" w:type="dxa"/>
            <w:vAlign w:val="bottom"/>
            <w:gridSpan w:val="4"/>
          </w:tcPr>
          <w:p>
            <w:pPr>
              <w:ind w:left="120"/>
              <w:spacing w:after="0"/>
              <w:rPr>
                <w:sz w:val="20"/>
                <w:szCs w:val="20"/>
                <w:color w:val="auto"/>
              </w:rPr>
            </w:pPr>
            <w:r>
              <w:rPr>
                <w:rFonts w:ascii="Arial" w:cs="Arial" w:eastAsia="Arial" w:hAnsi="Arial"/>
                <w:sz w:val="18"/>
                <w:szCs w:val="18"/>
                <w:color w:val="auto"/>
              </w:rPr>
              <w:t>$2,585,480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462,253,283</w:t>
            </w:r>
          </w:p>
        </w:tc>
        <w:tc>
          <w:tcPr>
            <w:tcW w:w="0" w:type="dxa"/>
            <w:vAlign w:val="bottom"/>
          </w:tcPr>
          <w:p>
            <w:pPr>
              <w:spacing w:after="0"/>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Adjustments to Purchase Price Allocation</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1,840,009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1,695,009</w:t>
            </w:r>
          </w:p>
        </w:tc>
        <w:tc>
          <w:tcPr>
            <w:tcW w:w="0" w:type="dxa"/>
            <w:vAlign w:val="bottom"/>
          </w:tcPr>
          <w:p>
            <w:pPr>
              <w:spacing w:after="0"/>
              <w:rPr>
                <w:sz w:val="1"/>
                <w:szCs w:val="1"/>
                <w:color w:val="auto"/>
              </w:rPr>
            </w:pPr>
          </w:p>
        </w:tc>
      </w:tr>
      <w:tr>
        <w:trPr>
          <w:trHeight w:val="224"/>
        </w:trPr>
        <w:tc>
          <w:tcPr>
            <w:tcW w:w="5020" w:type="dxa"/>
            <w:vAlign w:val="bottom"/>
            <w:gridSpan w:val="4"/>
          </w:tcPr>
          <w:p>
            <w:pPr>
              <w:spacing w:after="0"/>
              <w:rPr>
                <w:sz w:val="20"/>
                <w:szCs w:val="20"/>
                <w:color w:val="auto"/>
              </w:rPr>
            </w:pPr>
            <w:r>
              <w:rPr>
                <w:rFonts w:ascii="Arial" w:cs="Arial" w:eastAsia="Arial" w:hAnsi="Arial"/>
                <w:sz w:val="18"/>
                <w:szCs w:val="18"/>
                <w:color w:val="auto"/>
              </w:rPr>
              <w:t>As at September 30, 2020</w:t>
            </w:r>
          </w:p>
        </w:tc>
        <w:tc>
          <w:tcPr>
            <w:tcW w:w="180" w:type="dxa"/>
            <w:vAlign w:val="bottom"/>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$336,809,213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99,295,599</w:t>
            </w:r>
          </w:p>
        </w:tc>
        <w:tc>
          <w:tcPr>
            <w:tcW w:w="28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$25,258,000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$2,585,480</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463,948,292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30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sz w:val="20"/>
                <w:szCs w:val="20"/>
                <w:color w:val="auto"/>
              </w:rPr>
            </w:pPr>
            <w:r>
              <w:rPr>
                <w:rFonts w:ascii="Arial" w:cs="Arial" w:eastAsia="Arial" w:hAnsi="Arial"/>
                <w:sz w:val="18"/>
                <w:szCs w:val="18"/>
                <w:color w:val="auto"/>
              </w:rPr>
              <w:t>As at January 1, 2020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18,477,500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4,121,800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3,932,416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474,669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27,006,385</w:t>
            </w:r>
          </w:p>
        </w:tc>
        <w:tc>
          <w:tcPr>
            <w:tcW w:w="0" w:type="dxa"/>
            <w:vAlign w:val="bottom"/>
          </w:tcPr>
          <w:p>
            <w:pPr>
              <w:spacing w:after="0"/>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17,701,556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6,412,282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2,777,802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394,750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27,286,390</w:t>
            </w:r>
          </w:p>
        </w:tc>
        <w:tc>
          <w:tcPr>
            <w:tcW w:w="0" w:type="dxa"/>
            <w:vAlign w:val="bottom"/>
          </w:tcPr>
          <w:p>
            <w:pPr>
              <w:spacing w:after="0"/>
              <w:rPr>
                <w:sz w:val="1"/>
                <w:szCs w:val="1"/>
                <w:color w:val="auto"/>
              </w:rPr>
            </w:pPr>
          </w:p>
        </w:tc>
      </w:tr>
      <w:tr>
        <w:trPr>
          <w:trHeight w:val="224"/>
        </w:trPr>
        <w:tc>
          <w:tcPr>
            <w:tcW w:w="5020" w:type="dxa"/>
            <w:vAlign w:val="bottom"/>
            <w:gridSpan w:val="4"/>
          </w:tcPr>
          <w:p>
            <w:pPr>
              <w:spacing w:after="0"/>
              <w:rPr>
                <w:sz w:val="20"/>
                <w:szCs w:val="20"/>
                <w:color w:val="auto"/>
              </w:rPr>
            </w:pPr>
            <w:r>
              <w:rPr>
                <w:rFonts w:ascii="Arial" w:cs="Arial" w:eastAsia="Arial" w:hAnsi="Arial"/>
                <w:sz w:val="18"/>
                <w:szCs w:val="18"/>
                <w:color w:val="auto"/>
              </w:rPr>
              <w:t>As at September 30, 2020</w:t>
            </w:r>
          </w:p>
        </w:tc>
        <w:tc>
          <w:tcPr>
            <w:tcW w:w="18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36,179,056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10,534,082</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6,710,218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869,419</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54,292,775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sz w:val="20"/>
                <w:szCs w:val="20"/>
                <w:color w:val="auto"/>
              </w:rPr>
            </w:pPr>
            <w:r>
              <w:rPr>
                <w:rFonts w:ascii="Arial" w:cs="Arial" w:eastAsia="Arial" w:hAnsi="Arial"/>
                <w:sz w:val="18"/>
                <w:szCs w:val="18"/>
                <w:color w:val="auto"/>
              </w:rPr>
              <w:t>As at January 1, 2020</w:t>
            </w: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$318,476,713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93,333,790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$21,325,584</w:t>
            </w:r>
          </w:p>
        </w:tc>
        <w:tc>
          <w:tcPr>
            <w:tcW w:w="1220" w:type="dxa"/>
            <w:vAlign w:val="bottom"/>
            <w:gridSpan w:val="4"/>
          </w:tcPr>
          <w:p>
            <w:pPr>
              <w:ind w:left="120"/>
              <w:spacing w:after="0"/>
              <w:rPr>
                <w:sz w:val="20"/>
                <w:szCs w:val="20"/>
                <w:color w:val="auto"/>
              </w:rPr>
            </w:pPr>
            <w:r>
              <w:rPr>
                <w:rFonts w:ascii="Arial" w:cs="Arial" w:eastAsia="Arial" w:hAnsi="Arial"/>
                <w:sz w:val="18"/>
                <w:szCs w:val="18"/>
                <w:color w:val="auto"/>
              </w:rPr>
              <w:t>$ 2,110,811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435,246,898</w:t>
            </w:r>
          </w:p>
        </w:tc>
        <w:tc>
          <w:tcPr>
            <w:tcW w:w="0" w:type="dxa"/>
            <w:vAlign w:val="bottom"/>
          </w:tcPr>
          <w:p>
            <w:pPr>
              <w:spacing w:after="0"/>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September 30, 2020</w:t>
            </w:r>
          </w:p>
        </w:tc>
        <w:tc>
          <w:tcPr>
            <w:tcW w:w="12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$300,630,157</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88,761,517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$18,547,782</w:t>
            </w:r>
          </w:p>
        </w:tc>
        <w:tc>
          <w:tcPr>
            <w:tcW w:w="12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$1,716,061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409,655,517</w:t>
            </w:r>
          </w:p>
        </w:tc>
        <w:tc>
          <w:tcPr>
            <w:tcW w:w="0" w:type="dxa"/>
            <w:vAlign w:val="bottom"/>
          </w:tcPr>
          <w:p>
            <w:pPr>
              <w:spacing w:after="0"/>
              <w:rPr>
                <w:sz w:val="1"/>
                <w:szCs w:val="1"/>
                <w:color w:val="auto"/>
              </w:rPr>
            </w:pPr>
          </w:p>
        </w:tc>
      </w:tr>
      <w:tr>
        <w:trPr>
          <w:trHeight w:val="432"/>
        </w:trPr>
        <w:tc>
          <w:tcPr>
            <w:tcW w:w="5020" w:type="dxa"/>
            <w:vAlign w:val="bottom"/>
            <w:gridSpan w:val="4"/>
          </w:tcPr>
          <w:p>
            <w:pPr>
              <w:spacing w:after="0"/>
              <w:rPr>
                <w:sz w:val="20"/>
                <w:szCs w:val="20"/>
                <w:color w:val="auto"/>
              </w:rPr>
            </w:pPr>
            <w:r>
              <w:rPr>
                <w:rFonts w:ascii="Arial" w:cs="Arial" w:eastAsia="Arial" w:hAnsi="Arial"/>
                <w:sz w:val="18"/>
                <w:szCs w:val="18"/>
                <w:color w:val="auto"/>
                <w:w w:val="94"/>
              </w:rPr>
              <w:t>At December 31, 2019 intangible assets consisted of the following:</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Licenses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6"/>
              </w:rPr>
              <w:t>Tradenames</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100" w:type="dxa"/>
            <w:vAlign w:val="bottom"/>
          </w:tcPr>
          <w:p>
            <w:pPr>
              <w:spacing w:after="0"/>
              <w:rPr>
                <w:sz w:val="12"/>
                <w:szCs w:val="12"/>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and Permits</w:t>
            </w:r>
          </w:p>
        </w:tc>
        <w:tc>
          <w:tcPr>
            <w:tcW w:w="1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Relationships</w:t>
            </w:r>
          </w:p>
        </w:tc>
        <w:tc>
          <w:tcPr>
            <w:tcW w:w="1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89,705,213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820,000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20,480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90,905,693</w:t>
            </w:r>
          </w:p>
        </w:tc>
        <w:tc>
          <w:tcPr>
            <w:tcW w:w="0" w:type="dxa"/>
            <w:vAlign w:val="bottom"/>
          </w:tcPr>
          <w:p>
            <w:pPr>
              <w:spacing w:after="0"/>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247,249,000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97,095,590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24,438,000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2,565,000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371,347,590</w:t>
            </w:r>
          </w:p>
        </w:tc>
        <w:tc>
          <w:tcPr>
            <w:tcW w:w="0" w:type="dxa"/>
            <w:vAlign w:val="bottom"/>
          </w:tcPr>
          <w:p>
            <w:pPr>
              <w:spacing w:after="0"/>
              <w:rPr>
                <w:sz w:val="1"/>
                <w:szCs w:val="1"/>
                <w:color w:val="auto"/>
              </w:rPr>
            </w:pPr>
          </w:p>
        </w:tc>
      </w:tr>
      <w:tr>
        <w:trPr>
          <w:trHeight w:val="224"/>
        </w:trPr>
        <w:tc>
          <w:tcPr>
            <w:tcW w:w="502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220" w:type="dxa"/>
            <w:vAlign w:val="bottom"/>
            <w:gridSpan w:val="2"/>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$336,954,213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97,455,590</w:t>
            </w:r>
          </w:p>
        </w:tc>
        <w:tc>
          <w:tcPr>
            <w:tcW w:w="28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$25,258,000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$2,585,480</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462,253,283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30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2,322,715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204,500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12,800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2,540,015</w:t>
            </w:r>
          </w:p>
        </w:tc>
        <w:tc>
          <w:tcPr>
            <w:tcW w:w="0" w:type="dxa"/>
            <w:vAlign w:val="bottom"/>
          </w:tcPr>
          <w:p>
            <w:pPr>
              <w:spacing w:after="0"/>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16,154,785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4,121,800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3,727,916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461,869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24,466,370</w:t>
            </w:r>
          </w:p>
        </w:tc>
        <w:tc>
          <w:tcPr>
            <w:tcW w:w="0" w:type="dxa"/>
            <w:vAlign w:val="bottom"/>
          </w:tcPr>
          <w:p>
            <w:pPr>
              <w:spacing w:after="0"/>
              <w:rPr>
                <w:sz w:val="1"/>
                <w:szCs w:val="1"/>
                <w:color w:val="auto"/>
              </w:rPr>
            </w:pPr>
          </w:p>
        </w:tc>
      </w:tr>
      <w:tr>
        <w:trPr>
          <w:trHeight w:val="224"/>
        </w:trPr>
        <w:tc>
          <w:tcPr>
            <w:tcW w:w="502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18,477,500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4,121,800</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3,932,416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474,669</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27,006,385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Net book value</w:t>
            </w:r>
          </w:p>
        </w:tc>
        <w:tc>
          <w:tcPr>
            <w:tcW w:w="39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87,382,498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615,500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7,680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88,365,678</w:t>
            </w:r>
          </w:p>
        </w:tc>
        <w:tc>
          <w:tcPr>
            <w:tcW w:w="0" w:type="dxa"/>
            <w:vAlign w:val="bottom"/>
          </w:tcPr>
          <w:p>
            <w:pPr>
              <w:spacing w:after="0"/>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3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$318,476,713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93,333,790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$21,325,584</w:t>
            </w:r>
          </w:p>
        </w:tc>
        <w:tc>
          <w:tcPr>
            <w:tcW w:w="12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$ 2,110,811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435,246,898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The Company recorded amortization expense for the three and nine months ended September 30, 2020 of $9,531,290 and $27,286,390, respectively, and for the three and nine months ended September 30, 2019 of $5,419,212, and $12,415,696, respectively. During the second quarter of 2020, the Company recorded a measurement period adjustment in connection with its June 27, 2019 acquisition of MC Brands, LLC of $1,840,009 which increased intangible assets and share capital. The remainder of the adjustments to purchase price allocations relate to the finalization of several 2019 acquisitions.</w:t>
      </w:r>
    </w:p>
    <w:p>
      <w:pPr>
        <w:spacing w:after="0" w:line="157"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In addition, the Company reviewed the estimated useful lives of its intangible assets as part of the Company’s plans to rebrand one of its retail stores. Based on that review, the Company determined that certain intangible assets associated with the Company’s retail tradenames have a useful life shorter than initially estimated.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0" w:right="439" w:bottom="1440" w:gutter="0" w:footer="0" w:header="0"/>
        </w:sectPr>
      </w:pPr>
    </w:p>
    <w:bookmarkStart w:id="16" w:name="page17"/>
    <w:bookmarkEnd w:id="16"/>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5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Beginning July 1, 2020, the Company adjusted the useful life of its retail tradename associated with the acquisition of Essence from 15 years to 7 years. The change in useful life was made as a prospective adjustment and resulted in an increase in amortization expense of $1,266,880 for the remainder of 2020, $5,067,520 annually for years 2021 through 2024, and a net reduction in amortization expense of $21,536,960 thereafter.</w:t>
      </w:r>
    </w:p>
    <w:p>
      <w:pPr>
        <w:spacing w:after="0" w:line="16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following table outlines the estimated annual amortization expense related to intangible assets as of September 30, 2020 and illustrates the effect of the change in useful life of the Essence tradename discussed above:</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Estimated</w:t>
            </w:r>
          </w:p>
        </w:tc>
        <w:tc>
          <w:tcPr>
            <w:tcW w:w="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4"/>
                <w:szCs w:val="14"/>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(Prior to</w:t>
            </w: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from Change</w:t>
            </w: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Change in</w:t>
            </w: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in</w:t>
            </w: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(After Change</w:t>
            </w:r>
          </w:p>
        </w:tc>
        <w:tc>
          <w:tcPr>
            <w:tcW w:w="0" w:type="dxa"/>
            <w:vAlign w:val="bottom"/>
          </w:tcPr>
          <w:p>
            <w:pPr>
              <w:spacing w:after="0"/>
              <w:rPr>
                <w:sz w:val="1"/>
                <w:szCs w:val="1"/>
                <w:color w:val="auto"/>
              </w:rPr>
            </w:pPr>
          </w:p>
        </w:tc>
      </w:tr>
      <w:tr>
        <w:trPr>
          <w:trHeight w:val="178"/>
        </w:trPr>
        <w:tc>
          <w:tcPr>
            <w:tcW w:w="1640" w:type="dxa"/>
            <w:vAlign w:val="bottom"/>
            <w:tcBorders>
              <w:bottom w:val="single" w:sz="8" w:color="auto"/>
            </w:tcBorders>
            <w:vMerge w:val="continue"/>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7"/>
              </w:rPr>
              <w:t>Useful Life)</w:t>
            </w:r>
          </w:p>
        </w:tc>
        <w:tc>
          <w:tcPr>
            <w:tcW w:w="80" w:type="dxa"/>
            <w:vAlign w:val="bottom"/>
          </w:tcPr>
          <w:p>
            <w:pPr>
              <w:spacing w:after="0"/>
              <w:rPr>
                <w:sz w:val="15"/>
                <w:szCs w:val="15"/>
                <w:color w:val="auto"/>
              </w:rPr>
            </w:pPr>
          </w:p>
        </w:tc>
        <w:tc>
          <w:tcPr>
            <w:tcW w:w="12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04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in Useful Life)</w:t>
            </w: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Remainder of 2020</w:t>
            </w:r>
          </w:p>
        </w:tc>
        <w:tc>
          <w:tcPr>
            <w:tcW w:w="2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8,426,261</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1,266,880</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9,693,141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33,705,044</w:t>
            </w: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5,067,520</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38,772,564</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33,274,305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5,067,520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38,341,825</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2023</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33,191,489</w:t>
            </w: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5,067,520</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38,259,009</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32,610,156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5,067,520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37,677,676</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268,448,262</w:t>
            </w:r>
          </w:p>
        </w:tc>
        <w:tc>
          <w:tcPr>
            <w:tcW w:w="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(21,536,960)</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246,911,302</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409,655,517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409,655,517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September 30, 2020, Goodwill consisted of the following:</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Retail</w:t>
            </w:r>
          </w:p>
        </w:tc>
        <w:tc>
          <w:tcPr>
            <w:tcW w:w="32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Consumer</w:t>
            </w:r>
          </w:p>
        </w:tc>
        <w:tc>
          <w:tcPr>
            <w:tcW w:w="80" w:type="dxa"/>
            <w:vAlign w:val="bottom"/>
          </w:tcPr>
          <w:p>
            <w:pPr>
              <w:spacing w:after="0"/>
              <w:rPr>
                <w:sz w:val="14"/>
                <w:szCs w:val="14"/>
                <w:color w:val="auto"/>
              </w:rPr>
            </w:pPr>
          </w:p>
        </w:tc>
        <w:tc>
          <w:tcPr>
            <w:tcW w:w="9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Packaged Goods</w:t>
            </w: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2020</w:t>
            </w:r>
          </w:p>
        </w:tc>
        <w:tc>
          <w:tcPr>
            <w:tcW w:w="124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$119,873,759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$ 255,211,232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$375,084,991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1,191,425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(3,194,700)</w:t>
            </w: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(2,003,275)</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September 30, 2020</w:t>
            </w:r>
          </w:p>
        </w:tc>
        <w:tc>
          <w:tcPr>
            <w:tcW w:w="2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121,065,184</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$ 252,016,532</w:t>
            </w:r>
          </w:p>
        </w:tc>
        <w:tc>
          <w:tcPr>
            <w:tcW w:w="32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373,081,716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At December 31, 2019, Goodwill consisted of the following:</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Retail</w:t>
            </w:r>
          </w:p>
        </w:tc>
        <w:tc>
          <w:tcPr>
            <w:tcW w:w="320" w:type="dxa"/>
            <w:vAlign w:val="bottom"/>
          </w:tcPr>
          <w:p>
            <w:pPr>
              <w:spacing w:after="0"/>
              <w:rPr>
                <w:sz w:val="24"/>
                <w:szCs w:val="2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Consumer</w:t>
            </w:r>
          </w:p>
        </w:tc>
        <w:tc>
          <w:tcPr>
            <w:tcW w:w="80" w:type="dxa"/>
            <w:vAlign w:val="bottom"/>
          </w:tcPr>
          <w:p>
            <w:pPr>
              <w:spacing w:after="0"/>
              <w:rPr>
                <w:sz w:val="24"/>
                <w:szCs w:val="24"/>
                <w:color w:val="auto"/>
              </w:rPr>
            </w:pPr>
          </w:p>
        </w:tc>
        <w:tc>
          <w:tcPr>
            <w:tcW w:w="9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Packaged Goods</w:t>
            </w: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12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15,286,360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23,918,000</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39,204,360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16,756,250</w:t>
            </w:r>
          </w:p>
        </w:tc>
        <w:tc>
          <w:tcPr>
            <w:tcW w:w="1660" w:type="dxa"/>
            <w:vAlign w:val="bottom"/>
            <w:gridSpan w:val="4"/>
          </w:tcPr>
          <w:p>
            <w:pPr>
              <w:jc w:val="right"/>
              <w:ind w:right="320"/>
              <w:spacing w:after="0"/>
              <w:rPr>
                <w:sz w:val="20"/>
                <w:szCs w:val="20"/>
                <w:color w:val="auto"/>
              </w:rPr>
            </w:pPr>
            <w:r>
              <w:rPr>
                <w:rFonts w:ascii="Arial" w:cs="Arial" w:eastAsia="Arial" w:hAnsi="Arial"/>
                <w:sz w:val="18"/>
                <w:szCs w:val="18"/>
                <w:color w:val="auto"/>
              </w:rPr>
              <w:t>44,572,349</w:t>
            </w:r>
          </w:p>
        </w:tc>
        <w:tc>
          <w:tcPr>
            <w:tcW w:w="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61,328,599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46,655,753</w:t>
            </w:r>
          </w:p>
        </w:tc>
        <w:tc>
          <w:tcPr>
            <w:tcW w:w="166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69,323,570</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115,979,323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32,936,590</w:t>
            </w:r>
          </w:p>
        </w:tc>
        <w:tc>
          <w:tcPr>
            <w:tcW w:w="1660" w:type="dxa"/>
            <w:vAlign w:val="bottom"/>
            <w:gridSpan w:val="4"/>
          </w:tcPr>
          <w:p>
            <w:pPr>
              <w:jc w:val="right"/>
              <w:ind w:right="320"/>
              <w:spacing w:after="0"/>
              <w:rPr>
                <w:sz w:val="20"/>
                <w:szCs w:val="20"/>
                <w:color w:val="auto"/>
              </w:rPr>
            </w:pPr>
            <w:r>
              <w:rPr>
                <w:rFonts w:ascii="Arial" w:cs="Arial" w:eastAsia="Arial" w:hAnsi="Arial"/>
                <w:sz w:val="18"/>
                <w:szCs w:val="18"/>
                <w:color w:val="auto"/>
              </w:rPr>
              <w:t>120,963,598</w:t>
            </w:r>
          </w:p>
        </w:tc>
        <w:tc>
          <w:tcPr>
            <w:tcW w:w="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153,900,188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8,238,808</w:t>
            </w:r>
          </w:p>
        </w:tc>
        <w:tc>
          <w:tcPr>
            <w:tcW w:w="16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(3,566,285)</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4,672,523</w:t>
            </w:r>
          </w:p>
        </w:tc>
        <w:tc>
          <w:tcPr>
            <w:tcW w:w="0" w:type="dxa"/>
            <w:vAlign w:val="bottom"/>
          </w:tcPr>
          <w:p>
            <w:pPr>
              <w:spacing w:after="0"/>
              <w:rPr>
                <w:sz w:val="1"/>
                <w:szCs w:val="1"/>
                <w:color w:val="auto"/>
              </w:rPr>
            </w:pPr>
          </w:p>
        </w:tc>
      </w:tr>
      <w:tr>
        <w:trPr>
          <w:trHeight w:val="223"/>
        </w:trPr>
        <w:tc>
          <w:tcPr>
            <w:tcW w:w="560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at December 31, 2019</w:t>
            </w:r>
          </w:p>
        </w:tc>
        <w:tc>
          <w:tcPr>
            <w:tcW w:w="1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5"/>
              </w:rPr>
              <w:t>119,873,759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$ 255,211,232</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375,084,991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During the nine months ended September 30, 2020, the Company recorded measurement period adjustments resulting in a net decrease in goodwill of $2,003,275 associated with various acquisitions. In regard to the Consumer Packaged Goods segment, the Company recorded measurement period adjustments associated with its acquisition of For Success Holdings Company and Advanced Grow Labs, LLC of $1,687,700 and $1,507,000, respectively, which represented a reduction in the value of goodwill and deferred tax liabilities. Regarding the Retail segment, the Company recorded measurement period adjustments associated with its acquisition of Fiorello Pharmaceuticals, Inc. of $1,000,000 which represented an increase in the value of goodwill and corresponding adjustment to current liabilities. The remainder of the adjustments to the Retail segment represent the finalization of purchase price allocations related to other 2019 acquisitions.</w:t>
      </w:r>
    </w:p>
    <w:p>
      <w:pPr>
        <w:spacing w:after="0" w:line="11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4"/>
          </w:cols>
          <w:pgMar w:left="436" w:top="270" w:right="539" w:bottom="1440" w:gutter="0" w:footer="0" w:header="0"/>
        </w:sectPr>
      </w:pPr>
    </w:p>
    <w:bookmarkStart w:id="17" w:name="page18"/>
    <w:bookmarkEnd w:id="1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ind w:left="964" w:hanging="532"/>
        <w:spacing w:after="0"/>
        <w:tabs>
          <w:tab w:leader="none" w:pos="96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 Under Accounting Standards Update No. 2016-02</w:t>
      </w:r>
    </w:p>
    <w:p>
      <w:pPr>
        <w:spacing w:after="0" w:line="121" w:lineRule="exact"/>
        <w:rPr>
          <w:sz w:val="20"/>
          <w:szCs w:val="20"/>
          <w:color w:val="auto"/>
        </w:rPr>
      </w:pPr>
    </w:p>
    <w:p>
      <w:pPr>
        <w:ind w:left="444"/>
        <w:spacing w:after="0" w:line="255" w:lineRule="auto"/>
        <w:rPr>
          <w:sz w:val="20"/>
          <w:szCs w:val="20"/>
          <w:color w:val="auto"/>
        </w:rPr>
      </w:pPr>
      <w:r>
        <w:rPr>
          <w:rFonts w:ascii="Arial" w:cs="Arial" w:eastAsia="Arial" w:hAnsi="Arial"/>
          <w:sz w:val="18"/>
          <w:szCs w:val="18"/>
          <w:color w:val="auto"/>
        </w:rPr>
        <w:t>In February 2016, the FASB issued ASU No. 2016-02 - Leases (Topic 842) (“ASU 2016-02”), which requires lessees to put most leases on the balance sheet but recognize expense on the income statement in a manner similar to current accounting. On January 1, 2019, the Company adopted the ASU 2016-02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accumulated deficit to account for the initial adoption of the standard.</w:t>
      </w:r>
    </w:p>
    <w:p>
      <w:pPr>
        <w:spacing w:after="0" w:line="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additional information regarding the adoption of ASU 2016-02, see Note 9 – Leases in the 2019 Form 10-K.</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Other information related to operating leases as of and for the three and nine months ending September 30, 2020 were as follows:</w:t>
      </w:r>
    </w:p>
    <w:p>
      <w:pPr>
        <w:spacing w:after="0" w:line="244"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As of</w:t>
      </w:r>
    </w:p>
    <w:p>
      <w:pPr>
        <w:jc w:val="center"/>
        <w:ind w:left="5860"/>
        <w:spacing w:after="0" w:line="236" w:lineRule="auto"/>
        <w:rPr>
          <w:sz w:val="20"/>
          <w:szCs w:val="20"/>
          <w:color w:val="auto"/>
        </w:rPr>
      </w:pPr>
      <w:r>
        <w:rPr>
          <w:rFonts w:ascii="Arial" w:cs="Arial" w:eastAsia="Arial" w:hAnsi="Arial"/>
          <w:sz w:val="14"/>
          <w:szCs w:val="14"/>
          <w:b w:val="1"/>
          <w:bCs w:val="1"/>
          <w:color w:val="auto"/>
        </w:rPr>
        <w:t>September 30, 2020</w:t>
      </w:r>
    </w:p>
    <w:tbl>
      <w:tblPr>
        <w:tblLayout w:type="fixed"/>
        <w:tblInd w:w="444"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400" w:type="dxa"/>
            <w:vAlign w:val="bottom"/>
            <w:gridSpan w:val="7"/>
          </w:tcPr>
          <w:p>
            <w:pPr>
              <w:spacing w:after="0"/>
              <w:rPr>
                <w:sz w:val="20"/>
                <w:szCs w:val="20"/>
                <w:color w:val="auto"/>
              </w:rPr>
            </w:pPr>
            <w:r>
              <w:rPr>
                <w:rFonts w:ascii="Arial" w:cs="Arial" w:eastAsia="Arial" w:hAnsi="Arial"/>
                <w:sz w:val="18"/>
                <w:szCs w:val="18"/>
                <w:color w:val="auto"/>
              </w:rPr>
              <w:t>Maturities of lease liabilities for operating leases as of September 30, 2020 were as follows: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Maturities of Lease Liability</w:t>
            </w: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1"/>
              <w:spacing w:after="0" w:line="142" w:lineRule="exact"/>
              <w:rPr>
                <w:sz w:val="20"/>
                <w:szCs w:val="20"/>
                <w:color w:val="auto"/>
              </w:rPr>
            </w:pPr>
            <w:r>
              <w:rPr>
                <w:rFonts w:ascii="Arial" w:cs="Arial" w:eastAsia="Arial" w:hAnsi="Arial"/>
                <w:sz w:val="14"/>
                <w:szCs w:val="14"/>
                <w:b w:val="1"/>
                <w:bCs w:val="1"/>
                <w:color w:val="auto"/>
              </w:rPr>
              <w:t>Third Party</w:t>
            </w:r>
          </w:p>
        </w:tc>
        <w:tc>
          <w:tcPr>
            <w:tcW w:w="260" w:type="dxa"/>
            <w:vAlign w:val="bottom"/>
          </w:tcPr>
          <w:p>
            <w:pPr>
              <w:spacing w:after="0"/>
              <w:rPr>
                <w:sz w:val="12"/>
                <w:szCs w:val="12"/>
                <w:color w:val="auto"/>
              </w:rPr>
            </w:pPr>
          </w:p>
        </w:tc>
        <w:tc>
          <w:tcPr>
            <w:tcW w:w="114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Related Party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4,767,957</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322,287</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5,090,244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2021</w:t>
            </w:r>
          </w:p>
        </w:tc>
        <w:tc>
          <w:tcPr>
            <w:tcW w:w="3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22,243,662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9"/>
              </w:rPr>
              <w:t>1,307,183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23,550,845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22,285,836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1,337,130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23,622,966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2023</w:t>
            </w:r>
          </w:p>
        </w:tc>
        <w:tc>
          <w:tcPr>
            <w:tcW w:w="3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22,092,882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9"/>
              </w:rPr>
              <w:t>1,367,771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23,460,653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21,387,294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1,255,714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22,643,008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183,998,689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10,345,330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194,344,019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276,776,320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15,935,415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292,711,735</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Less: Interest</w:t>
            </w:r>
          </w:p>
        </w:tc>
        <w:tc>
          <w:tcPr>
            <w:tcW w:w="1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(177,811,636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(7,837,605</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(185,649,241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98,964,684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8,907,810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93"/>
              </w:rPr>
              <w:t>107,062,494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44" w:right="600"/>
        <w:spacing w:after="0" w:line="263" w:lineRule="auto"/>
        <w:rPr>
          <w:sz w:val="20"/>
          <w:szCs w:val="20"/>
          <w:color w:val="auto"/>
        </w:rPr>
      </w:pPr>
      <w:r>
        <w:rPr>
          <w:rFonts w:ascii="Arial" w:cs="Arial" w:eastAsia="Arial" w:hAnsi="Arial"/>
          <w:sz w:val="18"/>
          <w:szCs w:val="18"/>
          <w:color w:val="auto"/>
        </w:rPr>
        <w:t>For the three and nine months ended September 30, 2020 the Company recorded operating lease expense of $6,590,553 and $19,021,190, respectively. For the three and nine months ended September 30, 2019, the Company recorded operating lease expenses of $1,962,561 and $4,229,889, respectively.</w:t>
      </w:r>
    </w:p>
    <w:p>
      <w:pPr>
        <w:spacing w:after="0" w:line="328" w:lineRule="exact"/>
        <w:rPr>
          <w:sz w:val="20"/>
          <w:szCs w:val="20"/>
          <w:color w:val="auto"/>
        </w:rPr>
      </w:pPr>
    </w:p>
    <w:p>
      <w:pPr>
        <w:ind w:left="964" w:hanging="532"/>
        <w:spacing w:after="0"/>
        <w:tabs>
          <w:tab w:leader="none" w:pos="96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444" w:right="260"/>
        <w:spacing w:after="0" w:line="277" w:lineRule="auto"/>
        <w:rPr>
          <w:sz w:val="20"/>
          <w:szCs w:val="20"/>
          <w:color w:val="auto"/>
        </w:rPr>
      </w:pPr>
      <w:r>
        <w:rPr>
          <w:rFonts w:ascii="Arial" w:cs="Arial" w:eastAsia="Arial" w:hAnsi="Arial"/>
          <w:sz w:val="18"/>
          <w:szCs w:val="18"/>
          <w:color w:val="auto"/>
        </w:rPr>
        <w:t>The Company entered into related party transactions with respect to its leasing arrangements for certain facilities in Florida, Illinois, Maryland, Massachusetts and Nevada.</w:t>
      </w:r>
    </w:p>
    <w:p>
      <w:pPr>
        <w:spacing w:after="0" w:line="62" w:lineRule="exact"/>
        <w:rPr>
          <w:sz w:val="20"/>
          <w:szCs w:val="20"/>
          <w:color w:val="auto"/>
        </w:rPr>
      </w:pPr>
    </w:p>
    <w:p>
      <w:pPr>
        <w:ind w:left="444" w:right="100"/>
        <w:spacing w:after="0" w:line="271" w:lineRule="auto"/>
        <w:rPr>
          <w:sz w:val="20"/>
          <w:szCs w:val="20"/>
          <w:color w:val="auto"/>
        </w:rPr>
      </w:pPr>
      <w:r>
        <w:rPr>
          <w:rFonts w:ascii="Arial" w:cs="Arial" w:eastAsia="Arial" w:hAnsi="Arial"/>
          <w:sz w:val="17"/>
          <w:szCs w:val="17"/>
          <w:color w:val="auto"/>
        </w:rPr>
        <w:t>Wendy Berger, a director of the Company, is a principal of WBS Equities, LLC, which is the Manager of Mosaic Real Estate, LLC, and owns certain facilities leased by the Company. Additionally, Mosaic Real Estate, LLC is owned in part by Ms. Berger (through the Wendy Berger 1998 Revocable Trust), Benjamin Kovler, the Chief Executive Officer and a director of the Company (through KP Capital, LLC), and</w:t>
      </w:r>
    </w:p>
    <w:p>
      <w:pPr>
        <w:ind w:left="444" w:right="360"/>
        <w:spacing w:after="0" w:line="260" w:lineRule="auto"/>
        <w:rPr>
          <w:sz w:val="20"/>
          <w:szCs w:val="20"/>
          <w:color w:val="auto"/>
        </w:rPr>
      </w:pPr>
      <w:r>
        <w:rPr>
          <w:rFonts w:ascii="Arial" w:cs="Arial" w:eastAsia="Arial" w:hAnsi="Arial"/>
          <w:sz w:val="18"/>
          <w:szCs w:val="18"/>
          <w:color w:val="auto"/>
        </w:rPr>
        <w:t>Anthony Georgiadis, the Chief Financial Officer and a director of the Company (through Three One Four Holdings, LLC). The terms of these leases range from 7 years to 15 years. For the three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18" w:name="page19"/>
    <w:bookmarkEnd w:id="1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ind w:left="964" w:hanging="532"/>
        <w:spacing w:after="0"/>
        <w:tabs>
          <w:tab w:leader="none" w:pos="96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Operating Leases </w:t>
      </w:r>
      <w:r>
        <w:rPr>
          <w:rFonts w:ascii="Arial" w:cs="Arial" w:eastAsia="Arial" w:hAnsi="Arial"/>
          <w:sz w:val="18"/>
          <w:szCs w:val="18"/>
          <w:i w:val="1"/>
          <w:iCs w:val="1"/>
          <w:color w:val="auto"/>
        </w:rPr>
        <w:t>(Continued)</w:t>
      </w:r>
    </w:p>
    <w:p>
      <w:pPr>
        <w:spacing w:after="0" w:line="121" w:lineRule="exact"/>
        <w:rPr>
          <w:sz w:val="20"/>
          <w:szCs w:val="20"/>
          <w:color w:val="auto"/>
        </w:rPr>
      </w:pPr>
    </w:p>
    <w:p>
      <w:pPr>
        <w:jc w:val="both"/>
        <w:ind w:left="444" w:right="140"/>
        <w:spacing w:after="0" w:line="263" w:lineRule="auto"/>
        <w:rPr>
          <w:sz w:val="20"/>
          <w:szCs w:val="20"/>
          <w:color w:val="auto"/>
        </w:rPr>
      </w:pPr>
      <w:r>
        <w:rPr>
          <w:rFonts w:ascii="Arial" w:cs="Arial" w:eastAsia="Arial" w:hAnsi="Arial"/>
          <w:sz w:val="18"/>
          <w:szCs w:val="18"/>
          <w:color w:val="auto"/>
        </w:rPr>
        <w:t>and nine months ended September 30, 2020, the Company recorded lease expense of $157,076 and $601,753, respectively, associated with these leasing arrangements. For the three and nine month ended September 30, 2019, the Company recorded operating lease expenses of $148,226 and $339,961, respectively, associated with these leasing arrangements.</w:t>
      </w:r>
    </w:p>
    <w:p>
      <w:pPr>
        <w:spacing w:after="0" w:line="76" w:lineRule="exact"/>
        <w:rPr>
          <w:sz w:val="20"/>
          <w:szCs w:val="20"/>
          <w:color w:val="auto"/>
        </w:rPr>
      </w:pPr>
    </w:p>
    <w:p>
      <w:pPr>
        <w:jc w:val="both"/>
        <w:ind w:left="444" w:right="300"/>
        <w:spacing w:after="0" w:line="263" w:lineRule="auto"/>
        <w:rPr>
          <w:sz w:val="20"/>
          <w:szCs w:val="20"/>
          <w:color w:val="auto"/>
        </w:rPr>
      </w:pPr>
      <w:r>
        <w:rPr>
          <w:rFonts w:ascii="Arial" w:cs="Arial" w:eastAsia="Arial" w:hAnsi="Arial"/>
          <w:sz w:val="18"/>
          <w:szCs w:val="18"/>
          <w:color w:val="auto"/>
        </w:rPr>
        <w:t>On June 5, 2020, a wholly owned subsidiary of the Company purchased the building and building improvements of the Company’s dispensary located in Joliet, Illinois for $1,814,000 from Mosaic Real Estate Joliet, LLC. The transaction resulted in the termination of the Illinois related party leasing arrangement. For additional information see Note 6 – Notes Payable.</w:t>
      </w:r>
    </w:p>
    <w:p>
      <w:pPr>
        <w:spacing w:after="0" w:line="76" w:lineRule="exact"/>
        <w:rPr>
          <w:sz w:val="20"/>
          <w:szCs w:val="20"/>
          <w:color w:val="auto"/>
        </w:rPr>
      </w:pPr>
    </w:p>
    <w:p>
      <w:pPr>
        <w:ind w:left="444" w:right="160"/>
        <w:spacing w:after="0" w:line="275" w:lineRule="auto"/>
        <w:rPr>
          <w:sz w:val="20"/>
          <w:szCs w:val="20"/>
          <w:color w:val="auto"/>
        </w:rPr>
      </w:pPr>
      <w:r>
        <w:rPr>
          <w:rFonts w:ascii="Arial" w:cs="Arial" w:eastAsia="Arial" w:hAnsi="Arial"/>
          <w:sz w:val="17"/>
          <w:szCs w:val="17"/>
          <w:color w:val="auto"/>
        </w:rPr>
        <w:t>In connection with the Company’s acquisition of Integral Associates, LLC, the Company, through a subsidiary, leases property from Durango Teco Partners, LLC, which commenced on June 27, 2020 for an Essence retail store in Nevada. Durango Teco Partners, LLC is owned in part by Armenco Capital LLC, which is in turn owned in part by Alejandro Yemenidjian, a former owner of Integral Associates, LLC and a current director of the Company. The lease has a ten year term. For the three and nine months ended September 30, 2020, the Company recorded lease expense of $58,332 and $77,776, respectively, associated with this lease.</w:t>
      </w:r>
    </w:p>
    <w:p>
      <w:pPr>
        <w:spacing w:after="0" w:line="321" w:lineRule="exact"/>
        <w:rPr>
          <w:sz w:val="20"/>
          <w:szCs w:val="20"/>
          <w:color w:val="auto"/>
        </w:rPr>
      </w:pPr>
    </w:p>
    <w:p>
      <w:pPr>
        <w:ind w:left="964" w:hanging="532"/>
        <w:spacing w:after="0"/>
        <w:tabs>
          <w:tab w:leader="none" w:pos="96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Sales Lease Back Transactions</w:t>
      </w:r>
    </w:p>
    <w:p>
      <w:pPr>
        <w:spacing w:after="0" w:line="121" w:lineRule="exact"/>
        <w:rPr>
          <w:sz w:val="20"/>
          <w:szCs w:val="20"/>
          <w:color w:val="auto"/>
        </w:rPr>
      </w:pPr>
    </w:p>
    <w:p>
      <w:pPr>
        <w:jc w:val="both"/>
        <w:ind w:left="444"/>
        <w:spacing w:after="0" w:line="259" w:lineRule="auto"/>
        <w:rPr>
          <w:sz w:val="20"/>
          <w:szCs w:val="20"/>
          <w:color w:val="auto"/>
        </w:rPr>
      </w:pPr>
      <w:r>
        <w:rPr>
          <w:rFonts w:ascii="Arial" w:cs="Arial" w:eastAsia="Arial" w:hAnsi="Arial"/>
          <w:sz w:val="18"/>
          <w:szCs w:val="18"/>
          <w:color w:val="auto"/>
        </w:rPr>
        <w:t>On January 31, 2020, the Company closed on a sale and lease back transaction to sell its Toledo, Ohio processing facility to IIP. Under a long-term agreement, the Company has leased back the facility and continues to operate and manage it. The purchase price for the property was $2,900,000, excluding transaction costs. The Company is making certain improvements to the property that will significantly enhance production capacity, for which IIP has agreed to provide reimbursement of up to $4,300,000.</w:t>
      </w:r>
    </w:p>
    <w:p>
      <w:pPr>
        <w:spacing w:after="0" w:line="79" w:lineRule="exact"/>
        <w:rPr>
          <w:sz w:val="20"/>
          <w:szCs w:val="20"/>
          <w:color w:val="auto"/>
        </w:rPr>
      </w:pPr>
    </w:p>
    <w:p>
      <w:pPr>
        <w:ind w:left="444" w:right="240"/>
        <w:spacing w:after="0" w:line="255" w:lineRule="auto"/>
        <w:rPr>
          <w:sz w:val="20"/>
          <w:szCs w:val="20"/>
          <w:color w:val="auto"/>
        </w:rPr>
      </w:pPr>
      <w:r>
        <w:rPr>
          <w:rFonts w:ascii="Arial" w:cs="Arial" w:eastAsia="Arial" w:hAnsi="Arial"/>
          <w:sz w:val="18"/>
          <w:szCs w:val="18"/>
          <w:color w:val="auto"/>
        </w:rPr>
        <w:t>Following the end of the third quarter of 2020, on October 1, 2020, the Company and IIP agreed to amend the lease on the Toledo, Ohio processing facility. Under the amendment, IIP will provide an additional $25,000,000 in funding to be used for the construction of a cannabis cultivation facility at the property, which currently houses a separate cannabis processing facility. Assuming full payment of the additional funding, IIP’s total investment in the property pursuant to the sale and leaseback transaction and related amendment will be $32,200,000. The Company is in process of evaluating the lease amendment and will conclude on the classification, and value of the right of use asset and related lease liability in the following quarter.</w:t>
      </w:r>
    </w:p>
    <w:p>
      <w:pPr>
        <w:spacing w:after="0" w:line="84" w:lineRule="exact"/>
        <w:rPr>
          <w:sz w:val="20"/>
          <w:szCs w:val="20"/>
          <w:color w:val="auto"/>
        </w:rPr>
      </w:pPr>
    </w:p>
    <w:p>
      <w:pPr>
        <w:ind w:left="444" w:right="80"/>
        <w:spacing w:after="0" w:line="293" w:lineRule="auto"/>
        <w:rPr>
          <w:sz w:val="20"/>
          <w:szCs w:val="20"/>
          <w:color w:val="auto"/>
        </w:rPr>
      </w:pPr>
      <w:r>
        <w:rPr>
          <w:rFonts w:ascii="Arial" w:cs="Arial" w:eastAsia="Arial" w:hAnsi="Arial"/>
          <w:sz w:val="16"/>
          <w:szCs w:val="16"/>
          <w:color w:val="auto"/>
        </w:rPr>
        <w:t>On March 6, 2020, the Company closed on a sale and lease back transaction to sell its Oglesby, Illinois cultivation and processing facility to IIP. Under a long-term agreement, the Company has leased back the facility and continues to operate and manage it. The purchase price for the property was $9,000,000, excluding transaction costs. The Company is making certain improvements to the property that will significantly enhance production capacity, for which IIP has agreed to provide reimbursement of up to $41,000,000. Assuming full reimbursement for such improvements, IIP’s total investment in the property will be $50,000,000. The lease has a term of 16 years and was recorded as an operating lease and resulted in a right of use asset and related lease liability of $26,828,221 and was recorded net of the improvements allowance of $41,000,000.</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19" w:name="page20"/>
    <w:bookmarkEnd w:id="1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September 30, 2020 and December 31, 2019, notes payable consisted of the following:</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48"/>
        </w:trPr>
        <w:tc>
          <w:tcPr>
            <w:tcW w:w="8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2"/>
        </w:trPr>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 connection with an acquisition completed in 2017, the Company is required to make quarterly charitable contributions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of $50,000 through October 2024. The net present value of these required payments has been recorded as a liability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an interest rate of 2.17%.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763,284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970,957</w:t>
            </w:r>
          </w:p>
        </w:tc>
      </w:tr>
      <w:tr>
        <w:trPr>
          <w:trHeight w:val="269"/>
        </w:trPr>
        <w:tc>
          <w:tcPr>
            <w:tcW w:w="8880" w:type="dxa"/>
            <w:vAlign w:val="bottom"/>
          </w:tcPr>
          <w:p>
            <w:pPr>
              <w:spacing w:after="0"/>
              <w:rPr>
                <w:sz w:val="20"/>
                <w:szCs w:val="20"/>
                <w:color w:val="auto"/>
              </w:rPr>
            </w:pPr>
            <w:r>
              <w:rPr>
                <w:rFonts w:ascii="Arial" w:cs="Arial" w:eastAsia="Arial" w:hAnsi="Arial"/>
                <w:sz w:val="18"/>
                <w:szCs w:val="18"/>
                <w:color w:val="auto"/>
                <w:w w:val="96"/>
              </w:rPr>
              <w:t>Private placement debt dated May 22, 2019, in the original amount of $105,466,429 with an interest rate of 12.00%,</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8880" w:type="dxa"/>
            <w:vAlign w:val="bottom"/>
          </w:tcPr>
          <w:p>
            <w:pPr>
              <w:ind w:left="180"/>
              <w:spacing w:after="0"/>
              <w:rPr>
                <w:sz w:val="20"/>
                <w:szCs w:val="20"/>
                <w:color w:val="auto"/>
              </w:rPr>
            </w:pPr>
            <w:r>
              <w:rPr>
                <w:rFonts w:ascii="Arial" w:cs="Arial" w:eastAsia="Arial" w:hAnsi="Arial"/>
                <w:sz w:val="18"/>
                <w:szCs w:val="18"/>
                <w:color w:val="auto"/>
                <w:w w:val="99"/>
              </w:rPr>
              <w:t>matures on May 22, 2023. The debt was issued at a discount, the carrying value of which is $11,618,400 as of</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880" w:type="dxa"/>
            <w:vAlign w:val="bottom"/>
          </w:tcPr>
          <w:p>
            <w:pPr>
              <w:ind w:left="180"/>
              <w:spacing w:after="0"/>
              <w:rPr>
                <w:sz w:val="20"/>
                <w:szCs w:val="20"/>
                <w:color w:val="auto"/>
              </w:rPr>
            </w:pPr>
            <w:r>
              <w:rPr>
                <w:rFonts w:ascii="Arial" w:cs="Arial" w:eastAsia="Arial" w:hAnsi="Arial"/>
                <w:sz w:val="18"/>
                <w:szCs w:val="18"/>
                <w:color w:val="auto"/>
              </w:rPr>
              <w:t>September 30, 2020</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93,848,029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90,375,912</w:t>
            </w:r>
          </w:p>
        </w:tc>
      </w:tr>
      <w:tr>
        <w:trPr>
          <w:trHeight w:val="68"/>
        </w:trPr>
        <w:tc>
          <w:tcPr>
            <w:tcW w:w="8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2"/>
        </w:trPr>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Rise Joliet mortgage dated June 5, 2020, in the original amount of $1,814,000 with an interest rate of 5.00%, matures 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June 5, 2035. The debt was issued at a discount, the carrying value of which is $177,244 as of September 30, 2020.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1,616,606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69"/>
        </w:trPr>
        <w:tc>
          <w:tcPr>
            <w:tcW w:w="8880" w:type="dxa"/>
            <w:vAlign w:val="bottom"/>
          </w:tcPr>
          <w:p>
            <w:pPr>
              <w:spacing w:after="0"/>
              <w:rPr>
                <w:sz w:val="20"/>
                <w:szCs w:val="20"/>
                <w:color w:val="auto"/>
              </w:rPr>
            </w:pPr>
            <w:r>
              <w:rPr>
                <w:rFonts w:ascii="Arial" w:cs="Arial" w:eastAsia="Arial" w:hAnsi="Arial"/>
                <w:sz w:val="18"/>
                <w:szCs w:val="18"/>
                <w:color w:val="auto"/>
                <w:w w:val="96"/>
              </w:rPr>
              <w:t>Rise Lakewood mortgage dated August 20, 2020, in the original amount of $833,000 with an interest rate of 7.25%,</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30"/>
        </w:trPr>
        <w:tc>
          <w:tcPr>
            <w:tcW w:w="8880" w:type="dxa"/>
            <w:vAlign w:val="bottom"/>
          </w:tcPr>
          <w:p>
            <w:pPr>
              <w:ind w:left="180"/>
              <w:spacing w:after="0"/>
              <w:rPr>
                <w:sz w:val="20"/>
                <w:szCs w:val="20"/>
                <w:color w:val="auto"/>
              </w:rPr>
            </w:pPr>
            <w:r>
              <w:rPr>
                <w:rFonts w:ascii="Arial" w:cs="Arial" w:eastAsia="Arial" w:hAnsi="Arial"/>
                <w:sz w:val="18"/>
                <w:szCs w:val="18"/>
                <w:color w:val="auto"/>
              </w:rPr>
              <w:t>matures on August 20, 2025.</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831,341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97,059,260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91,346,869</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(301,027)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(206,675)</w:t>
            </w:r>
          </w:p>
        </w:tc>
      </w:tr>
      <w:tr>
        <w:trPr>
          <w:trHeight w:val="27"/>
        </w:trPr>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96,758,233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91,140,194</w:t>
            </w:r>
          </w:p>
        </w:tc>
      </w:tr>
      <w:tr>
        <w:trPr>
          <w:trHeight w:val="20"/>
        </w:trPr>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964" w:hanging="532"/>
        <w:spacing w:after="0"/>
        <w:tabs>
          <w:tab w:leader="none" w:pos="96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Private Placement Financing</w:t>
      </w:r>
    </w:p>
    <w:p>
      <w:pPr>
        <w:spacing w:after="0" w:line="121" w:lineRule="exact"/>
        <w:rPr>
          <w:rFonts w:ascii="Arial" w:cs="Arial" w:eastAsia="Arial" w:hAnsi="Arial"/>
          <w:sz w:val="18"/>
          <w:szCs w:val="18"/>
          <w:b w:val="1"/>
          <w:bCs w:val="1"/>
          <w:color w:val="auto"/>
        </w:rPr>
      </w:pPr>
    </w:p>
    <w:p>
      <w:pPr>
        <w:ind w:left="984"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May 21, 2020, the Company exercised its option to extend the maturity date of its senior secured notes (the “Notes”) pursuant to the Note Purchase Agreement, dated May 22, 2019, as amended (the “Note Purchase Agreement”) for an additional year. Following this exercise, which was in the Company’s sole discretion under the Note Purchase Agreement, the new maturity date for the Notes is May 22, 2023.</w:t>
      </w:r>
    </w:p>
    <w:p>
      <w:pPr>
        <w:spacing w:after="0" w:line="331" w:lineRule="exact"/>
        <w:rPr>
          <w:rFonts w:ascii="Arial" w:cs="Arial" w:eastAsia="Arial" w:hAnsi="Arial"/>
          <w:sz w:val="18"/>
          <w:szCs w:val="18"/>
          <w:b w:val="1"/>
          <w:bCs w:val="1"/>
          <w:color w:val="auto"/>
        </w:rPr>
      </w:pPr>
    </w:p>
    <w:p>
      <w:pPr>
        <w:ind w:left="964" w:hanging="532"/>
        <w:spacing w:after="0"/>
        <w:tabs>
          <w:tab w:leader="none" w:pos="96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Mortgage on Joliet, Illinois Dispensary</w:t>
      </w:r>
    </w:p>
    <w:p>
      <w:pPr>
        <w:spacing w:after="0" w:line="121" w:lineRule="exact"/>
        <w:rPr>
          <w:rFonts w:ascii="Arial" w:cs="Arial" w:eastAsia="Arial" w:hAnsi="Arial"/>
          <w:sz w:val="18"/>
          <w:szCs w:val="18"/>
          <w:b w:val="1"/>
          <w:bCs w:val="1"/>
          <w:color w:val="auto"/>
        </w:rPr>
      </w:pPr>
    </w:p>
    <w:p>
      <w:pPr>
        <w:ind w:left="984"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June 5, 2020, the Company closed on a secured promissory note (the “Mortgage”) of $1,814,000. The Mortgage bears interest of 5% per annum and matures on June 5, 2035. The Mortgage provided by the lender was used to purchase the building and building improvements of one of the Company’s dispensaries located in Joliet, Illinois that the Company previously leased from Mosaic Real Estate Joliet, LLC, a related party. As part of the transaction, the Company issued 35,000 warrants valued at $181,272 using a Black Scholes Option Pricing model which were accounted for as equity and recorded as a discount on the Mortgage.</w:t>
      </w:r>
    </w:p>
    <w:p>
      <w:pPr>
        <w:spacing w:after="0" w:line="108" w:lineRule="exact"/>
        <w:rPr>
          <w:rFonts w:ascii="Arial" w:cs="Arial" w:eastAsia="Arial" w:hAnsi="Arial"/>
          <w:sz w:val="18"/>
          <w:szCs w:val="18"/>
          <w:b w:val="1"/>
          <w:bCs w:val="1"/>
          <w:color w:val="auto"/>
        </w:rPr>
      </w:pPr>
    </w:p>
    <w:p>
      <w:pPr>
        <w:ind w:left="5424" w:hanging="111"/>
        <w:spacing w:after="0"/>
        <w:tabs>
          <w:tab w:leader="none" w:pos="5424" w:val="left"/>
        </w:tabs>
        <w:numPr>
          <w:ilvl w:val="1"/>
          <w:numId w:val="25"/>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24"/>
          </w:cols>
          <w:pgMar w:left="436" w:top="270" w:right="439" w:bottom="1440" w:gutter="0" w:footer="0" w:header="0"/>
        </w:sectPr>
      </w:pPr>
    </w:p>
    <w:bookmarkStart w:id="20" w:name="page21"/>
    <w:bookmarkEnd w:id="2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color w:val="auto"/>
        </w:rPr>
        <w:t>(Continued)</w:t>
      </w:r>
    </w:p>
    <w:p>
      <w:pPr>
        <w:spacing w:after="0" w:line="198" w:lineRule="exact"/>
        <w:rPr>
          <w:rFonts w:ascii="Arial" w:cs="Arial" w:eastAsia="Arial" w:hAnsi="Arial"/>
          <w:sz w:val="18"/>
          <w:szCs w:val="18"/>
          <w:b w:val="1"/>
          <w:bCs w:val="1"/>
          <w:color w:val="auto"/>
        </w:rPr>
      </w:pPr>
    </w:p>
    <w:p>
      <w:pPr>
        <w:ind w:left="964" w:hanging="532"/>
        <w:spacing w:after="0"/>
        <w:tabs>
          <w:tab w:leader="none" w:pos="964"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Mortgage on Lakewood, Ohio Dispensary</w:t>
      </w:r>
    </w:p>
    <w:p>
      <w:pPr>
        <w:spacing w:after="0" w:line="121" w:lineRule="exact"/>
        <w:rPr>
          <w:rFonts w:ascii="Arial" w:cs="Arial" w:eastAsia="Arial" w:hAnsi="Arial"/>
          <w:sz w:val="18"/>
          <w:szCs w:val="18"/>
          <w:b w:val="1"/>
          <w:bCs w:val="1"/>
          <w:color w:val="auto"/>
        </w:rPr>
      </w:pPr>
    </w:p>
    <w:p>
      <w:pPr>
        <w:ind w:left="984"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August 20, 2020, the Company closed on a secured promissory note (the “Lakewood Mortgage”) of $833,000. The Lakewood Mortgage bears interest of 7.25% per annum and matures on August 20, 2025. The Lakewood Mortgage provided by the lender was used to purchase the land, building and building improvements of one of the Company’s dispensaries located in Lakewood, Ohio that the company previously leased.</w:t>
      </w:r>
    </w:p>
    <w:p>
      <w:pPr>
        <w:spacing w:after="0" w:line="331" w:lineRule="exact"/>
        <w:rPr>
          <w:rFonts w:ascii="Arial" w:cs="Arial" w:eastAsia="Arial" w:hAnsi="Arial"/>
          <w:sz w:val="18"/>
          <w:szCs w:val="18"/>
          <w:b w:val="1"/>
          <w:bCs w:val="1"/>
          <w:color w:val="auto"/>
        </w:rPr>
      </w:pPr>
    </w:p>
    <w:p>
      <w:pPr>
        <w:ind w:left="964" w:hanging="532"/>
        <w:spacing w:after="0"/>
        <w:tabs>
          <w:tab w:leader="none" w:pos="964"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984"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private placement debt is held by related parties as well as unrelated third-party lenders at a percentage of approximately 1% and 99%, respectively. The related parties consist of Benjamin Kovler, the Chief Executive Officer and a director of the Company (through KP Capital, LLC); Andrew Grossman, the Executive Vice President of Capital Markets of the Company (through AG Funding Group, LLC); and Anthony Georgiadis, the Chief Financial Officer and a director of the Corporation (through Three One Four Holdings, LLC and ABG, LLC).</w:t>
      </w:r>
    </w:p>
    <w:p>
      <w:pPr>
        <w:spacing w:after="0" w:line="332" w:lineRule="exact"/>
        <w:rPr>
          <w:rFonts w:ascii="Arial" w:cs="Arial" w:eastAsia="Arial" w:hAnsi="Arial"/>
          <w:sz w:val="18"/>
          <w:szCs w:val="18"/>
          <w:b w:val="1"/>
          <w:bCs w:val="1"/>
          <w:color w:val="auto"/>
        </w:rPr>
      </w:pPr>
    </w:p>
    <w:p>
      <w:pPr>
        <w:ind w:left="424" w:hanging="424"/>
        <w:spacing w:after="0"/>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-2339340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4" w:right="40"/>
        <w:spacing w:after="0" w:line="342" w:lineRule="auto"/>
        <w:rPr>
          <w:sz w:val="20"/>
          <w:szCs w:val="20"/>
          <w:color w:val="auto"/>
        </w:rPr>
      </w:pPr>
      <w:r>
        <w:rPr>
          <w:rFonts w:ascii="Arial" w:cs="Arial" w:eastAsia="Arial" w:hAnsi="Arial"/>
          <w:sz w:val="16"/>
          <w:szCs w:val="16"/>
          <w:color w:val="auto"/>
        </w:rPr>
        <w:t>As part of the Company’s private placement financing and Mortgage on the Joliet, Illinois dispensary, the Company issued warrants to related parties, as well as un-related third parties, which allow the holders to purchase Subordinate Voting Shares at an exercise price determined at the time of issuance.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summarizes the number warrants outstanding as of September 30, 2020 and December 31, 2019:</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rPr>
              <w:t>Weighted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Weighted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5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5"/>
              </w:rPr>
              <w:t>Average</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Weighted</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Weighted</w:t>
            </w:r>
          </w:p>
        </w:tc>
      </w:tr>
      <w:tr>
        <w:trPr>
          <w:trHeight w:val="148"/>
        </w:trPr>
        <w:tc>
          <w:tcPr>
            <w:tcW w:w="5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Exercise</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Average</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Number</w:t>
            </w:r>
          </w:p>
        </w:tc>
        <w:tc>
          <w:tcPr>
            <w:tcW w:w="200" w:type="dxa"/>
            <w:vAlign w:val="bottom"/>
          </w:tcPr>
          <w:p>
            <w:pPr>
              <w:spacing w:after="0"/>
              <w:rPr>
                <w:sz w:val="12"/>
                <w:szCs w:val="12"/>
                <w:color w:val="auto"/>
              </w:rPr>
            </w:pPr>
          </w:p>
        </w:tc>
        <w:tc>
          <w:tcPr>
            <w:tcW w:w="8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Exercise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Average</w:t>
            </w:r>
          </w:p>
        </w:tc>
      </w:tr>
      <w:tr>
        <w:trPr>
          <w:trHeight w:val="148"/>
        </w:trPr>
        <w:tc>
          <w:tcPr>
            <w:tcW w:w="53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Price</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Contractual</w:t>
            </w: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Price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Contractual</w:t>
            </w:r>
          </w:p>
        </w:tc>
      </w:tr>
      <w:tr>
        <w:trPr>
          <w:trHeight w:val="167"/>
        </w:trPr>
        <w:tc>
          <w:tcPr>
            <w:tcW w:w="53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70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auto"/>
              </w:rPr>
              <w:t>(C$)</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rPr>
              <w:t>Life</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color w:val="auto"/>
                <w:w w:val="97"/>
              </w:rPr>
              <w:t>(USD)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rPr>
              <w:t>Life</w:t>
            </w:r>
          </w:p>
        </w:tc>
      </w:tr>
      <w:tr>
        <w:trPr>
          <w:trHeight w:val="142"/>
        </w:trPr>
        <w:tc>
          <w:tcPr>
            <w:tcW w:w="53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7"/>
              </w:rPr>
              <w:t>Liability Classified</w:t>
            </w:r>
          </w:p>
        </w:tc>
        <w:tc>
          <w:tcPr>
            <w:tcW w:w="6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5"/>
          </w:tcPr>
          <w:p>
            <w:pPr>
              <w:jc w:val="right"/>
              <w:ind w:right="538"/>
              <w:spacing w:after="0" w:line="142" w:lineRule="exact"/>
              <w:rPr>
                <w:sz w:val="20"/>
                <w:szCs w:val="20"/>
                <w:color w:val="auto"/>
              </w:rPr>
            </w:pPr>
            <w:r>
              <w:rPr>
                <w:rFonts w:ascii="Arial" w:cs="Arial" w:eastAsia="Arial" w:hAnsi="Arial"/>
                <w:sz w:val="14"/>
                <w:szCs w:val="14"/>
                <w:b w:val="1"/>
                <w:bCs w:val="1"/>
                <w:color w:val="auto"/>
                <w:w w:val="92"/>
              </w:rPr>
              <w:t>Equity Classified</w:t>
            </w:r>
          </w:p>
        </w:tc>
        <w:tc>
          <w:tcPr>
            <w:tcW w:w="60" w:type="dxa"/>
            <w:vAlign w:val="bottom"/>
            <w:tcBorders>
              <w:bottom w:val="single" w:sz="8" w:color="CCEEFF"/>
            </w:tcBorders>
          </w:tcPr>
          <w:p>
            <w:pPr>
              <w:spacing w:after="0"/>
              <w:rPr>
                <w:sz w:val="12"/>
                <w:szCs w:val="12"/>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2,406,811</w:t>
            </w:r>
          </w:p>
        </w:tc>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18.59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Additional Modification Warrants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84,924</w:t>
            </w:r>
          </w:p>
        </w:tc>
        <w:tc>
          <w:tcPr>
            <w:tcW w:w="7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14.03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Dispensary Mortgage Warrants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Warrants Exercised</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(5,941)</w:t>
            </w:r>
          </w:p>
        </w:tc>
        <w:tc>
          <w:tcPr>
            <w:tcW w:w="7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12.42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September 30, 2020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2,485,794</w:t>
            </w:r>
          </w:p>
        </w:tc>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18.45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0"/>
        </w:trPr>
        <w:tc>
          <w:tcPr>
            <w:tcW w:w="5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964" w:hanging="532"/>
        <w:spacing w:after="0"/>
        <w:tabs>
          <w:tab w:leader="none" w:pos="96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Modification Warrants</w:t>
      </w:r>
    </w:p>
    <w:p>
      <w:pPr>
        <w:spacing w:after="0" w:line="121" w:lineRule="exact"/>
        <w:rPr>
          <w:sz w:val="20"/>
          <w:szCs w:val="20"/>
          <w:color w:val="auto"/>
        </w:rPr>
      </w:pPr>
    </w:p>
    <w:p>
      <w:pPr>
        <w:ind w:left="444" w:right="60"/>
        <w:spacing w:after="0" w:line="255" w:lineRule="auto"/>
        <w:rPr>
          <w:sz w:val="20"/>
          <w:szCs w:val="20"/>
          <w:color w:val="auto"/>
        </w:rPr>
      </w:pPr>
      <w:r>
        <w:rPr>
          <w:rFonts w:ascii="Arial" w:cs="Arial" w:eastAsia="Arial" w:hAnsi="Arial"/>
          <w:sz w:val="18"/>
          <w:szCs w:val="18"/>
          <w:color w:val="auto"/>
        </w:rPr>
        <w:t>As part of the November 9, 2019 modification of the Notes, the Company agreed to issue 84,924 additional warrants by May 22, 2020 to participating lenders in the event the Company decided to raise additional capital or to the original lenders involved in the May 22, 2019 private placement financing in the event the Company did not. On May 21, 2020, the Company issued the warrants to the original lenders involved in the private placement financing which allows the holder to purchase 84,924 Subordinate Voting Shares. The warrants are denominated in CAD. Upon issuance, the Company recorded an additional amount to debt discount with a corresponding amount to the warrant liability of $572,387, which was measured at fair value using the following assumptions: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0" w:right="4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20" w:type="dxa"/>
            <w:vAlign w:val="bottom"/>
          </w:tcPr>
          <w:p>
            <w:pPr>
              <w:jc w:val="center"/>
              <w:spacing w:after="0"/>
              <w:rPr>
                <w:sz w:val="20"/>
                <w:szCs w:val="20"/>
                <w:color w:val="auto"/>
              </w:rPr>
            </w:pPr>
            <w:r>
              <w:rPr>
                <w:rFonts w:ascii="Arial" w:cs="Arial" w:eastAsia="Arial" w:hAnsi="Arial"/>
                <w:sz w:val="18"/>
                <w:szCs w:val="18"/>
                <w:b w:val="1"/>
                <w:bCs w:val="1"/>
                <w:color w:val="auto"/>
                <w:w w:val="92"/>
              </w:rPr>
              <w:t>Green Thumb Industries Inc.</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20" w:type="dxa"/>
            <w:vAlign w:val="bottom"/>
          </w:tcPr>
          <w:p>
            <w:pPr>
              <w:jc w:val="center"/>
              <w:spacing w:after="0"/>
              <w:rPr>
                <w:sz w:val="20"/>
                <w:szCs w:val="20"/>
                <w:color w:val="auto"/>
              </w:rPr>
            </w:pPr>
            <w:r>
              <w:rPr>
                <w:rFonts w:ascii="Arial" w:cs="Arial" w:eastAsia="Arial" w:hAnsi="Arial"/>
                <w:sz w:val="18"/>
                <w:szCs w:val="18"/>
                <w:b w:val="1"/>
                <w:bCs w:val="1"/>
                <w:color w:val="auto"/>
                <w:w w:val="89"/>
              </w:rPr>
              <w:t>Notes to Unaudited Interim Condensed Consolidated Financial Statements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220" w:type="dxa"/>
            <w:vAlign w:val="bottom"/>
          </w:tcPr>
          <w:p>
            <w:pPr>
              <w:jc w:val="center"/>
              <w:spacing w:after="0"/>
              <w:rPr>
                <w:sz w:val="20"/>
                <w:szCs w:val="20"/>
                <w:color w:val="auto"/>
              </w:rPr>
            </w:pPr>
            <w:r>
              <w:rPr>
                <w:rFonts w:ascii="Arial" w:cs="Arial" w:eastAsia="Arial" w:hAnsi="Arial"/>
                <w:sz w:val="18"/>
                <w:szCs w:val="18"/>
                <w:i w:val="1"/>
                <w:iCs w:val="1"/>
                <w:color w:val="auto"/>
                <w:w w:val="89"/>
              </w:rPr>
              <w:t>(Amounts Expressed in United States Dollars, Except Where Stated Otherwise)</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7.</w:t>
            </w:r>
          </w:p>
        </w:tc>
        <w:tc>
          <w:tcPr>
            <w:tcW w:w="83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b w:val="1"/>
                <w:bCs w:val="1"/>
                <w:color w:val="auto"/>
              </w:rPr>
              <w:t>(a)</w:t>
            </w:r>
          </w:p>
        </w:tc>
        <w:tc>
          <w:tcPr>
            <w:tcW w:w="120" w:type="dxa"/>
            <w:vAlign w:val="bottom"/>
          </w:tcPr>
          <w:p>
            <w:pPr>
              <w:spacing w:after="0"/>
              <w:rPr>
                <w:sz w:val="24"/>
                <w:szCs w:val="24"/>
                <w:color w:val="auto"/>
              </w:rPr>
            </w:pPr>
          </w:p>
        </w:tc>
        <w:tc>
          <w:tcPr>
            <w:tcW w:w="7720" w:type="dxa"/>
            <w:vAlign w:val="bottom"/>
            <w:gridSpan w:val="2"/>
          </w:tcPr>
          <w:p>
            <w:pPr>
              <w:ind w:left="80"/>
              <w:spacing w:after="0"/>
              <w:rPr>
                <w:sz w:val="20"/>
                <w:szCs w:val="20"/>
                <w:color w:val="auto"/>
              </w:rPr>
            </w:pPr>
            <w:r>
              <w:rPr>
                <w:rFonts w:ascii="Arial" w:cs="Arial" w:eastAsia="Arial" w:hAnsi="Arial"/>
                <w:sz w:val="18"/>
                <w:szCs w:val="18"/>
                <w:b w:val="1"/>
                <w:bCs w:val="1"/>
                <w:color w:val="auto"/>
              </w:rPr>
              <w:t xml:space="preserve">Additional Modification Warrants </w:t>
            </w:r>
            <w:r>
              <w:rPr>
                <w:rFonts w:ascii="Arial" w:cs="Arial" w:eastAsia="Arial" w:hAnsi="Arial"/>
                <w:sz w:val="18"/>
                <w:szCs w:val="18"/>
                <w:b w:val="1"/>
                <w:bCs w:val="1"/>
                <w:i w:val="1"/>
                <w:iCs w:val="1"/>
                <w:color w:val="auto"/>
              </w:rPr>
              <w:t>(continued)</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0"/>
              </w:rPr>
              <w:t>Significant Assumptions</w:t>
            </w:r>
          </w:p>
        </w:tc>
        <w:tc>
          <w:tcPr>
            <w:tcW w:w="62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ind w:left="140"/>
              <w:spacing w:after="0"/>
              <w:rPr>
                <w:sz w:val="20"/>
                <w:szCs w:val="20"/>
                <w:color w:val="auto"/>
              </w:rPr>
            </w:pPr>
            <w:r>
              <w:rPr>
                <w:rFonts w:ascii="Arial" w:cs="Arial" w:eastAsia="Arial" w:hAnsi="Arial"/>
                <w:sz w:val="14"/>
                <w:szCs w:val="14"/>
                <w:b w:val="1"/>
                <w:bCs w:val="1"/>
                <w:color w:val="auto"/>
              </w:rPr>
              <w:t>May 21, 2020</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6220" w:type="dxa"/>
            <w:vAlign w:val="bottom"/>
            <w:vMerge w:val="continue"/>
          </w:tcPr>
          <w:p>
            <w:pPr>
              <w:spacing w:after="0"/>
              <w:rPr>
                <w:sz w:val="13"/>
                <w:szCs w:val="13"/>
                <w:color w:val="auto"/>
              </w:rPr>
            </w:pPr>
          </w:p>
        </w:tc>
        <w:tc>
          <w:tcPr>
            <w:tcW w:w="2420" w:type="dxa"/>
            <w:vAlign w:val="bottom"/>
            <w:gridSpan w:val="4"/>
          </w:tcPr>
          <w:p>
            <w:pPr>
              <w:jc w:val="right"/>
              <w:ind w:right="1100"/>
              <w:spacing w:after="0" w:line="158" w:lineRule="exact"/>
              <w:rPr>
                <w:sz w:val="20"/>
                <w:szCs w:val="20"/>
                <w:color w:val="auto"/>
              </w:rPr>
            </w:pPr>
            <w:r>
              <w:rPr>
                <w:rFonts w:ascii="Arial" w:cs="Arial" w:eastAsia="Arial" w:hAnsi="Arial"/>
                <w:sz w:val="14"/>
                <w:szCs w:val="14"/>
                <w:b w:val="1"/>
                <w:bCs w:val="1"/>
                <w:color w:val="auto"/>
              </w:rPr>
              <w:t>(Date of Issuance)</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2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2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Remaining Term</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 years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960" w:hanging="532"/>
        <w:spacing w:after="0"/>
        <w:tabs>
          <w:tab w:leader="none" w:pos="9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Dispensary Mortgage Warrants</w:t>
      </w:r>
    </w:p>
    <w:p>
      <w:pPr>
        <w:spacing w:after="0" w:line="121" w:lineRule="exact"/>
        <w:rPr>
          <w:sz w:val="20"/>
          <w:szCs w:val="20"/>
          <w:color w:val="auto"/>
        </w:rPr>
      </w:pPr>
    </w:p>
    <w:p>
      <w:pPr>
        <w:ind w:left="440" w:right="40"/>
        <w:spacing w:after="0" w:line="257" w:lineRule="auto"/>
        <w:rPr>
          <w:sz w:val="20"/>
          <w:szCs w:val="20"/>
          <w:color w:val="auto"/>
        </w:rPr>
      </w:pPr>
      <w:r>
        <w:rPr>
          <w:rFonts w:ascii="Arial" w:cs="Arial" w:eastAsia="Arial" w:hAnsi="Arial"/>
          <w:sz w:val="18"/>
          <w:szCs w:val="18"/>
          <w:color w:val="auto"/>
        </w:rPr>
        <w:t>On June 5, 2020, as part of the $1,814,000 promissory note, the Company issued warrants that allow the promissory noteholder to purchase 35,000 Subordinate Voting Shares. These warrants are denominated in USD, which is the Company’s functional currency. As such, upon issuance, the Company recorded an additional amount to debt discount with a corresponding amount to contributed surplus of $181,272 which was measured at fair value using a Black Scholes Options Pricing model. The Company did not incur any other material fees related to the promissory note.</w:t>
      </w:r>
    </w:p>
    <w:p>
      <w:pPr>
        <w:spacing w:after="0" w:line="332" w:lineRule="exact"/>
        <w:rPr>
          <w:sz w:val="20"/>
          <w:szCs w:val="20"/>
          <w:color w:val="auto"/>
        </w:rPr>
      </w:pPr>
    </w:p>
    <w:p>
      <w:pPr>
        <w:ind w:left="960" w:hanging="532"/>
        <w:spacing w:after="0"/>
        <w:tabs>
          <w:tab w:leader="none" w:pos="9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Classified Warrants Outstanding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fair value of the liability classified warrants at September 30, 2020 and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8"/>
              </w:rPr>
              <w:t>Warrant Liability</w:t>
            </w:r>
          </w:p>
        </w:tc>
        <w:tc>
          <w:tcPr>
            <w:tcW w:w="5840" w:type="dxa"/>
            <w:vAlign w:val="bottom"/>
            <w:vMerge w:val="restart"/>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Strike</w:t>
            </w: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Warrants</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100" w:type="dxa"/>
            <w:vAlign w:val="bottom"/>
            <w:tcBorders>
              <w:bottom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8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5"/>
                <w:szCs w:val="15"/>
                <w:color w:val="auto"/>
              </w:rPr>
            </w:pPr>
          </w:p>
        </w:tc>
        <w:tc>
          <w:tcPr>
            <w:tcW w:w="800" w:type="dxa"/>
            <w:vAlign w:val="bottom"/>
          </w:tcPr>
          <w:p>
            <w:pPr>
              <w:jc w:val="right"/>
              <w:ind w:right="213"/>
              <w:spacing w:after="0" w:line="158"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Bridge Financing Warrants</w:t>
            </w: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C$22.90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218,964</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1,065,000</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1,385,400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Private Placement Financing Warrants</w:t>
            </w: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C$19.39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1,822,771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13,457,000</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12,189,169</w:t>
            </w:r>
          </w:p>
        </w:tc>
        <w:tc>
          <w:tcPr>
            <w:tcW w:w="0" w:type="dxa"/>
            <w:vAlign w:val="bottom"/>
          </w:tcPr>
          <w:p>
            <w:pPr>
              <w:spacing w:after="0"/>
              <w:rPr>
                <w:sz w:val="1"/>
                <w:szCs w:val="1"/>
                <w:color w:val="auto"/>
              </w:rPr>
            </w:pPr>
          </w:p>
        </w:tc>
      </w:tr>
      <w:tr>
        <w:trPr>
          <w:trHeight w:val="202"/>
        </w:trPr>
        <w:tc>
          <w:tcPr>
            <w:tcW w:w="6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Modification Warrants</w:t>
            </w:r>
          </w:p>
        </w:tc>
        <w:tc>
          <w:tcPr>
            <w:tcW w:w="88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C$12.04</w:t>
            </w:r>
          </w:p>
        </w:tc>
        <w:tc>
          <w:tcPr>
            <w:tcW w:w="8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360,256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97"/>
              </w:rPr>
              <w:t>3,251,500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9"/>
              </w:rPr>
              <w:t>2,305,274</w:t>
            </w:r>
          </w:p>
        </w:tc>
        <w:tc>
          <w:tcPr>
            <w:tcW w:w="0" w:type="dxa"/>
            <w:vAlign w:val="bottom"/>
          </w:tcPr>
          <w:p>
            <w:pPr>
              <w:spacing w:after="0"/>
              <w:rPr>
                <w:sz w:val="1"/>
                <w:szCs w:val="1"/>
                <w:color w:val="auto"/>
              </w:rPr>
            </w:pPr>
          </w:p>
        </w:tc>
      </w:tr>
      <w:tr>
        <w:trPr>
          <w:trHeight w:val="244"/>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Modification Warrants</w:t>
            </w: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C$14.03</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83,803</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739,500</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Totals</w:t>
            </w: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2,485,794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18,513,000</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15,879,843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40" w:right="140"/>
        <w:spacing w:after="0" w:line="263" w:lineRule="auto"/>
        <w:rPr>
          <w:sz w:val="20"/>
          <w:szCs w:val="20"/>
          <w:color w:val="auto"/>
        </w:rPr>
      </w:pPr>
      <w:r>
        <w:rPr>
          <w:rFonts w:ascii="Arial" w:cs="Arial" w:eastAsia="Arial" w:hAnsi="Arial"/>
          <w:sz w:val="18"/>
          <w:szCs w:val="18"/>
          <w:color w:val="auto"/>
        </w:rPr>
        <w:t>During the three and nine months ended September 30, 2020, the Company recorded a loss of $3,181,114 and a loss of $2,060,771, respectively, on the change in the fair value of the warrant liability within other income (expense) on the unaudited interim condensed consolidated statements of operations.</w:t>
      </w:r>
    </w:p>
    <w:p>
      <w:pPr>
        <w:spacing w:after="0" w:line="76"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The following table summarizes the significant assumptions used in determining the fair value of the warrant liability as of each reporting date (see Note 13 - Fair Value Measurements for additional details):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Significant Assumptions</w:t>
            </w:r>
          </w:p>
        </w:tc>
        <w:tc>
          <w:tcPr>
            <w:tcW w:w="4320" w:type="dxa"/>
            <w:vAlign w:val="bottom"/>
          </w:tcPr>
          <w:p>
            <w:pPr>
              <w:spacing w:after="0"/>
              <w:rPr>
                <w:sz w:val="16"/>
                <w:szCs w:val="16"/>
                <w:color w:val="auto"/>
              </w:rPr>
            </w:pPr>
          </w:p>
        </w:tc>
        <w:tc>
          <w:tcPr>
            <w:tcW w:w="18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2019</w:t>
            </w:r>
          </w:p>
        </w:tc>
      </w:tr>
      <w:tr>
        <w:trPr>
          <w:trHeight w:val="203"/>
        </w:trPr>
        <w:tc>
          <w:tcPr>
            <w:tcW w:w="15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Volatility</w:t>
            </w:r>
          </w:p>
        </w:tc>
        <w:tc>
          <w:tcPr>
            <w:tcW w:w="43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85.36% - 89.50%</w:t>
            </w:r>
          </w:p>
        </w:tc>
        <w:tc>
          <w:tcPr>
            <w:tcW w:w="5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117.43% - 123.64%</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Remaining Term</w:t>
            </w:r>
          </w:p>
        </w:tc>
        <w:tc>
          <w:tcPr>
            <w:tcW w:w="432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2.03 - 4.64 years</w:t>
            </w:r>
          </w:p>
        </w:tc>
        <w:tc>
          <w:tcPr>
            <w:tcW w:w="1580" w:type="dxa"/>
            <w:vAlign w:val="bottom"/>
            <w:gridSpan w:val="2"/>
          </w:tcPr>
          <w:p>
            <w:pPr>
              <w:ind w:left="300"/>
              <w:spacing w:after="0"/>
              <w:rPr>
                <w:sz w:val="20"/>
                <w:szCs w:val="20"/>
                <w:color w:val="auto"/>
              </w:rPr>
            </w:pPr>
            <w:r>
              <w:rPr>
                <w:rFonts w:ascii="Arial" w:cs="Arial" w:eastAsia="Arial" w:hAnsi="Arial"/>
                <w:sz w:val="18"/>
                <w:szCs w:val="18"/>
                <w:color w:val="auto"/>
                <w:w w:val="93"/>
              </w:rPr>
              <w:t>2.78 - 4.86 years</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 - 0.34%</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- 1.69%</w:t>
            </w:r>
          </w:p>
        </w:tc>
        <w:tc>
          <w:tcPr>
            <w:tcW w:w="80" w:type="dxa"/>
            <w:vAlign w:val="bottom"/>
            <w:shd w:val="clear" w:color="auto" w:fill="CCEEFF"/>
          </w:tcPr>
          <w:p>
            <w:pPr>
              <w:spacing w:after="0"/>
              <w:rPr>
                <w:sz w:val="18"/>
                <w:szCs w:val="18"/>
                <w:color w:val="auto"/>
              </w:rPr>
            </w:pPr>
          </w:p>
        </w:tc>
      </w:tr>
      <w:tr>
        <w:trPr>
          <w:trHeight w:val="365"/>
        </w:trPr>
        <w:tc>
          <w:tcPr>
            <w:tcW w:w="1500" w:type="dxa"/>
            <w:vAlign w:val="bottom"/>
          </w:tcPr>
          <w:p>
            <w:pPr>
              <w:spacing w:after="0"/>
              <w:rPr>
                <w:sz w:val="24"/>
                <w:szCs w:val="24"/>
                <w:color w:val="auto"/>
              </w:rPr>
            </w:pPr>
          </w:p>
        </w:tc>
        <w:tc>
          <w:tcPr>
            <w:tcW w:w="4320" w:type="dxa"/>
            <w:vAlign w:val="bottom"/>
          </w:tcPr>
          <w:p>
            <w:pPr>
              <w:jc w:val="right"/>
              <w:ind w:right="910"/>
              <w:spacing w:after="0"/>
              <w:rPr>
                <w:sz w:val="20"/>
                <w:szCs w:val="20"/>
                <w:color w:val="auto"/>
              </w:rPr>
            </w:pPr>
            <w:r>
              <w:rPr>
                <w:rFonts w:ascii="Arial" w:cs="Arial" w:eastAsia="Arial" w:hAnsi="Arial"/>
                <w:sz w:val="18"/>
                <w:szCs w:val="18"/>
                <w:color w:val="auto"/>
              </w:rPr>
              <w:t>-20-</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2" w:name="page23"/>
    <w:bookmarkEnd w:id="2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ind w:left="964" w:hanging="532"/>
        <w:spacing w:after="0"/>
        <w:tabs>
          <w:tab w:leader="none" w:pos="96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Equity Classified Warrants Outstanding</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summarizes the fair value of the equity classified warrants at September 30, 2020 and December 31, 2019:</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w w:val="94"/>
              </w:rPr>
              <w:t>Warrants Included in Contributed Surplus</w:t>
            </w:r>
          </w:p>
        </w:tc>
        <w:tc>
          <w:tcPr>
            <w:tcW w:w="316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Strike</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Warrants</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auto"/>
            </w:tcBorders>
            <w:vMerge w:val="continue"/>
          </w:tcPr>
          <w:p>
            <w:pPr>
              <w:spacing w:after="0"/>
              <w:rPr>
                <w:sz w:val="15"/>
                <w:szCs w:val="15"/>
                <w:color w:val="auto"/>
              </w:rPr>
            </w:pPr>
          </w:p>
        </w:tc>
        <w:tc>
          <w:tcPr>
            <w:tcW w:w="3160" w:type="dxa"/>
            <w:vAlign w:val="bottom"/>
          </w:tcPr>
          <w:p>
            <w:pPr>
              <w:spacing w:after="0"/>
              <w:rPr>
                <w:sz w:val="15"/>
                <w:szCs w:val="15"/>
                <w:color w:val="auto"/>
              </w:rPr>
            </w:pPr>
          </w:p>
        </w:tc>
        <w:tc>
          <w:tcPr>
            <w:tcW w:w="8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880" w:type="dxa"/>
            <w:vAlign w:val="bottom"/>
          </w:tcPr>
          <w:p>
            <w:pPr>
              <w:jc w:val="right"/>
              <w:ind w:right="222"/>
              <w:spacing w:after="0" w:line="158"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Dispensary Mortgage Warrants</w:t>
            </w:r>
          </w:p>
        </w:tc>
        <w:tc>
          <w:tcPr>
            <w:tcW w:w="3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$9.10</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181,272</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4" w:right="680"/>
        <w:spacing w:after="0" w:line="277" w:lineRule="auto"/>
        <w:rPr>
          <w:sz w:val="20"/>
          <w:szCs w:val="20"/>
          <w:color w:val="auto"/>
        </w:rPr>
      </w:pPr>
      <w:r>
        <w:rPr>
          <w:rFonts w:ascii="Arial" w:cs="Arial" w:eastAsia="Arial" w:hAnsi="Arial"/>
          <w:sz w:val="18"/>
          <w:szCs w:val="18"/>
          <w:color w:val="auto"/>
        </w:rPr>
        <w:t>The following table summarizes the significant assumptions used in determining the fair value of the equity classified warrants as of each reporting date:</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0"/>
              </w:rPr>
              <w:t>Significant Assumptions</w:t>
            </w:r>
          </w:p>
        </w:tc>
        <w:tc>
          <w:tcPr>
            <w:tcW w:w="434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3"/>
        </w:trPr>
        <w:tc>
          <w:tcPr>
            <w:tcW w:w="1500" w:type="dxa"/>
            <w:vAlign w:val="bottom"/>
            <w:tcBorders>
              <w:bottom w:val="single" w:sz="8" w:color="auto"/>
            </w:tcBorders>
            <w:vMerge w:val="continue"/>
          </w:tcPr>
          <w:p>
            <w:pPr>
              <w:spacing w:after="0"/>
              <w:rPr>
                <w:sz w:val="13"/>
                <w:szCs w:val="13"/>
                <w:color w:val="auto"/>
              </w:rPr>
            </w:pPr>
          </w:p>
        </w:tc>
        <w:tc>
          <w:tcPr>
            <w:tcW w:w="5220" w:type="dxa"/>
            <w:vAlign w:val="bottom"/>
            <w:gridSpan w:val="2"/>
          </w:tcPr>
          <w:p>
            <w:pPr>
              <w:jc w:val="right"/>
              <w:ind w:right="216"/>
              <w:spacing w:after="0" w:line="158" w:lineRule="exact"/>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13"/>
                <w:szCs w:val="13"/>
                <w:color w:val="auto"/>
              </w:rPr>
            </w:pPr>
          </w:p>
        </w:tc>
        <w:tc>
          <w:tcPr>
            <w:tcW w:w="880" w:type="dxa"/>
            <w:vAlign w:val="bottom"/>
          </w:tcPr>
          <w:p>
            <w:pPr>
              <w:jc w:val="right"/>
              <w:ind w:right="237"/>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43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vMerge w:val="continue"/>
            <w:shd w:val="clear" w:color="auto" w:fill="CCEEFF"/>
          </w:tcPr>
          <w:p>
            <w:pPr>
              <w:spacing w:after="0"/>
              <w:rPr>
                <w:sz w:val="17"/>
                <w:szCs w:val="17"/>
                <w:color w:val="auto"/>
              </w:rPr>
            </w:pPr>
          </w:p>
        </w:tc>
        <w:tc>
          <w:tcPr>
            <w:tcW w:w="4340" w:type="dxa"/>
            <w:vAlign w:val="bottom"/>
            <w:vMerge w:val="continue"/>
            <w:shd w:val="clear" w:color="auto" w:fill="CCEEFF"/>
          </w:tcPr>
          <w:p>
            <w:pPr>
              <w:spacing w:after="0"/>
              <w:rPr>
                <w:sz w:val="17"/>
                <w:szCs w:val="17"/>
                <w:color w:val="auto"/>
              </w:rPr>
            </w:pPr>
          </w:p>
        </w:tc>
        <w:tc>
          <w:tcPr>
            <w:tcW w:w="164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80%</w:t>
            </w:r>
          </w:p>
        </w:tc>
        <w:tc>
          <w:tcPr>
            <w:tcW w:w="880" w:type="dxa"/>
            <w:vAlign w:val="bottom"/>
            <w:tcBorders>
              <w:right w:val="single" w:sz="8" w:color="CCEEFF"/>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Remaining Term</w:t>
            </w:r>
          </w:p>
        </w:tc>
        <w:tc>
          <w:tcPr>
            <w:tcW w:w="4340" w:type="dxa"/>
            <w:vAlign w:val="bottom"/>
          </w:tcPr>
          <w:p>
            <w:pPr>
              <w:spacing w:after="0"/>
              <w:rPr>
                <w:sz w:val="18"/>
                <w:szCs w:val="18"/>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5 years</w:t>
            </w: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0.37%</w:t>
            </w:r>
          </w:p>
        </w:tc>
        <w:tc>
          <w:tcPr>
            <w:tcW w:w="8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24" w:hanging="424"/>
        <w:spacing w:after="0"/>
        <w:tabs>
          <w:tab w:leader="none" w:pos="4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summarizes the Company’s income tax expense and effective tax rates for the three and nine months ended September 30, 2020 and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30, 2019:</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4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September 30,</w:t>
            </w:r>
          </w:p>
        </w:tc>
        <w:tc>
          <w:tcPr>
            <w:tcW w:w="24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24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1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$39,189,341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(10,713,603)</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$52,189,559</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(40,011,094)</w:t>
            </w:r>
          </w:p>
        </w:tc>
        <w:tc>
          <w:tcPr>
            <w:tcW w:w="22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Income Tax Expense</w:t>
            </w:r>
          </w:p>
        </w:tc>
        <w:tc>
          <w:tcPr>
            <w:tcW w:w="2960" w:type="dxa"/>
            <w:vAlign w:val="bottom"/>
            <w:gridSpan w:val="3"/>
          </w:tcPr>
          <w:p>
            <w:pPr>
              <w:jc w:val="right"/>
              <w:ind w:right="400"/>
              <w:spacing w:after="0"/>
              <w:rPr>
                <w:sz w:val="20"/>
                <w:szCs w:val="20"/>
                <w:color w:val="auto"/>
              </w:rPr>
            </w:pPr>
            <w:r>
              <w:rPr>
                <w:rFonts w:ascii="Arial" w:cs="Arial" w:eastAsia="Arial" w:hAnsi="Arial"/>
                <w:sz w:val="18"/>
                <w:szCs w:val="18"/>
                <w:color w:val="auto"/>
              </w:rPr>
              <w:t>$28,436,332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3,624,333</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$56,964,047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4,706,000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bl>
    <w:p>
      <w:pPr>
        <w:spacing w:after="0" w:line="202" w:lineRule="exact"/>
        <w:rPr>
          <w:sz w:val="20"/>
          <w:szCs w:val="20"/>
          <w:color w:val="auto"/>
        </w:rPr>
      </w:pPr>
    </w:p>
    <w:p>
      <w:pPr>
        <w:ind w:left="4" w:right="100"/>
        <w:spacing w:after="0" w:line="272" w:lineRule="auto"/>
        <w:rPr>
          <w:sz w:val="20"/>
          <w:szCs w:val="20"/>
          <w:color w:val="auto"/>
        </w:rPr>
      </w:pPr>
      <w:r>
        <w:rPr>
          <w:rFonts w:ascii="Arial" w:cs="Arial" w:eastAsia="Arial" w:hAnsi="Arial"/>
          <w:sz w:val="17"/>
          <w:szCs w:val="17"/>
          <w:color w:val="auto"/>
        </w:rPr>
        <w:t>Historically, the Company has calculated its provision for income taxes during its interim reporting periods by applying an estimate of the annual effective tax rate for the full year “ordinary” income or loss for the respective reporting period. For the nine months ended September 30, 2020, the Company has computed its provision for income taxes under the discrete method which treats the year-to-date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We believe that, at this time, the use of this discrete method is more appropriate than the annual effective tax rate method as the estimated annual effective tax rate method is not reliable due to the high degree of uncertainty in estimating annual pre-tax income due to the early growth stage of the business.</w:t>
      </w:r>
    </w:p>
    <w:p>
      <w:pPr>
        <w:spacing w:after="0" w:line="177"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Due to its cannabis operations, the Company is subject to the limitations of Internal Revenue Code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184" w:lineRule="exact"/>
        <w:rPr>
          <w:sz w:val="20"/>
          <w:szCs w:val="20"/>
          <w:color w:val="auto"/>
        </w:rPr>
      </w:pPr>
    </w:p>
    <w:p>
      <w:pPr>
        <w:jc w:val="both"/>
        <w:ind w:left="4" w:right="60"/>
        <w:spacing w:after="0" w:line="259" w:lineRule="auto"/>
        <w:rPr>
          <w:sz w:val="20"/>
          <w:szCs w:val="20"/>
          <w:color w:val="auto"/>
        </w:rPr>
      </w:pPr>
      <w:r>
        <w:rPr>
          <w:rFonts w:ascii="Arial" w:cs="Arial" w:eastAsia="Arial" w:hAnsi="Arial"/>
          <w:sz w:val="18"/>
          <w:szCs w:val="18"/>
          <w:color w:val="auto"/>
        </w:rPr>
        <w:t>The effective tax rate for the three and nine months ended September 30, 2020 varies widely from the three and nine months ended September 30, 2019, respectively, primarily due to the Company reporting pre-tax loss in 2019 as opposed to pre-tax income in 2020. The Company incurred a large amount of expenses that were not deductible due to IRC Section 280E limitations which resulted in income tax expense being incurred while there were pre-tax losses for the three and nine months ended September 2019.</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0" w:right="439" w:bottom="1440" w:gutter="0" w:footer="0" w:header="0"/>
        </w:sectPr>
      </w:pPr>
    </w:p>
    <w:bookmarkStart w:id="23" w:name="page24"/>
    <w:bookmarkEnd w:id="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4" w:right="260"/>
        <w:spacing w:after="0" w:line="286" w:lineRule="auto"/>
        <w:rPr>
          <w:sz w:val="20"/>
          <w:szCs w:val="20"/>
          <w:color w:val="auto"/>
        </w:rPr>
      </w:pPr>
      <w:r>
        <w:rPr>
          <w:rFonts w:ascii="Arial" w:cs="Arial" w:eastAsia="Arial" w:hAnsi="Arial"/>
          <w:sz w:val="17"/>
          <w:szCs w:val="17"/>
          <w:color w:val="auto"/>
        </w:rPr>
        <w:t>The Company is subject to income taxes in the United States and Canada. Significant judgment is required in evaluating the Company’s uncertain tax positions and determining the provision for income taxes. The Company’s gross unrecognized tax benefits were approximately $16,264,727 and $2,113,263 as of September 30, 2020 and December 31, 2019, respectively, recorded within Deferred Income Taxes.</w:t>
      </w:r>
    </w:p>
    <w:p>
      <w:pPr>
        <w:spacing w:after="0" w:line="165"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The federal statute of limitation remains open for the 2017 tax year to the present. The state income tax returns generally remain open for the 2016 tax year through the present. Net operating losses arising prior to these years are also open to examination if and when utilized.</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Taxes paid during the nine months ended September 30, 2020 and 2019 were $37,820,228 and $10,534,408, respectively.</w:t>
      </w:r>
    </w:p>
    <w:p>
      <w:pPr>
        <w:spacing w:after="0" w:line="370" w:lineRule="exact"/>
        <w:rPr>
          <w:sz w:val="20"/>
          <w:szCs w:val="20"/>
          <w:color w:val="auto"/>
        </w:rPr>
      </w:pPr>
    </w:p>
    <w:p>
      <w:pPr>
        <w:ind w:left="424" w:hanging="424"/>
        <w:spacing w:after="0"/>
        <w:tabs>
          <w:tab w:leader="none" w:pos="42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The Company holds direct equity investments in cannabis companies, some of which converted from notes which matured August 1, 2020. The following table summarizes the change in the Company’s investments as of September 30, 2020:</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Convertible</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Notes</w:t>
            </w:r>
          </w:p>
        </w:tc>
        <w:tc>
          <w:tcPr>
            <w:tcW w:w="8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2"/>
                <w:szCs w:val="12"/>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2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7,533,000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6,535,821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$ 14,068,821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Additions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notes receivable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(7,533,000)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7,533,000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Fair value adjustment</w:t>
            </w:r>
          </w:p>
        </w:tc>
        <w:tc>
          <w:tcPr>
            <w:tcW w:w="2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8,117,178</w:t>
            </w:r>
          </w:p>
        </w:tc>
        <w:tc>
          <w:tcPr>
            <w:tcW w:w="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8,117,178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22,210,999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$ 22,210,999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As of September 30, 2020, the Company updated its valuation for the notes that converted to equity as well as certain equity investments. The equity investments were valued using a market approach using the following significant assumptions: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Discount for lack of control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88"/>
              </w:rPr>
              <w:t>13%</w:t>
            </w:r>
          </w:p>
        </w:tc>
        <w:tc>
          <w:tcPr>
            <w:tcW w:w="14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Discount for lack of marketability</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w w:val="89"/>
              </w:rPr>
              <w:t>10%-30%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40" w:type="dxa"/>
            <w:vAlign w:val="bottom"/>
            <w:gridSpan w:val="7"/>
          </w:tcPr>
          <w:p>
            <w:pPr>
              <w:jc w:val="right"/>
              <w:ind w:right="780"/>
              <w:spacing w:after="0"/>
              <w:rPr>
                <w:sz w:val="20"/>
                <w:szCs w:val="20"/>
                <w:color w:val="auto"/>
              </w:rPr>
            </w:pPr>
            <w:r>
              <w:rPr>
                <w:rFonts w:ascii="Arial" w:cs="Arial" w:eastAsia="Arial" w:hAnsi="Arial"/>
                <w:sz w:val="18"/>
                <w:szCs w:val="18"/>
                <w:color w:val="auto"/>
                <w:w w:val="90"/>
              </w:rPr>
              <w:t>The following table summarizes the change in the Company’s investments as of December 31, 2019: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24"/>
                <w:szCs w:val="24"/>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Receivable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$ 40,933,283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Fair value adjustment</w:t>
            </w:r>
          </w:p>
        </w:tc>
        <w:tc>
          <w:tcPr>
            <w:tcW w:w="1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(1,398,000)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(4,061,462)</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(5,459,462)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(21,405,000)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(21,405,000)</w:t>
            </w:r>
          </w:p>
        </w:tc>
        <w:tc>
          <w:tcPr>
            <w:tcW w:w="0" w:type="dxa"/>
            <w:vAlign w:val="bottom"/>
          </w:tcPr>
          <w:p>
            <w:pPr>
              <w:spacing w:after="0"/>
              <w:rPr>
                <w:sz w:val="1"/>
                <w:szCs w:val="1"/>
                <w:color w:val="auto"/>
              </w:rPr>
            </w:pPr>
          </w:p>
        </w:tc>
      </w:tr>
      <w:tr>
        <w:trPr>
          <w:trHeight w:val="223"/>
        </w:trPr>
        <w:tc>
          <w:tcPr>
            <w:tcW w:w="6700" w:type="dxa"/>
            <w:vAlign w:val="bottom"/>
            <w:gridSpan w:val="3"/>
          </w:tcPr>
          <w:p>
            <w:pPr>
              <w:ind w:left="44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6,535,821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$ 14,068,821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The calculated fair values are recorded as a Level 3 fair value investment as of September 30, 2020 and December 31, 2019. See Note 13 - Fair Value Measurements for additional details. As of December 31, 2019, the convertible notes receivable were valued using the Binomial Lattice Model, which is based on a generalized binomial option pricing formula, using the following assumptions: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0" w:right="439" w:bottom="1440" w:gutter="0" w:footer="0" w:header="0"/>
        </w:sectPr>
      </w:pPr>
    </w:p>
    <w:bookmarkStart w:id="24" w:name="page25"/>
    <w:bookmarkEnd w:id="24"/>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0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 2019</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1.58% -2.46%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Equity Volatility</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58% - 106%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Market Yield</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 - 18%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Probability of Qualified Financing</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Probability of No Event</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70%</w:t>
            </w:r>
          </w:p>
        </w:tc>
      </w:tr>
    </w:tbl>
    <w:p>
      <w:pPr>
        <w:spacing w:after="0" w:line="332" w:lineRule="exact"/>
        <w:rPr>
          <w:sz w:val="20"/>
          <w:szCs w:val="20"/>
          <w:color w:val="auto"/>
        </w:rPr>
      </w:pPr>
    </w:p>
    <w:p>
      <w:pPr>
        <w:ind w:left="424" w:hanging="424"/>
        <w:spacing w:after="0"/>
        <w:tabs>
          <w:tab w:leader="none" w:pos="424"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4" w:right="100"/>
        <w:spacing w:after="0" w:line="301" w:lineRule="auto"/>
        <w:rPr>
          <w:sz w:val="20"/>
          <w:szCs w:val="20"/>
          <w:color w:val="auto"/>
        </w:rPr>
      </w:pPr>
      <w:r>
        <w:rPr>
          <w:rFonts w:ascii="Arial" w:cs="Arial" w:eastAsia="Arial" w:hAnsi="Arial"/>
          <w:sz w:val="16"/>
          <w:szCs w:val="16"/>
          <w:color w:val="auto"/>
        </w:rPr>
        <w:t xml:space="preserve">Common shares, which include the Company’s Subordinate Voting Shares, Multiple Voting Shares and Super Voting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302" w:lineRule="exact"/>
        <w:rPr>
          <w:sz w:val="20"/>
          <w:szCs w:val="20"/>
          <w:color w:val="auto"/>
        </w:rPr>
      </w:pPr>
    </w:p>
    <w:p>
      <w:pPr>
        <w:ind w:left="964" w:hanging="532"/>
        <w:spacing w:after="0"/>
        <w:tabs>
          <w:tab w:leader="none" w:pos="96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370" w:lineRule="exact"/>
        <w:rPr>
          <w:sz w:val="20"/>
          <w:szCs w:val="20"/>
          <w:color w:val="auto"/>
        </w:rPr>
      </w:pPr>
    </w:p>
    <w:p>
      <w:pPr>
        <w:ind w:left="1424" w:hanging="439"/>
        <w:spacing w:after="0"/>
        <w:tabs>
          <w:tab w:leader="none" w:pos="142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984"/>
        <w:spacing w:after="0" w:line="296" w:lineRule="auto"/>
        <w:rPr>
          <w:sz w:val="20"/>
          <w:szCs w:val="20"/>
          <w:color w:val="auto"/>
        </w:rPr>
      </w:pPr>
      <w:r>
        <w:rPr>
          <w:rFonts w:ascii="Arial" w:cs="Arial" w:eastAsia="Arial" w:hAnsi="Arial"/>
          <w:sz w:val="16"/>
          <w:szCs w:val="16"/>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nine months ending September 30, 2020, the shareholders of the Company converted 252,440 Multiple Voting Shares into 25,244,000 Subordinate Voting Shares and 22,953 Super Voting Shares into 2,295,300 Subordinate Voting Shares.</w:t>
      </w:r>
    </w:p>
    <w:p>
      <w:pPr>
        <w:spacing w:after="0" w:line="306" w:lineRule="exact"/>
        <w:rPr>
          <w:sz w:val="20"/>
          <w:szCs w:val="20"/>
          <w:color w:val="auto"/>
        </w:rPr>
      </w:pPr>
    </w:p>
    <w:p>
      <w:pPr>
        <w:ind w:left="1424" w:hanging="439"/>
        <w:spacing w:after="0"/>
        <w:tabs>
          <w:tab w:leader="none" w:pos="142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984" w:right="120"/>
        <w:spacing w:after="0" w:line="257" w:lineRule="auto"/>
        <w:rPr>
          <w:sz w:val="20"/>
          <w:szCs w:val="20"/>
          <w:color w:val="auto"/>
        </w:rPr>
      </w:pPr>
      <w:r>
        <w:rPr>
          <w:rFonts w:ascii="Arial" w:cs="Arial" w:eastAsia="Arial" w:hAnsi="Arial"/>
          <w:sz w:val="18"/>
          <w:szCs w:val="18"/>
          <w:color w:val="auto"/>
        </w:rPr>
        <w:t>Each Multiple Voting Share is entitled to 100 votes per share at shareholder meetings of the Company and is exchangeable for 100 Subordinate Voting Shares. At September 30, 2020, the Company had 120,910 issued and outstanding Multiple Voting Shares, which convert into 12,091,000 Subordinate Voting Shares. The Company is authorized to issue an unlimited number of Multiple Voting Shares. During the nine months ending September 30, 2020, the shareholders of the Company converted 252,440 Multiple Voting Shares into 25,244,000 Subordinate Voting Shares.</w:t>
      </w:r>
    </w:p>
    <w:p>
      <w:pPr>
        <w:spacing w:after="0" w:line="332"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5"/>
          <w:szCs w:val="15"/>
          <w:b w:val="1"/>
          <w:bCs w:val="1"/>
          <w:color w:val="auto"/>
        </w:rPr>
        <w:t>Super Voting Shares</w:t>
      </w:r>
    </w:p>
    <w:p>
      <w:pPr>
        <w:spacing w:after="0" w:line="121" w:lineRule="exact"/>
        <w:rPr>
          <w:sz w:val="20"/>
          <w:szCs w:val="20"/>
          <w:color w:val="auto"/>
        </w:rPr>
      </w:pPr>
    </w:p>
    <w:p>
      <w:pPr>
        <w:ind w:left="984" w:right="20"/>
        <w:spacing w:after="0" w:line="257" w:lineRule="auto"/>
        <w:rPr>
          <w:sz w:val="20"/>
          <w:szCs w:val="20"/>
          <w:color w:val="auto"/>
        </w:rPr>
      </w:pPr>
      <w:r>
        <w:rPr>
          <w:rFonts w:ascii="Arial" w:cs="Arial" w:eastAsia="Arial" w:hAnsi="Arial"/>
          <w:sz w:val="18"/>
          <w:szCs w:val="18"/>
          <w:color w:val="auto"/>
        </w:rPr>
        <w:t>Each Super Voting Share is entitled to 1,000 votes per share at shareholder meetings of the Company and is exchangeable for 100 Subordinate Voting Shares or one Multiple Voting Share. At September 30, 2020, the Company had 379,336 issued and outstanding Super Voting Shares which convert into 37,933,600 Subordinate Voting Shares. The Company is authorized to issue an unlimited number of Super Voting Shares. During the nine months ending September 30, 2020, the shareholders of the Company converted 22,953 Super Voting Shares into 2,295,300 Subordinate Voting Shares.</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270" w:right="499" w:bottom="1440" w:gutter="0" w:footer="0" w:header="0"/>
        </w:sectPr>
      </w:pPr>
    </w:p>
    <w:bookmarkStart w:id="25" w:name="page26"/>
    <w:bookmarkEnd w:id="2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198" w:lineRule="exact"/>
        <w:rPr>
          <w:rFonts w:ascii="Arial" w:cs="Arial" w:eastAsia="Arial" w:hAnsi="Arial"/>
          <w:sz w:val="18"/>
          <w:szCs w:val="18"/>
          <w:b w:val="1"/>
          <w:bCs w:val="1"/>
          <w:color w:val="auto"/>
        </w:rPr>
      </w:pPr>
    </w:p>
    <w:p>
      <w:pPr>
        <w:ind w:left="964" w:hanging="532"/>
        <w:spacing w:after="0"/>
        <w:tabs>
          <w:tab w:leader="none" w:pos="964"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-438785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Issued and Outstanding</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8220" w:type="dxa"/>
            <w:vAlign w:val="bottom"/>
          </w:tcPr>
          <w:p>
            <w:pPr>
              <w:spacing w:after="0"/>
              <w:rPr>
                <w:sz w:val="10"/>
                <w:szCs w:val="10"/>
                <w:color w:val="auto"/>
              </w:rPr>
            </w:pPr>
          </w:p>
        </w:tc>
        <w:tc>
          <w:tcPr>
            <w:tcW w:w="1120" w:type="dxa"/>
            <w:vAlign w:val="bottom"/>
            <w:gridSpan w:val="2"/>
          </w:tcPr>
          <w:p>
            <w:pPr>
              <w:jc w:val="center"/>
              <w:ind w:right="180"/>
              <w:spacing w:after="0" w:line="123" w:lineRule="exact"/>
              <w:rPr>
                <w:sz w:val="20"/>
                <w:szCs w:val="20"/>
                <w:color w:val="auto"/>
              </w:rPr>
            </w:pPr>
            <w:r>
              <w:rPr>
                <w:rFonts w:ascii="Arial" w:cs="Arial" w:eastAsia="Arial" w:hAnsi="Arial"/>
                <w:sz w:val="14"/>
                <w:szCs w:val="14"/>
                <w:color w:val="auto"/>
                <w:w w:val="92"/>
              </w:rPr>
              <w:t>Subordinate</w:t>
            </w:r>
          </w:p>
        </w:tc>
        <w:tc>
          <w:tcPr>
            <w:tcW w:w="96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rPr>
              <w:t>Multiple</w:t>
            </w:r>
          </w:p>
        </w:tc>
        <w:tc>
          <w:tcPr>
            <w:tcW w:w="600" w:type="dxa"/>
            <w:vAlign w:val="bottom"/>
          </w:tcPr>
          <w:p>
            <w:pPr>
              <w:jc w:val="center"/>
              <w:spacing w:after="0" w:line="123" w:lineRule="exact"/>
              <w:rPr>
                <w:sz w:val="20"/>
                <w:szCs w:val="20"/>
                <w:color w:val="auto"/>
              </w:rPr>
            </w:pPr>
            <w:r>
              <w:rPr>
                <w:rFonts w:ascii="Arial" w:cs="Arial" w:eastAsia="Arial" w:hAnsi="Arial"/>
                <w:sz w:val="14"/>
                <w:szCs w:val="14"/>
                <w:color w:val="auto"/>
                <w:w w:val="85"/>
              </w:rPr>
              <w:t>Super</w:t>
            </w:r>
          </w:p>
        </w:tc>
        <w:tc>
          <w:tcPr>
            <w:tcW w:w="120" w:type="dxa"/>
            <w:vAlign w:val="bottom"/>
          </w:tcPr>
          <w:p>
            <w:pPr>
              <w:spacing w:after="0"/>
              <w:rPr>
                <w:sz w:val="10"/>
                <w:szCs w:val="10"/>
                <w:color w:val="auto"/>
              </w:rPr>
            </w:pPr>
          </w:p>
        </w:tc>
      </w:tr>
      <w:tr>
        <w:trPr>
          <w:trHeight w:val="148"/>
        </w:trPr>
        <w:tc>
          <w:tcPr>
            <w:tcW w:w="8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Voting</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Voting</w:t>
            </w: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Voting</w:t>
            </w:r>
          </w:p>
        </w:tc>
      </w:tr>
      <w:tr>
        <w:trPr>
          <w:trHeight w:val="167"/>
        </w:trPr>
        <w:tc>
          <w:tcPr>
            <w:tcW w:w="82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Shares</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Shares</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Shares</w:t>
            </w:r>
          </w:p>
        </w:tc>
      </w:t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128,999,964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373,350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402,289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Issuance of shares under business combinations and investments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238,450</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contingent consideration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2,713,463</w:t>
            </w: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Distribution of deferred shares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1,220,548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for redemption of noncontrolling interests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1,315,789</w:t>
            </w: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Issuance of shares upon exercise of options and warrants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71,384</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Issuances of shares upon vesting of RSUs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901,023</w:t>
            </w: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Exchange of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27,539,300</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(252,440)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(22,953)</w:t>
            </w:r>
          </w:p>
        </w:tc>
      </w:tr>
      <w:tr>
        <w:trPr>
          <w:trHeight w:val="27"/>
        </w:trPr>
        <w:tc>
          <w:tcPr>
            <w:tcW w:w="8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September 30, 2020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162,999,921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120,910</w:t>
            </w:r>
          </w:p>
        </w:tc>
        <w:tc>
          <w:tcPr>
            <w:tcW w:w="2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379,336</w:t>
            </w:r>
          </w:p>
        </w:tc>
      </w:tr>
      <w:tr>
        <w:trPr>
          <w:trHeight w:val="20"/>
        </w:trPr>
        <w:tc>
          <w:tcPr>
            <w:tcW w:w="8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24" w:right="4640" w:hanging="439"/>
        <w:spacing w:after="0" w:line="375" w:lineRule="auto"/>
        <w:tabs>
          <w:tab w:leader="none" w:pos="1409"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Issuance of Shares Under Business Combinations and Investments </w:t>
      </w:r>
      <w:r>
        <w:rPr>
          <w:rFonts w:ascii="Arial" w:cs="Arial" w:eastAsia="Arial" w:hAnsi="Arial"/>
          <w:sz w:val="18"/>
          <w:szCs w:val="18"/>
          <w:i w:val="1"/>
          <w:iCs w:val="1"/>
          <w:color w:val="auto"/>
        </w:rPr>
        <w:t>MC Brands, LLC</w:t>
      </w:r>
    </w:p>
    <w:p>
      <w:pPr>
        <w:spacing w:after="0" w:line="1" w:lineRule="exact"/>
        <w:rPr>
          <w:rFonts w:ascii="Arial" w:cs="Arial" w:eastAsia="Arial" w:hAnsi="Arial"/>
          <w:sz w:val="18"/>
          <w:szCs w:val="18"/>
          <w:b w:val="1"/>
          <w:bCs w:val="1"/>
          <w:i w:val="1"/>
          <w:iCs w:val="1"/>
          <w:color w:val="auto"/>
        </w:rPr>
      </w:pPr>
    </w:p>
    <w:p>
      <w:pPr>
        <w:ind w:left="1424" w:right="560"/>
        <w:spacing w:after="0" w:line="311" w:lineRule="auto"/>
        <w:rPr>
          <w:rFonts w:ascii="Arial" w:cs="Arial" w:eastAsia="Arial" w:hAnsi="Arial"/>
          <w:sz w:val="18"/>
          <w:szCs w:val="18"/>
          <w:b w:val="1"/>
          <w:bCs w:val="1"/>
          <w:i w:val="1"/>
          <w:iCs w:val="1"/>
          <w:color w:val="auto"/>
        </w:rPr>
      </w:pPr>
      <w:r>
        <w:rPr>
          <w:rFonts w:ascii="Arial" w:cs="Arial" w:eastAsia="Arial" w:hAnsi="Arial"/>
          <w:sz w:val="16"/>
          <w:szCs w:val="16"/>
          <w:color w:val="auto"/>
        </w:rPr>
        <w:t>On June 29, 2020, the Company issued 190,000 Subordinate Voting Shares with a value of $1,840,009 in connection with the Company’s June 27, 2019 acquisition of MC Brands, LLC. The shares issued resulted in an increase in share capital and a corresponding increase to intangible assets on the Company’s unaudited interim condensed consolidated balance sheets.</w:t>
      </w:r>
    </w:p>
    <w:p>
      <w:pPr>
        <w:spacing w:after="0" w:line="256" w:lineRule="exact"/>
        <w:rPr>
          <w:rFonts w:ascii="Arial" w:cs="Arial" w:eastAsia="Arial" w:hAnsi="Arial"/>
          <w:sz w:val="18"/>
          <w:szCs w:val="18"/>
          <w:b w:val="1"/>
          <w:bCs w:val="1"/>
          <w:i w:val="1"/>
          <w:iCs w:val="1"/>
          <w:color w:val="auto"/>
        </w:rPr>
      </w:pPr>
    </w:p>
    <w:p>
      <w:pPr>
        <w:ind w:left="1424"/>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KW Ventures, LLC</w:t>
      </w:r>
    </w:p>
    <w:p>
      <w:pPr>
        <w:spacing w:after="0" w:line="117" w:lineRule="exact"/>
        <w:rPr>
          <w:rFonts w:ascii="Arial" w:cs="Arial" w:eastAsia="Arial" w:hAnsi="Arial"/>
          <w:sz w:val="18"/>
          <w:szCs w:val="18"/>
          <w:b w:val="1"/>
          <w:bCs w:val="1"/>
          <w:i w:val="1"/>
          <w:iCs w:val="1"/>
          <w:color w:val="auto"/>
        </w:rPr>
      </w:pPr>
    </w:p>
    <w:p>
      <w:pPr>
        <w:ind w:left="1424" w:right="36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On February 10, 2020, the Company issued 48,450 Subordinate Voting Shares which were issued at a value of $400,413 in connection with its January 1, 2019 acquisition of KW Ventures, LLC. Such shares were held back as part of the transaction and resulted in an increase in share capital and a reduction in accrued liabilities.</w:t>
      </w:r>
    </w:p>
    <w:p>
      <w:pPr>
        <w:spacing w:after="0" w:line="291" w:lineRule="exact"/>
        <w:rPr>
          <w:rFonts w:ascii="Arial" w:cs="Arial" w:eastAsia="Arial" w:hAnsi="Arial"/>
          <w:sz w:val="18"/>
          <w:szCs w:val="18"/>
          <w:b w:val="1"/>
          <w:bCs w:val="1"/>
          <w:i w:val="1"/>
          <w:iCs w:val="1"/>
          <w:color w:val="auto"/>
        </w:rPr>
      </w:pPr>
    </w:p>
    <w:p>
      <w:pPr>
        <w:ind w:left="1424"/>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GTI New Jersey, LLC</w:t>
      </w:r>
    </w:p>
    <w:p>
      <w:pPr>
        <w:spacing w:after="0" w:line="117" w:lineRule="exact"/>
        <w:rPr>
          <w:rFonts w:ascii="Arial" w:cs="Arial" w:eastAsia="Arial" w:hAnsi="Arial"/>
          <w:sz w:val="18"/>
          <w:szCs w:val="18"/>
          <w:b w:val="1"/>
          <w:bCs w:val="1"/>
          <w:i w:val="1"/>
          <w:iCs w:val="1"/>
          <w:color w:val="auto"/>
        </w:rPr>
      </w:pPr>
    </w:p>
    <w:p>
      <w:pPr>
        <w:ind w:left="1424" w:right="40"/>
        <w:spacing w:after="0" w:line="296"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connection with the Company’s April 23, 2019 acquisition of the non-controlling interest in GTI New Jersey, LLC, the Company agreed to award the previous minority shareholders of the entity up to $3,000,000 in Subordinate Voting Shares. On May 7, 2020, the Company received approval from the New Jersey Department of Health to begin buildout of an additional retail dispensary. As a result, the Company recorded a current obligation and corresponding reduction to contributed surplus of $2,000,000 representing the maximum value of the shares to be issuable to the former minority shareholders of GTI New Jersey, LLC.</w:t>
      </w:r>
    </w:p>
    <w:p>
      <w:pPr>
        <w:spacing w:after="0" w:line="93" w:lineRule="exact"/>
        <w:rPr>
          <w:rFonts w:ascii="Arial" w:cs="Arial" w:eastAsia="Arial" w:hAnsi="Arial"/>
          <w:sz w:val="18"/>
          <w:szCs w:val="18"/>
          <w:b w:val="1"/>
          <w:bCs w:val="1"/>
          <w:i w:val="1"/>
          <w:iCs w:val="1"/>
          <w:color w:val="auto"/>
        </w:rPr>
      </w:pPr>
    </w:p>
    <w:p>
      <w:pPr>
        <w:ind w:left="5424" w:hanging="111"/>
        <w:spacing w:after="0"/>
        <w:tabs>
          <w:tab w:leader="none" w:pos="54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24"/>
          </w:cols>
          <w:pgMar w:left="436" w:top="270" w:right="439" w:bottom="1440" w:gutter="0" w:footer="0" w:header="0"/>
        </w:sectPr>
      </w:pPr>
    </w:p>
    <w:bookmarkStart w:id="26" w:name="page27"/>
    <w:bookmarkEnd w:id="2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02" w:lineRule="exact"/>
        <w:rPr>
          <w:rFonts w:ascii="Arial" w:cs="Arial" w:eastAsia="Arial" w:hAnsi="Arial"/>
          <w:sz w:val="18"/>
          <w:szCs w:val="18"/>
          <w:b w:val="1"/>
          <w:bCs w:val="1"/>
          <w:color w:val="auto"/>
        </w:rPr>
      </w:pPr>
    </w:p>
    <w:p>
      <w:pPr>
        <w:ind w:left="1424" w:hanging="439"/>
        <w:spacing w:after="0"/>
        <w:tabs>
          <w:tab w:leader="none" w:pos="1424"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Distribution of Contingent Consideration</w:t>
      </w:r>
    </w:p>
    <w:p>
      <w:pPr>
        <w:spacing w:after="0" w:line="117" w:lineRule="exact"/>
        <w:rPr>
          <w:rFonts w:ascii="Arial" w:cs="Arial" w:eastAsia="Arial" w:hAnsi="Arial"/>
          <w:sz w:val="18"/>
          <w:szCs w:val="18"/>
          <w:b w:val="1"/>
          <w:bCs w:val="1"/>
          <w:color w:val="auto"/>
        </w:rPr>
      </w:pPr>
    </w:p>
    <w:p>
      <w:pPr>
        <w:ind w:left="1424"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September 30, 2020, the Company issued 2,713,463 Subordinate Voting Shares to the previous owners of several entities in connection with acquisitions completed during 2019. Upon issuance, the Company recorded a reduction to contingent consideration payable and an increase in share capital. The following table represents the contingent shares issued as of September 30, 2020 in relation to each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-875030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ContingentShares Issued</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Transaction</w:t>
            </w:r>
          </w:p>
        </w:tc>
        <w:tc>
          <w:tcPr>
            <w:tcW w:w="180" w:type="dxa"/>
            <w:vAlign w:val="bottom"/>
          </w:tcPr>
          <w:p>
            <w:pPr>
              <w:spacing w:after="0"/>
              <w:rPr>
                <w:sz w:val="14"/>
                <w:szCs w:val="14"/>
                <w:color w:val="auto"/>
              </w:rPr>
            </w:pPr>
          </w:p>
        </w:tc>
        <w:tc>
          <w:tcPr>
            <w:tcW w:w="34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Date of Transaction</w:t>
            </w:r>
          </w:p>
        </w:tc>
        <w:tc>
          <w:tcPr>
            <w:tcW w:w="198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2"/>
        </w:trPr>
        <w:tc>
          <w:tcPr>
            <w:tcW w:w="3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Units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2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Advanced Grow Labs, LLC</w:t>
            </w:r>
          </w:p>
        </w:tc>
        <w:tc>
          <w:tcPr>
            <w:tcW w:w="3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February 12,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1,396,533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$11,544,855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For Success Holdings Company</w:t>
            </w:r>
          </w:p>
        </w:tc>
        <w:tc>
          <w:tcPr>
            <w:tcW w:w="3580" w:type="dxa"/>
            <w:vAlign w:val="bottom"/>
            <w:gridSpan w:val="3"/>
          </w:tcPr>
          <w:p>
            <w:pPr>
              <w:ind w:left="180"/>
              <w:spacing w:after="0"/>
              <w:rPr>
                <w:sz w:val="20"/>
                <w:szCs w:val="20"/>
                <w:color w:val="auto"/>
              </w:rPr>
            </w:pPr>
            <w:r>
              <w:rPr>
                <w:rFonts w:ascii="Arial" w:cs="Arial" w:eastAsia="Arial" w:hAnsi="Arial"/>
                <w:sz w:val="18"/>
                <w:szCs w:val="18"/>
                <w:color w:val="auto"/>
              </w:rPr>
              <w:t>February 21, 2019</w:t>
            </w:r>
          </w:p>
        </w:tc>
        <w:tc>
          <w:tcPr>
            <w:tcW w:w="780" w:type="dxa"/>
            <w:vAlign w:val="bottom"/>
          </w:tcPr>
          <w:p>
            <w:pPr>
              <w:jc w:val="right"/>
              <w:spacing w:after="0"/>
              <w:rPr>
                <w:sz w:val="20"/>
                <w:szCs w:val="20"/>
                <w:color w:val="auto"/>
              </w:rPr>
            </w:pPr>
            <w:r>
              <w:rPr>
                <w:rFonts w:ascii="Arial" w:cs="Arial" w:eastAsia="Arial" w:hAnsi="Arial"/>
                <w:sz w:val="18"/>
                <w:szCs w:val="18"/>
                <w:color w:val="auto"/>
              </w:rPr>
              <w:t>779,690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6,686,432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Integral Associates, LLC</w:t>
            </w:r>
          </w:p>
        </w:tc>
        <w:tc>
          <w:tcPr>
            <w:tcW w:w="3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June 5,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537,240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4,654,526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2,713,463</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22,885,813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424" w:hanging="439"/>
        <w:spacing w:after="0"/>
        <w:tabs>
          <w:tab w:leader="none" w:pos="1424" w:val="left"/>
        </w:tabs>
        <w:numPr>
          <w:ilvl w:val="1"/>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Distribution of Deferred Shares</w:t>
      </w:r>
    </w:p>
    <w:p>
      <w:pPr>
        <w:spacing w:after="0" w:line="117" w:lineRule="exact"/>
        <w:rPr>
          <w:rFonts w:ascii="Arial" w:cs="Arial" w:eastAsia="Arial" w:hAnsi="Arial"/>
          <w:sz w:val="18"/>
          <w:szCs w:val="18"/>
          <w:b w:val="1"/>
          <w:bCs w:val="1"/>
          <w:i w:val="1"/>
          <w:iCs w:val="1"/>
          <w:color w:val="auto"/>
        </w:rPr>
      </w:pPr>
    </w:p>
    <w:p>
      <w:pPr>
        <w:ind w:left="1424"/>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As a result of several acquisitions that occurred during 2019, the Company held 1,367,643 deferred shares with a value of $16,587,798 as of December 31, 2019. The deferred shares were to be issued upon the passage of twelve to twenty-four months from the close of each transaction as defined within each respective acquisition agreement. On May 15, 2020, Green Thumb issued 101,695 Subordinate Voting Shares with a value of $1,307,798 in connection with the Company’s May 15, 2019 acquisition of Salveo. On August 12, 2020, the Company issued 472,500 Subordinate Voting Shares with a value of $5,380,00 in connection with the Company’s February 12, 2019 acquisition of Advanced Grow Labs, LLC. Additionally, on August 26, 2020, the Company issued 646,353 Subordinate Voting Shares with a value of $8,064,668 in connection with the Company’s February 21, 2019 acquisition of For Success Holdings Company. The three distributions discussed above resulted in a reduction to deferred share issuances and a corresponding increase to share capital on the Company’s unaudited interim condensed consolidated statement of changes in shareholders’ equity.</w:t>
      </w:r>
    </w:p>
    <w:p>
      <w:pPr>
        <w:spacing w:after="0" w:line="329" w:lineRule="exact"/>
        <w:rPr>
          <w:rFonts w:ascii="Arial" w:cs="Arial" w:eastAsia="Arial" w:hAnsi="Arial"/>
          <w:sz w:val="18"/>
          <w:szCs w:val="18"/>
          <w:b w:val="1"/>
          <w:bCs w:val="1"/>
          <w:i w:val="1"/>
          <w:iCs w:val="1"/>
          <w:color w:val="auto"/>
        </w:rPr>
      </w:pPr>
    </w:p>
    <w:p>
      <w:pPr>
        <w:ind w:left="964" w:hanging="532"/>
        <w:spacing w:after="0"/>
        <w:tabs>
          <w:tab w:leader="none" w:pos="96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rFonts w:ascii="Arial" w:cs="Arial" w:eastAsia="Arial" w:hAnsi="Arial"/>
          <w:sz w:val="18"/>
          <w:szCs w:val="18"/>
          <w:b w:val="1"/>
          <w:bCs w:val="1"/>
          <w:color w:val="auto"/>
        </w:rPr>
      </w:pPr>
    </w:p>
    <w:p>
      <w:pPr>
        <w:ind w:left="984"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69" w:lineRule="exact"/>
        <w:rPr>
          <w:rFonts w:ascii="Arial" w:cs="Arial" w:eastAsia="Arial" w:hAnsi="Arial"/>
          <w:sz w:val="18"/>
          <w:szCs w:val="18"/>
          <w:b w:val="1"/>
          <w:bCs w:val="1"/>
          <w:color w:val="auto"/>
        </w:rPr>
      </w:pPr>
    </w:p>
    <w:p>
      <w:pPr>
        <w:ind w:left="984"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established the Green Thumb Industries Inc. 2018 Stock and Incentive Plan, which was amended by Amendment No. 1 thereto (as amended, the “Plan”). The maximum number of Restricted Stock Units (“RSUs”) and options issued under the Plan shall not exceed 10% of the issued and outstanding shares on an as-converted basis.</w:t>
      </w:r>
    </w:p>
    <w:p>
      <w:pPr>
        <w:spacing w:after="0" w:line="116" w:lineRule="exact"/>
        <w:rPr>
          <w:rFonts w:ascii="Arial" w:cs="Arial" w:eastAsia="Arial" w:hAnsi="Arial"/>
          <w:sz w:val="18"/>
          <w:szCs w:val="18"/>
          <w:b w:val="1"/>
          <w:bCs w:val="1"/>
          <w:color w:val="auto"/>
        </w:rPr>
      </w:pPr>
    </w:p>
    <w:p>
      <w:pPr>
        <w:ind w:left="5424" w:hanging="111"/>
        <w:spacing w:after="0"/>
        <w:tabs>
          <w:tab w:leader="none" w:pos="5424" w:val="left"/>
        </w:tabs>
        <w:numPr>
          <w:ilvl w:val="2"/>
          <w:numId w:val="44"/>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024"/>
          </w:cols>
          <w:pgMar w:left="436" w:top="270" w:right="439" w:bottom="1440" w:gutter="0" w:footer="0" w:header="0"/>
        </w:sectPr>
      </w:pPr>
    </w:p>
    <w:bookmarkStart w:id="27" w:name="page28"/>
    <w:bookmarkEnd w:id="2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198" w:lineRule="exact"/>
        <w:rPr>
          <w:rFonts w:ascii="Arial" w:cs="Arial" w:eastAsia="Arial" w:hAnsi="Arial"/>
          <w:sz w:val="18"/>
          <w:szCs w:val="18"/>
          <w:b w:val="1"/>
          <w:bCs w:val="1"/>
          <w:color w:val="auto"/>
        </w:rPr>
      </w:pPr>
    </w:p>
    <w:p>
      <w:pPr>
        <w:ind w:left="964" w:hanging="532"/>
        <w:spacing w:after="0"/>
        <w:tabs>
          <w:tab w:leader="none" w:pos="964"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21" w:lineRule="exact"/>
        <w:rPr>
          <w:rFonts w:ascii="Arial" w:cs="Arial" w:eastAsia="Arial" w:hAnsi="Arial"/>
          <w:sz w:val="18"/>
          <w:szCs w:val="18"/>
          <w:b w:val="1"/>
          <w:bCs w:val="1"/>
          <w:color w:val="auto"/>
        </w:rPr>
      </w:pPr>
    </w:p>
    <w:p>
      <w:pPr>
        <w:ind w:left="984"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9" w:lineRule="exact"/>
        <w:rPr>
          <w:rFonts w:ascii="Arial" w:cs="Arial" w:eastAsia="Arial" w:hAnsi="Arial"/>
          <w:sz w:val="18"/>
          <w:szCs w:val="18"/>
          <w:b w:val="1"/>
          <w:bCs w:val="1"/>
          <w:color w:val="auto"/>
        </w:rPr>
      </w:pPr>
    </w:p>
    <w:p>
      <w:pPr>
        <w:ind w:left="984"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Option and RSU grants generally vest over three years, and options typically have a life of five or ten years. Option grants are determined by the Compensation Committee of the Company’s Board of Directors with the option price set at no less than 100% of the fair market value of a share on the date of grant.</w:t>
      </w:r>
    </w:p>
    <w:p>
      <w:pPr>
        <w:spacing w:after="0" w:line="89"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Stockoption activity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-1682115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9"/>
              </w:rPr>
              <w:t>Number of</w:t>
            </w: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Weighted Average</w:t>
            </w:r>
          </w:p>
        </w:tc>
        <w:tc>
          <w:tcPr>
            <w:tcW w:w="16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6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(CAD)</w:t>
            </w: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(Years)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3,839,017</w:t>
            </w:r>
          </w:p>
        </w:tc>
        <w:tc>
          <w:tcPr>
            <w:tcW w:w="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5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2,496,511</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9.76</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(65,443)</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11.02</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Forfeited</w:t>
            </w:r>
          </w:p>
        </w:tc>
        <w:tc>
          <w:tcPr>
            <w:tcW w:w="4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(487,486)</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13.82</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September 30, 2020</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5,782,599</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11.69</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1,635,030</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13.36</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2020</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1,516,872</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13.22</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4,601,129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4" w:right="40"/>
        <w:spacing w:after="0" w:line="257"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September 30, 2020 and December 31, 2019, respectively, and the exercise price, multiplied by the number of in-the-money options) that would have been received by the option holders had all option holders exercised their in-the-money options on September 30, 2020 and December 31, 2019. This amount will change in future periods based on the fair market value of the Company’s Subordinate Voting Shares and the number of options outstanding.</w:t>
      </w:r>
    </w:p>
    <w:p>
      <w:pPr>
        <w:spacing w:after="0" w:line="8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Company used the Black-Scholes option pricing model to estimate the fair value of the options granted during the nine months ended</w:t>
      </w:r>
    </w:p>
    <w:p>
      <w:pPr>
        <w:spacing w:after="0" w:line="4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September 30, 2020, using the following ranges of assumptions:</w:t>
      </w:r>
    </w:p>
    <w:p>
      <w:pPr>
        <w:spacing w:after="0" w:line="232" w:lineRule="exact"/>
        <w:rPr>
          <w:sz w:val="20"/>
          <w:szCs w:val="20"/>
          <w:color w:val="auto"/>
        </w:rPr>
      </w:pPr>
    </w:p>
    <w:tbl>
      <w:tblPr>
        <w:tblLayout w:type="fixed"/>
        <w:tblInd w:w="884" w:type="dxa"/>
        <w:tblCellMar>
          <w:top w:w="0" w:type="dxa"/>
          <w:left w:w="0" w:type="dxa"/>
          <w:bottom w:w="0" w:type="dxa"/>
          <w:right w:w="0" w:type="dxa"/>
        </w:tblCellMar>
      </w:tblPr>
      <w:tr>
        <w:trPr>
          <w:trHeight w:val="230"/>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 - 2.33%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3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- 100%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Expected option life</w:t>
            </w:r>
          </w:p>
        </w:tc>
        <w:tc>
          <w:tcPr>
            <w:tcW w:w="4340" w:type="dxa"/>
            <w:vAlign w:val="bottom"/>
          </w:tcPr>
          <w:p>
            <w:pPr>
              <w:jc w:val="right"/>
              <w:spacing w:after="0"/>
              <w:rPr>
                <w:sz w:val="20"/>
                <w:szCs w:val="20"/>
                <w:color w:val="auto"/>
              </w:rPr>
            </w:pPr>
            <w:r>
              <w:rPr>
                <w:rFonts w:ascii="Arial" w:cs="Arial" w:eastAsia="Arial" w:hAnsi="Arial"/>
                <w:sz w:val="18"/>
                <w:szCs w:val="18"/>
                <w:color w:val="auto"/>
              </w:rPr>
              <w:t>3 – 10 years</w:t>
            </w:r>
          </w:p>
        </w:tc>
      </w:tr>
    </w:tbl>
    <w:p>
      <w:pPr>
        <w:spacing w:after="0" w:line="187" w:lineRule="exact"/>
        <w:rPr>
          <w:sz w:val="20"/>
          <w:szCs w:val="20"/>
          <w:color w:val="auto"/>
        </w:rPr>
      </w:pPr>
    </w:p>
    <w:p>
      <w:pPr>
        <w:ind w:left="984" w:right="60"/>
        <w:spacing w:after="0" w:line="263"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 As permitted under ASC 718, the Company has made an accounting policy choice to account for forfeitures when they occur.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0" w:right="439" w:bottom="1440" w:gutter="0" w:footer="0" w:header="0"/>
        </w:sectPr>
      </w:pPr>
    </w:p>
    <w:bookmarkStart w:id="28" w:name="page29"/>
    <w:bookmarkEnd w:id="2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198" w:lineRule="exact"/>
        <w:rPr>
          <w:rFonts w:ascii="Arial" w:cs="Arial" w:eastAsia="Arial" w:hAnsi="Arial"/>
          <w:sz w:val="18"/>
          <w:szCs w:val="18"/>
          <w:b w:val="1"/>
          <w:bCs w:val="1"/>
          <w:color w:val="auto"/>
        </w:rPr>
      </w:pPr>
    </w:p>
    <w:p>
      <w:pPr>
        <w:ind w:left="964" w:hanging="532"/>
        <w:spacing w:after="0"/>
        <w:tabs>
          <w:tab w:leader="none" w:pos="964"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21" w:lineRule="exact"/>
        <w:rPr>
          <w:rFonts w:ascii="Arial" w:cs="Arial" w:eastAsia="Arial" w:hAnsi="Arial"/>
          <w:sz w:val="18"/>
          <w:szCs w:val="18"/>
          <w:b w:val="1"/>
          <w:bCs w:val="1"/>
          <w:color w:val="auto"/>
        </w:rPr>
      </w:pPr>
    </w:p>
    <w:p>
      <w:pPr>
        <w:ind w:left="98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number of non-vested RSU awards as of September 30, 2020 and December 31, 2019 and the changes during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-610870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9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Number of Shares</w:t>
            </w:r>
          </w:p>
        </w:tc>
        <w:tc>
          <w:tcPr>
            <w:tcW w:w="2020" w:type="dxa"/>
            <w:vAlign w:val="bottom"/>
            <w:gridSpan w:val="3"/>
          </w:tcPr>
          <w:p>
            <w:pPr>
              <w:jc w:val="center"/>
              <w:ind w:left="275"/>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9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 Fair Value (CAD)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2019</w:t>
            </w:r>
          </w:p>
        </w:tc>
        <w:tc>
          <w:tcPr>
            <w:tcW w:w="1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1,399,762</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254,268</w:t>
            </w:r>
          </w:p>
        </w:tc>
        <w:tc>
          <w:tcPr>
            <w:tcW w:w="48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(64,500)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tcPr>
          <w:p>
            <w:pPr>
              <w:spacing w:after="0"/>
              <w:rPr>
                <w:sz w:val="19"/>
                <w:szCs w:val="19"/>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(901,023)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September 30, 2020</w:t>
            </w:r>
          </w:p>
        </w:tc>
        <w:tc>
          <w:tcPr>
            <w:tcW w:w="13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688,507</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16"/>
        <w:spacing w:after="0"/>
        <w:rPr>
          <w:sz w:val="20"/>
          <w:szCs w:val="20"/>
          <w:color w:val="auto"/>
        </w:rPr>
      </w:pPr>
      <w:r>
        <w:rPr>
          <w:rFonts w:ascii="Arial" w:cs="Arial" w:eastAsia="Arial" w:hAnsi="Arial"/>
          <w:sz w:val="18"/>
          <w:szCs w:val="18"/>
          <w:color w:val="auto"/>
        </w:rPr>
        <w:t>The stock-based compensation expense for the three and nine months ended September 30, 2020 and 2019 was as followed:</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For the Three Months Ended</w:t>
            </w:r>
          </w:p>
        </w:tc>
        <w:tc>
          <w:tcPr>
            <w:tcW w:w="100" w:type="dxa"/>
            <w:vAlign w:val="bottom"/>
          </w:tcPr>
          <w:p>
            <w:pPr>
              <w:spacing w:after="0"/>
              <w:rPr>
                <w:sz w:val="14"/>
                <w:szCs w:val="14"/>
                <w:color w:val="auto"/>
              </w:rPr>
            </w:pPr>
          </w:p>
        </w:tc>
        <w:tc>
          <w:tcPr>
            <w:tcW w:w="204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Nine Months Ended</w:t>
            </w:r>
          </w:p>
        </w:tc>
      </w:tr>
      <w:tr>
        <w:trPr>
          <w:trHeight w:val="142"/>
        </w:trPr>
        <w:tc>
          <w:tcPr>
            <w:tcW w:w="6700" w:type="dxa"/>
            <w:vAlign w:val="bottom"/>
          </w:tcPr>
          <w:p>
            <w:pPr>
              <w:spacing w:after="0"/>
              <w:rPr>
                <w:sz w:val="12"/>
                <w:szCs w:val="12"/>
                <w:color w:val="auto"/>
              </w:rPr>
            </w:pPr>
          </w:p>
        </w:tc>
        <w:tc>
          <w:tcPr>
            <w:tcW w:w="190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980" w:type="dxa"/>
            <w:vAlign w:val="bottom"/>
            <w:tcBorders>
              <w:top w:val="single" w:sz="8" w:color="auto"/>
              <w:bottom w:val="single" w:sz="8" w:color="auto"/>
            </w:tcBorders>
            <w:gridSpan w:val="5"/>
          </w:tcPr>
          <w:p>
            <w:pPr>
              <w:jc w:val="right"/>
              <w:ind w:right="515"/>
              <w:spacing w:after="0" w:line="142"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8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94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$2,614,273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$1,666,465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8,209,557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4,248,461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RSUs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1,821,054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1,897,630</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6,999,963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9,075,622</w:t>
            </w:r>
          </w:p>
        </w:tc>
      </w:tr>
      <w:tr>
        <w:trPr>
          <w:trHeight w:val="27"/>
        </w:trPr>
        <w:tc>
          <w:tcPr>
            <w:tcW w:w="6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4,435,634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3,564,095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15,209,520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13,324,083</w:t>
            </w:r>
          </w:p>
        </w:tc>
      </w:tr>
      <w:tr>
        <w:trPr>
          <w:trHeight w:val="20"/>
        </w:trPr>
        <w:tc>
          <w:tcPr>
            <w:tcW w:w="6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984" w:right="420"/>
        <w:spacing w:after="0" w:line="277" w:lineRule="auto"/>
        <w:rPr>
          <w:sz w:val="20"/>
          <w:szCs w:val="20"/>
          <w:color w:val="auto"/>
        </w:rPr>
      </w:pPr>
      <w:r>
        <w:rPr>
          <w:rFonts w:ascii="Arial" w:cs="Arial" w:eastAsia="Arial" w:hAnsi="Arial"/>
          <w:sz w:val="18"/>
          <w:szCs w:val="18"/>
          <w:color w:val="auto"/>
        </w:rPr>
        <w:t>As of September 30, 2020, $25,815,117 of total unrecognized expense related to Stock Based Compensation awards is expected to be recognized over a weighted-average period of 1.93 years.</w:t>
      </w:r>
    </w:p>
    <w:p>
      <w:pPr>
        <w:spacing w:after="0" w:line="315" w:lineRule="exact"/>
        <w:rPr>
          <w:sz w:val="20"/>
          <w:szCs w:val="20"/>
          <w:color w:val="auto"/>
        </w:rPr>
      </w:pPr>
    </w:p>
    <w:p>
      <w:pPr>
        <w:ind w:left="964" w:hanging="532"/>
        <w:spacing w:after="0"/>
        <w:tabs>
          <w:tab w:leader="none" w:pos="964"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for Redemption of Noncontrolling Interest</w:t>
      </w:r>
    </w:p>
    <w:p>
      <w:pPr>
        <w:spacing w:after="0" w:line="121" w:lineRule="exact"/>
        <w:rPr>
          <w:rFonts w:ascii="Arial" w:cs="Arial" w:eastAsia="Arial" w:hAnsi="Arial"/>
          <w:sz w:val="18"/>
          <w:szCs w:val="18"/>
          <w:b w:val="1"/>
          <w:bCs w:val="1"/>
          <w:color w:val="auto"/>
        </w:rPr>
      </w:pPr>
    </w:p>
    <w:p>
      <w:pPr>
        <w:ind w:left="984"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August 8, 2020, the Company and its joint venture partner in Ohio Investors 2017, LLC reached an agreement allowing Green Thumb to purchase the remaining noncontrolling interest in Ohio Investors 2017, LLC from the partner. As a result, on August 31, 2020, the Company issued 1,315,789 Subordinate Voting Shares with a value of $20,078,940 in consideration for the noncontrolling partner’s interest in Ohio Investors 2017, LLC. Upon the closing of the transaction, the Company recorded a reduction to the current liability established for the purchase of the noncontrolling interest of $11,200,000, an increase in share capital for the fair value of the noncontrolling partners interest of $20,078,940 and a reduction to contributed capital of $8,878,940.</w:t>
      </w:r>
    </w:p>
    <w:p>
      <w:pPr>
        <w:spacing w:after="0" w:line="322" w:lineRule="exact"/>
        <w:rPr>
          <w:rFonts w:ascii="Arial" w:cs="Arial" w:eastAsia="Arial" w:hAnsi="Arial"/>
          <w:sz w:val="18"/>
          <w:szCs w:val="18"/>
          <w:b w:val="1"/>
          <w:bCs w:val="1"/>
          <w:color w:val="auto"/>
        </w:rPr>
      </w:pPr>
    </w:p>
    <w:p>
      <w:pPr>
        <w:ind w:left="424" w:hanging="424"/>
        <w:spacing w:after="0"/>
        <w:tabs>
          <w:tab w:leader="none" w:pos="42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three and nine months ended September 30, 2020 and 2019 other income (expense) was comprised of the following:</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For the Three Months Ended</w:t>
            </w:r>
          </w:p>
        </w:tc>
        <w:tc>
          <w:tcPr>
            <w:tcW w:w="20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9"/>
              </w:rPr>
              <w:t>For the Nine Months Ended</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20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4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3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$ 8,134,213</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$(1,196,676)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$ 8,117,178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(932,983)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Fair value adjustments on variable note receivable</w:t>
            </w:r>
          </w:p>
        </w:tc>
        <w:tc>
          <w:tcPr>
            <w:tcW w:w="2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(5,428,542)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(815,937)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(7,424,727)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warrants issued</w:t>
            </w:r>
          </w:p>
        </w:tc>
        <w:tc>
          <w:tcPr>
            <w:tcW w:w="3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(3,181,114)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(2,060,771)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Fair value adjustments on contingent consideration</w:t>
            </w:r>
          </w:p>
        </w:tc>
        <w:tc>
          <w:tcPr>
            <w:tcW w:w="3280" w:type="dxa"/>
            <w:vAlign w:val="bottom"/>
            <w:gridSpan w:val="3"/>
          </w:tcPr>
          <w:p>
            <w:pPr>
              <w:jc w:val="right"/>
              <w:ind w:right="140"/>
              <w:spacing w:after="0"/>
              <w:rPr>
                <w:sz w:val="20"/>
                <w:szCs w:val="20"/>
                <w:color w:val="auto"/>
              </w:rPr>
            </w:pPr>
            <w:r>
              <w:rPr>
                <w:rFonts w:ascii="Arial" w:cs="Arial" w:eastAsia="Arial" w:hAnsi="Arial"/>
                <w:sz w:val="18"/>
                <w:szCs w:val="18"/>
                <w:color w:val="auto"/>
              </w:rPr>
              <w:t>442,991</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425,426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1,036,793</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39,678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1,835,670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388,277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8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2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$ 6,432,883</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(6,585,540)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$ 7,501,566</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(7,969,433)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60" w:type="dxa"/>
            <w:vAlign w:val="bottom"/>
            <w:vMerge w:val="restart"/>
          </w:tcPr>
          <w:p>
            <w:pPr>
              <w:jc w:val="right"/>
              <w:ind w:right="950"/>
              <w:spacing w:after="0"/>
              <w:rPr>
                <w:sz w:val="20"/>
                <w:szCs w:val="20"/>
                <w:color w:val="auto"/>
              </w:rPr>
            </w:pPr>
            <w:r>
              <w:rPr>
                <w:rFonts w:ascii="Arial" w:cs="Arial" w:eastAsia="Arial" w:hAnsi="Arial"/>
                <w:sz w:val="18"/>
                <w:szCs w:val="18"/>
                <w:color w:val="auto"/>
              </w:rPr>
              <w:t>-27-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29" w:name="page30"/>
    <w:bookmarkEnd w:id="2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 of operations.</w:t>
      </w:r>
    </w:p>
    <w:p>
      <w:pPr>
        <w:spacing w:after="0" w:line="332" w:lineRule="exact"/>
        <w:rPr>
          <w:sz w:val="20"/>
          <w:szCs w:val="20"/>
          <w:color w:val="auto"/>
        </w:rPr>
      </w:pPr>
    </w:p>
    <w:p>
      <w:pPr>
        <w:ind w:left="964" w:hanging="532"/>
        <w:spacing w:after="0"/>
        <w:tabs>
          <w:tab w:leader="none" w:pos="96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984" w:right="1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While management believes that the Company is in compliance with applicable local and state regulations at September 30, 2020 and December 31, 2019, cannabis and other regulations continue to evolve and are subject to differing interpretations. As a result, the Company may be subject to regulatory fines, penalties, or restrictions in the future.</w:t>
      </w:r>
    </w:p>
    <w:p>
      <w:pPr>
        <w:spacing w:after="0" w:line="305" w:lineRule="exact"/>
        <w:rPr>
          <w:rFonts w:ascii="Arial" w:cs="Arial" w:eastAsia="Arial" w:hAnsi="Arial"/>
          <w:sz w:val="18"/>
          <w:szCs w:val="18"/>
          <w:b w:val="1"/>
          <w:bCs w:val="1"/>
          <w:color w:val="auto"/>
        </w:rPr>
      </w:pPr>
    </w:p>
    <w:p>
      <w:pPr>
        <w:ind w:left="964" w:hanging="532"/>
        <w:spacing w:after="0"/>
        <w:tabs>
          <w:tab w:leader="none" w:pos="96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984"/>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From time to time, the Company may be involved in litigation relating to claims arising out of operations in the normal course of business. At September 30, 2020 and December 31, 2019,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315" w:lineRule="exact"/>
        <w:rPr>
          <w:rFonts w:ascii="Arial" w:cs="Arial" w:eastAsia="Arial" w:hAnsi="Arial"/>
          <w:sz w:val="18"/>
          <w:szCs w:val="18"/>
          <w:b w:val="1"/>
          <w:bCs w:val="1"/>
          <w:color w:val="auto"/>
        </w:rPr>
      </w:pPr>
    </w:p>
    <w:p>
      <w:pPr>
        <w:ind w:left="964" w:hanging="532"/>
        <w:spacing w:after="0"/>
        <w:tabs>
          <w:tab w:leader="none" w:pos="96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984"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of September 30, 2020, the Company held approximately $25,600,000 of open commitments to contractors primarily associated with improvements being made to one of the Company’s cultivation and processing facilities. The Company expects to be reimbursed for approximately $22,500,000 of the open commitment as part of its sale and lease back agreement with IIP.</w:t>
      </w:r>
    </w:p>
    <w:p>
      <w:pPr>
        <w:spacing w:after="0" w:line="310"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0" w:right="479" w:bottom="1440" w:gutter="0" w:footer="0" w:header="0"/>
        </w:sectPr>
      </w:pPr>
    </w:p>
    <w:bookmarkStart w:id="30" w:name="page31"/>
    <w:bookmarkEnd w:id="3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4" w:right="76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assets or liabilities;</w:t>
      </w:r>
    </w:p>
    <w:p>
      <w:pPr>
        <w:spacing w:after="0" w:line="23" w:lineRule="exact"/>
        <w:rPr>
          <w:sz w:val="20"/>
          <w:szCs w:val="20"/>
          <w:color w:val="auto"/>
        </w:rPr>
      </w:pPr>
    </w:p>
    <w:p>
      <w:pPr>
        <w:ind w:left="984" w:right="1620"/>
        <w:spacing w:after="0" w:line="260"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that are observable for the asset or liability, either directly or indirectly; and</w:t>
      </w:r>
      <w:r>
        <w:rPr>
          <w:rFonts w:ascii="Arial" w:cs="Arial" w:eastAsia="Arial" w:hAnsi="Arial"/>
          <w:sz w:val="18"/>
          <w:szCs w:val="18"/>
          <w:i w:val="1"/>
          <w:iCs w:val="1"/>
          <w:color w:val="auto"/>
        </w:rPr>
        <w:t xml:space="preserve"> Level 3 </w:t>
      </w:r>
      <w:r>
        <w:rPr>
          <w:rFonts w:ascii="Arial" w:cs="Arial" w:eastAsia="Arial" w:hAnsi="Arial"/>
          <w:sz w:val="18"/>
          <w:szCs w:val="18"/>
          <w:color w:val="auto"/>
        </w:rPr>
        <w:t>– Inputs for the asset or liability that are not based on observable market data.</w:t>
      </w:r>
    </w:p>
    <w:p>
      <w:pPr>
        <w:spacing w:after="0" w:line="330" w:lineRule="exact"/>
        <w:rPr>
          <w:sz w:val="20"/>
          <w:szCs w:val="20"/>
          <w:color w:val="auto"/>
        </w:rPr>
      </w:pPr>
    </w:p>
    <w:p>
      <w:pPr>
        <w:ind w:left="424"/>
        <w:spacing w:after="0"/>
        <w:rPr>
          <w:sz w:val="20"/>
          <w:szCs w:val="20"/>
          <w:color w:val="auto"/>
        </w:rPr>
      </w:pPr>
      <w:r>
        <w:rPr>
          <w:rFonts w:ascii="Arial" w:cs="Arial" w:eastAsia="Arial" w:hAnsi="Arial"/>
          <w:sz w:val="18"/>
          <w:szCs w:val="18"/>
          <w:b w:val="1"/>
          <w:bCs w:val="1"/>
          <w:color w:val="auto"/>
        </w:rPr>
        <w:t>FinancialInstruments</w:t>
      </w:r>
    </w:p>
    <w:p>
      <w:pPr>
        <w:spacing w:after="0" w:line="121" w:lineRule="exact"/>
        <w:rPr>
          <w:sz w:val="20"/>
          <w:szCs w:val="20"/>
          <w:color w:val="auto"/>
        </w:rPr>
      </w:pPr>
    </w:p>
    <w:p>
      <w:pPr>
        <w:ind w:left="444" w:right="380"/>
        <w:spacing w:after="0" w:line="263" w:lineRule="auto"/>
        <w:rPr>
          <w:sz w:val="20"/>
          <w:szCs w:val="20"/>
          <w:color w:val="auto"/>
        </w:rPr>
      </w:pPr>
      <w:r>
        <w:rPr>
          <w:rFonts w:ascii="Arial" w:cs="Arial" w:eastAsia="Arial" w:hAnsi="Arial"/>
          <w:sz w:val="18"/>
          <w:szCs w:val="18"/>
          <w:color w:val="auto"/>
        </w:rPr>
        <w:t>The Company’s financial instruments consist of cash and cash equivalents, accounts receivable, notes receivable, due from related parties, investments, accounts payable and accrued liabilities, notes payable, derivative liability, liability for acquisition of noncontrolling interest and contingent consideration payable.</w:t>
      </w:r>
    </w:p>
    <w:p>
      <w:pPr>
        <w:spacing w:after="0" w:line="76" w:lineRule="exact"/>
        <w:rPr>
          <w:sz w:val="20"/>
          <w:szCs w:val="20"/>
          <w:color w:val="auto"/>
        </w:rPr>
      </w:pPr>
    </w:p>
    <w:p>
      <w:pPr>
        <w:ind w:left="444" w:right="520"/>
        <w:spacing w:after="0" w:line="342" w:lineRule="auto"/>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4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261"/>
              <w:spacing w:after="0"/>
              <w:rPr>
                <w:sz w:val="20"/>
                <w:szCs w:val="20"/>
                <w:color w:val="auto"/>
              </w:rPr>
            </w:pPr>
            <w:r>
              <w:rPr>
                <w:rFonts w:ascii="Arial" w:cs="Arial" w:eastAsia="Arial" w:hAnsi="Arial"/>
                <w:sz w:val="14"/>
                <w:szCs w:val="14"/>
                <w:b w:val="1"/>
                <w:bCs w:val="1"/>
                <w:color w:val="auto"/>
                <w:w w:val="97"/>
              </w:rPr>
              <w:t>As of September 30, 2020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10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21"/>
              <w:spacing w:after="0" w:line="142" w:lineRule="exact"/>
              <w:rPr>
                <w:sz w:val="20"/>
                <w:szCs w:val="20"/>
                <w:color w:val="auto"/>
              </w:rPr>
            </w:pPr>
            <w:r>
              <w:rPr>
                <w:rFonts w:ascii="Arial" w:cs="Arial" w:eastAsia="Arial" w:hAnsi="Arial"/>
                <w:sz w:val="14"/>
                <w:szCs w:val="14"/>
                <w:b w:val="1"/>
                <w:bCs w:val="1"/>
                <w:color w:val="auto"/>
              </w:rPr>
              <w:t>Level 3</w:t>
            </w:r>
          </w:p>
        </w:tc>
        <w:tc>
          <w:tcPr>
            <w:tcW w:w="9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88"/>
        </w:trPr>
        <w:tc>
          <w:tcPr>
            <w:tcW w:w="674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$78,091,073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$ 78,091,073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675,594</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color w:val="auto"/>
                <w:w w:val="93"/>
              </w:rPr>
              <w:t>21,535,406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22,210,999</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Liability of Redemption of Noncontrolling Interest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w w:val="88"/>
              </w:rPr>
              <w:t>(36,315,360)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(36,315,360)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8"/>
              </w:rPr>
              <w:t>(18,513,000)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(18,513,000)</w:t>
            </w:r>
          </w:p>
        </w:tc>
      </w:tr>
      <w:tr>
        <w:trPr>
          <w:trHeight w:val="223"/>
        </w:trPr>
        <w:tc>
          <w:tcPr>
            <w:tcW w:w="67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78,766,667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(33,292,954</w:t>
            </w:r>
          </w:p>
        </w:tc>
        <w:tc>
          <w:tcPr>
            <w:tcW w:w="340" w:type="dxa"/>
            <w:vAlign w:val="bottom"/>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$ 45,473,712</w:t>
            </w:r>
          </w:p>
        </w:tc>
        <w:tc>
          <w:tcPr>
            <w:tcW w:w="12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6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14"/>
                <w:szCs w:val="14"/>
                <w:b w:val="1"/>
                <w:bCs w:val="1"/>
                <w:color w:val="auto"/>
                <w:w w:val="99"/>
              </w:rPr>
              <w:t>As of December 31, 2019</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740" w:type="dxa"/>
            <w:vAlign w:val="bottom"/>
          </w:tcPr>
          <w:p>
            <w:pPr>
              <w:spacing w:after="0"/>
              <w:rPr>
                <w:sz w:val="12"/>
                <w:szCs w:val="12"/>
                <w:color w:val="auto"/>
              </w:rPr>
            </w:pPr>
          </w:p>
        </w:tc>
        <w:tc>
          <w:tcPr>
            <w:tcW w:w="10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21"/>
              <w:spacing w:after="0" w:line="142" w:lineRule="exact"/>
              <w:rPr>
                <w:sz w:val="20"/>
                <w:szCs w:val="20"/>
                <w:color w:val="auto"/>
              </w:rPr>
            </w:pPr>
            <w:r>
              <w:rPr>
                <w:rFonts w:ascii="Arial" w:cs="Arial" w:eastAsia="Arial" w:hAnsi="Arial"/>
                <w:sz w:val="14"/>
                <w:szCs w:val="14"/>
                <w:b w:val="1"/>
                <w:bCs w:val="1"/>
                <w:color w:val="auto"/>
              </w:rPr>
              <w:t>Level 3</w:t>
            </w:r>
          </w:p>
        </w:tc>
        <w:tc>
          <w:tcPr>
            <w:tcW w:w="9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88"/>
        </w:trPr>
        <w:tc>
          <w:tcPr>
            <w:tcW w:w="674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$46,667,334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$ 46,667,334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Notes Receivable</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color w:val="auto"/>
              </w:rPr>
              <w:t>815,937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815,937</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3"/>
              </w:rPr>
              <w:t>14,068,821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14,068,821</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w w:val="97"/>
              </w:rPr>
              <w:t>(5,500,000)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8"/>
              </w:rPr>
              <w:t>(58,936,739)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(58,936,739)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Warrant Liability</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w w:val="88"/>
              </w:rPr>
              <w:t>(15,879,843)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(15,879,843)</w:t>
            </w:r>
          </w:p>
        </w:tc>
      </w:tr>
      <w:tr>
        <w:trPr>
          <w:trHeight w:val="27"/>
        </w:trPr>
        <w:tc>
          <w:tcPr>
            <w:tcW w:w="6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46,667,334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w w:val="88"/>
              </w:rPr>
              <w:t>(65,431,824)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(18,764,490)</w:t>
            </w:r>
          </w:p>
        </w:tc>
      </w:tr>
      <w:tr>
        <w:trPr>
          <w:trHeight w:val="20"/>
        </w:trPr>
        <w:tc>
          <w:tcPr>
            <w:tcW w:w="6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200"/>
        <w:spacing w:after="0" w:line="259" w:lineRule="auto"/>
        <w:rPr>
          <w:sz w:val="20"/>
          <w:szCs w:val="20"/>
          <w:color w:val="auto"/>
        </w:rPr>
      </w:pPr>
      <w:r>
        <w:rPr>
          <w:rFonts w:ascii="Arial" w:cs="Arial" w:eastAsia="Arial" w:hAnsi="Arial"/>
          <w:sz w:val="18"/>
          <w:szCs w:val="18"/>
          <w:color w:val="auto"/>
        </w:rPr>
        <w:t>As of December 31, 2019, the Company held an equity investment in a privately held entity that was subsequently acquired by a publicly traded entity during the third quarter of 2020. As a result of the acquisition, the Company received shares of the acquiring entity in exchange for the shares in the privately held entity. Further, the transaction resulted in a transfer of the investment from Level 3 to Level 1. As of September 30, 2020, the value of the Level 1 investment was $675,594.</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0" w:right="439" w:bottom="1440" w:gutter="0" w:footer="0" w:header="0"/>
        </w:sectPr>
      </w:pPr>
    </w:p>
    <w:bookmarkStart w:id="31" w:name="page32"/>
    <w:bookmarkEnd w:id="3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4" w:right="480"/>
        <w:spacing w:after="0" w:line="308" w:lineRule="auto"/>
        <w:rPr>
          <w:sz w:val="20"/>
          <w:szCs w:val="20"/>
          <w:color w:val="auto"/>
        </w:rPr>
      </w:pPr>
      <w:r>
        <w:rPr>
          <w:rFonts w:ascii="Arial" w:cs="Arial" w:eastAsia="Arial" w:hAnsi="Arial"/>
          <w:sz w:val="17"/>
          <w:szCs w:val="17"/>
          <w:color w:val="auto"/>
        </w:rPr>
        <w:t>The following table presents the summarized financial information about the Company’s consolidated variable interest entities (“VIEs”) which are included in the unaudited interim condensed consolidated balance sheets as of September 30, 2020 and December 31, 2019:</w:t>
      </w:r>
    </w:p>
    <w:p>
      <w:pPr>
        <w:spacing w:after="0" w:line="165"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December 31, 2019</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4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Chesapeake</w:t>
            </w: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Illinois Disp, LLC</w:t>
            </w:r>
          </w:p>
        </w:tc>
        <w:tc>
          <w:tcPr>
            <w:tcW w:w="12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Other Non-material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4"/>
              </w:rPr>
              <w:t>Chesapeake</w:t>
            </w:r>
          </w:p>
        </w:tc>
        <w:tc>
          <w:tcPr>
            <w:tcW w:w="22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Illinois</w:t>
            </w:r>
          </w:p>
        </w:tc>
        <w:tc>
          <w:tcPr>
            <w:tcW w:w="12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Other Non-material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Alternatives, LLC</w:t>
            </w:r>
          </w:p>
        </w:tc>
        <w:tc>
          <w:tcPr>
            <w:tcW w:w="14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VIEs</w:t>
            </w:r>
          </w:p>
        </w:tc>
        <w:tc>
          <w:tcPr>
            <w:tcW w:w="16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Alternatives, LLC</w:t>
            </w:r>
          </w:p>
        </w:tc>
        <w:tc>
          <w:tcPr>
            <w:tcW w:w="2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Disp, LLC</w:t>
            </w:r>
          </w:p>
        </w:tc>
        <w:tc>
          <w:tcPr>
            <w:tcW w:w="26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VIEs</w:t>
            </w: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29,728,652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2,489,118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2,261,685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19,455,533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$1,381,716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1,352,935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Non-current assets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3,041,401</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3,752,645</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2,353,991</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22,384,663</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3,083,659</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2,534,297</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21,228,691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898,661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1,108,292</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14,219,204</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149,498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783,682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785,724</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473,136</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802,823</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1,169,989</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137,736</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855,440</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attributable to</w:t>
            </w: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298,252</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2,309,983</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85,561</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350,206</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2,089,071</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(22,488)</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Equity attributable to Green</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Thumb Industries Inc.</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10,457,386</w:t>
            </w:r>
          </w:p>
        </w:tc>
        <w:tc>
          <w:tcPr>
            <w:tcW w:w="24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2,309,983</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2,619,001</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6,645,263</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2,089,070</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2,270,598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Following tables presents the summarized financial information about the Company’s VIEs which are included in the unaudited interim condensed consolidated statements of operations for the three and nine months ended September 30, 2020 and 2019:</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9"/>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1"/>
              </w:rPr>
              <w:t>September 30, 2020</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ind w:left="140"/>
              <w:spacing w:after="0" w:line="142" w:lineRule="exact"/>
              <w:rPr>
                <w:sz w:val="20"/>
                <w:szCs w:val="20"/>
                <w:color w:val="auto"/>
              </w:rPr>
            </w:pPr>
            <w:r>
              <w:rPr>
                <w:rFonts w:ascii="Arial" w:cs="Arial" w:eastAsia="Arial" w:hAnsi="Arial"/>
                <w:sz w:val="14"/>
                <w:szCs w:val="14"/>
                <w:b w:val="1"/>
                <w:bCs w:val="1"/>
                <w:color w:val="auto"/>
                <w:w w:val="94"/>
              </w:rPr>
              <w:t>September 30, 2019</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right"/>
              <w:ind w:right="260"/>
              <w:spacing w:after="0" w:line="119" w:lineRule="exact"/>
              <w:rPr>
                <w:sz w:val="20"/>
                <w:szCs w:val="20"/>
                <w:color w:val="auto"/>
              </w:rPr>
            </w:pPr>
            <w:r>
              <w:rPr>
                <w:rFonts w:ascii="Arial" w:cs="Arial" w:eastAsia="Arial" w:hAnsi="Arial"/>
                <w:sz w:val="13"/>
                <w:szCs w:val="13"/>
                <w:b w:val="1"/>
                <w:bCs w:val="1"/>
                <w:color w:val="auto"/>
              </w:rPr>
              <w:t>Chesapeake</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Illinois Disp, LLC</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Other Non-material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Chesapeake</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Illinois</w:t>
            </w:r>
          </w:p>
        </w:tc>
        <w:tc>
          <w:tcPr>
            <w:tcW w:w="60" w:type="dxa"/>
            <w:vAlign w:val="bottom"/>
          </w:tcPr>
          <w:p>
            <w:pPr>
              <w:spacing w:after="0"/>
              <w:rPr>
                <w:sz w:val="10"/>
                <w:szCs w:val="10"/>
                <w:color w:val="auto"/>
              </w:rPr>
            </w:pPr>
          </w:p>
        </w:tc>
        <w:tc>
          <w:tcPr>
            <w:tcW w:w="12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Other Non-material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Alternatives, LLC</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ind w:left="300"/>
              <w:spacing w:after="0"/>
              <w:rPr>
                <w:sz w:val="20"/>
                <w:szCs w:val="20"/>
                <w:color w:val="auto"/>
              </w:rPr>
            </w:pPr>
            <w:r>
              <w:rPr>
                <w:rFonts w:ascii="Arial" w:cs="Arial" w:eastAsia="Arial" w:hAnsi="Arial"/>
                <w:sz w:val="14"/>
                <w:szCs w:val="14"/>
                <w:b w:val="1"/>
                <w:bCs w:val="1"/>
                <w:color w:val="auto"/>
              </w:rPr>
              <w:t>VIEs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Alternatives, LLC</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7"/>
              </w:rPr>
              <w:t>Disp, LLC</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VIEs</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5,684,349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5,224,583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2,695,781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4,369,436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$1,620,065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w w:val="96"/>
              </w:rPr>
              <w:t>Net income (loss) attributable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to noncontrolling interests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26,134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897,494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185,452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1,807,394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185,930</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(1,624,850)</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income (loss) attributable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to Green Thumb Industries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1,033,650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897,494</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294,969</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(971,880)</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185,931</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1,059,653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1,059,784</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1,794,988</w:t>
            </w:r>
          </w:p>
        </w:tc>
        <w:tc>
          <w:tcPr>
            <w:tcW w:w="40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480,421</w:t>
            </w:r>
          </w:p>
        </w:tc>
        <w:tc>
          <w:tcPr>
            <w:tcW w:w="420" w:type="dxa"/>
            <w:vAlign w:val="bottom"/>
            <w:gridSpan w:val="3"/>
          </w:tcPr>
          <w:p>
            <w:pPr>
              <w:ind w:left="30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835,514</w:t>
            </w: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371,860</w:t>
            </w:r>
          </w:p>
        </w:tc>
        <w:tc>
          <w:tcPr>
            <w:tcW w:w="28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(565,197)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September 30, 2020</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September 30, 2019</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6"/>
          </w:tcPr>
          <w:p>
            <w:pPr>
              <w:ind w:left="180"/>
              <w:spacing w:after="0" w:line="119" w:lineRule="exact"/>
              <w:rPr>
                <w:sz w:val="20"/>
                <w:szCs w:val="20"/>
                <w:color w:val="auto"/>
              </w:rPr>
            </w:pPr>
            <w:r>
              <w:rPr>
                <w:rFonts w:ascii="Arial" w:cs="Arial" w:eastAsia="Arial" w:hAnsi="Arial"/>
                <w:sz w:val="13"/>
                <w:szCs w:val="13"/>
                <w:b w:val="1"/>
                <w:bCs w:val="1"/>
                <w:color w:val="auto"/>
              </w:rPr>
              <w:t>Chesapeake</w:t>
            </w:r>
          </w:p>
        </w:tc>
        <w:tc>
          <w:tcPr>
            <w:tcW w:w="80" w:type="dxa"/>
            <w:vAlign w:val="bottom"/>
          </w:tcPr>
          <w:p>
            <w:pPr>
              <w:spacing w:after="0"/>
              <w:rPr>
                <w:sz w:val="10"/>
                <w:szCs w:val="10"/>
                <w:color w:val="auto"/>
              </w:rPr>
            </w:pPr>
          </w:p>
        </w:tc>
        <w:tc>
          <w:tcPr>
            <w:tcW w:w="14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Illinois Disp, LLC</w:t>
            </w:r>
          </w:p>
        </w:tc>
        <w:tc>
          <w:tcPr>
            <w:tcW w:w="2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Other Non-material</w:t>
            </w:r>
          </w:p>
        </w:tc>
        <w:tc>
          <w:tcPr>
            <w:tcW w:w="2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5"/>
          </w:tcPr>
          <w:p>
            <w:pPr>
              <w:jc w:val="right"/>
              <w:ind w:right="520"/>
              <w:spacing w:after="0" w:line="119" w:lineRule="exact"/>
              <w:rPr>
                <w:sz w:val="20"/>
                <w:szCs w:val="20"/>
                <w:color w:val="auto"/>
              </w:rPr>
            </w:pPr>
            <w:r>
              <w:rPr>
                <w:rFonts w:ascii="Arial" w:cs="Arial" w:eastAsia="Arial" w:hAnsi="Arial"/>
                <w:sz w:val="13"/>
                <w:szCs w:val="13"/>
                <w:b w:val="1"/>
                <w:bCs w:val="1"/>
                <w:color w:val="auto"/>
              </w:rPr>
              <w:t>Chesapeake</w:t>
            </w:r>
          </w:p>
        </w:tc>
        <w:tc>
          <w:tcPr>
            <w:tcW w:w="20" w:type="dxa"/>
            <w:vAlign w:val="bottom"/>
          </w:tcPr>
          <w:p>
            <w:pPr>
              <w:spacing w:after="0"/>
              <w:rPr>
                <w:sz w:val="10"/>
                <w:szCs w:val="10"/>
                <w:color w:val="auto"/>
              </w:rPr>
            </w:pPr>
          </w:p>
        </w:tc>
        <w:tc>
          <w:tcPr>
            <w:tcW w:w="14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Illinois Disp, LLC</w:t>
            </w:r>
          </w:p>
        </w:tc>
        <w:tc>
          <w:tcPr>
            <w:tcW w:w="60" w:type="dxa"/>
            <w:vAlign w:val="bottom"/>
          </w:tcPr>
          <w:p>
            <w:pPr>
              <w:spacing w:after="0"/>
              <w:rPr>
                <w:sz w:val="10"/>
                <w:szCs w:val="10"/>
                <w:color w:val="auto"/>
              </w:rPr>
            </w:pPr>
          </w:p>
        </w:tc>
        <w:tc>
          <w:tcPr>
            <w:tcW w:w="12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Other Non-material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6"/>
          </w:tcPr>
          <w:p>
            <w:pPr>
              <w:spacing w:after="0"/>
              <w:rPr>
                <w:sz w:val="20"/>
                <w:szCs w:val="20"/>
                <w:color w:val="auto"/>
              </w:rPr>
            </w:pPr>
            <w:r>
              <w:rPr>
                <w:rFonts w:ascii="Arial" w:cs="Arial" w:eastAsia="Arial" w:hAnsi="Arial"/>
                <w:sz w:val="14"/>
                <w:szCs w:val="14"/>
                <w:b w:val="1"/>
                <w:bCs w:val="1"/>
                <w:color w:val="auto"/>
              </w:rPr>
              <w:t>Alternatives, LLC</w:t>
            </w:r>
          </w:p>
        </w:tc>
        <w:tc>
          <w:tcPr>
            <w:tcW w:w="8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VIEs</w:t>
            </w:r>
          </w:p>
        </w:tc>
        <w:tc>
          <w:tcPr>
            <w:tcW w:w="60" w:type="dxa"/>
            <w:vAlign w:val="bottom"/>
          </w:tcPr>
          <w:p>
            <w:pPr>
              <w:spacing w:after="0"/>
              <w:rPr>
                <w:sz w:val="14"/>
                <w:szCs w:val="14"/>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Alternatives, LLC</w:t>
            </w:r>
          </w:p>
        </w:tc>
        <w:tc>
          <w:tcPr>
            <w:tcW w:w="2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VIEs</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14,792,710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13,170,514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6,778,501</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   12,458,427</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4,174,045</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2,373,042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attributable to</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206,929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2,170,912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319,511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2,244,546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506,972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(2,307,097)</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Green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Thumb Industries Inc.</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3,812,121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2,170,913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661,341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506,972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4,019,050</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4,341,825</w:t>
            </w:r>
          </w:p>
        </w:tc>
        <w:tc>
          <w:tcPr>
            <w:tcW w:w="100" w:type="dxa"/>
            <w:vAlign w:val="bottom"/>
          </w:tcPr>
          <w:p>
            <w:pPr>
              <w:spacing w:after="0"/>
              <w:rPr>
                <w:sz w:val="24"/>
                <w:szCs w:val="24"/>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980,852</w:t>
            </w:r>
          </w:p>
        </w:tc>
        <w:tc>
          <w:tcPr>
            <w:tcW w:w="40" w:type="dxa"/>
            <w:vAlign w:val="bottom"/>
          </w:tcPr>
          <w:p>
            <w:pPr>
              <w:spacing w:after="0"/>
              <w:rPr>
                <w:sz w:val="24"/>
                <w:szCs w:val="24"/>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2,244,546</w:t>
            </w:r>
          </w:p>
        </w:tc>
        <w:tc>
          <w:tcPr>
            <w:tcW w:w="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1,013,943</w:t>
            </w:r>
          </w:p>
        </w:tc>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(2,307,097)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As of September 30, 2020, and December 31, 2019, VIEs included in the Other Non-material VIEs are Bluepoint Wellness of Westport LLC and Meshow, LLC. As of September 30, 2019, VIEs included in the Other Non-material VIEs are Meshow, LLC, KW Ventures Holdings, LLC and Ohio Investors 2017, LLC. All of these entities were determined to be VIEs as the Company possesses the power to direct activities through management services agreements.</w:t>
      </w:r>
    </w:p>
    <w:p>
      <w:pPr>
        <w:spacing w:after="0" w:line="331"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70" w:right="439" w:bottom="1440" w:gutter="0" w:footer="0" w:header="0"/>
        </w:sectPr>
      </w:pPr>
    </w:p>
    <w:bookmarkStart w:id="32" w:name="page33"/>
    <w:bookmarkEnd w:id="3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7" w:lineRule="exact"/>
        <w:rPr>
          <w:sz w:val="20"/>
          <w:szCs w:val="20"/>
          <w:color w:val="auto"/>
        </w:rPr>
      </w:pPr>
    </w:p>
    <w:p>
      <w:pPr>
        <w:jc w:val="both"/>
        <w:ind w:left="2664"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below table presents revenues by type for the three and nine months ended September 30, 2020 and 2019:</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 Net of Discounts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74,702,069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35,093,858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177,355,614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71,651,968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111,948,115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43,532,286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275,451,137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85,501,646</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(29,546,343)</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(10,635,237)</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(73,460,384)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(16,522,767)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157,103,841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67,990,907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379,346,367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140,630,847</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10,029,857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7,226,614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33,089,808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16,100,635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1,505,019</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687,199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5,309,152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1,428,256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11,534,876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7,913,813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38,479,960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17,528,891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Taxes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12,928,449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1,072,333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23,553,449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1,761,333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15,507.883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5,128,000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33,410,598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9,028,000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Intersegment Eliminations and Corporate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(2,576,000)</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(6,083,333)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28,436,332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3,624,333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56,964,047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4,706,000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Goodwill assigned to the Consumer Packaged Goods segment as of September 30, 2020 and December 31, 2019 was $252,016,532 and $255,211,232, respectively. Intangible assets, net assigned to the Consumer Packaged Goods segment as of September 30, 2020 and December 31, 2019 was $215,986,854 and $228,244,254, respectively.</w:t>
      </w:r>
    </w:p>
    <w:p>
      <w:pPr>
        <w:spacing w:after="0" w:line="184"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Goodwill assigned to the Retail segment as of September 30, 2020 and December 31, 2019 was $121,065,184 and $119,873,759, respectively. Intangible assets, net assigned to the Retail segment as of September 30, 2020 and December 31, 2019 was $193,668,663 and $207,002,644, respectively.</w:t>
      </w:r>
    </w:p>
    <w:p>
      <w:pPr>
        <w:spacing w:after="0" w:line="124"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The Company’s assets are aggregated into two reportable segments (Retail and Consumer Packaged Goods). For the purposes of testing goodwill, Green Thumb has identified 22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0"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2. MANAGEMENT DISCUSSION AND ANALYSIS OF FINANCIAL CONDITION AND RESULTS OF OPERATION</w:t>
      </w:r>
    </w:p>
    <w:p>
      <w:pPr>
        <w:spacing w:after="0" w:line="121"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This management discussion and analysis (“MD&amp;A”) of the financial condition and results of operations of Green Thumb Industries Inc. (the “Company” or “Green Thumb”) is for the three and nine months ended September 30, 2020 and 2019. It is supplemental to, and should be read in conjunction with, the Company’s unaudited interim condensed consolidated financial statements as of September 30, 2020 and the consolidated financial statements for the year ended December 31, 2019 included in the Company’s Annual Report on Form 10-K for the year ended December 31, 2019 filed with the U.S. Securities Exchange Commission on April 15, 2019 (the “2019 Form 10-K”) and the accompanying notes for each respective periods. The Company’s financial statements are prepared in accordance with accounting principles generally accepted in the United States of America (“GAAP”). Financial information presented in this MD&amp;A is presented in United States dollars (“$” or “US$”), unless otherwise indicated.</w:t>
      </w:r>
    </w:p>
    <w:p>
      <w:pPr>
        <w:spacing w:after="0" w:line="16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and in Part II, Item 1A, “Risk Factors.” As a result of many factors, the Company’s actual results may differ materially from those anticipated in these forward-looking statements and information.</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11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 in the face of this pandemic and other events.</w:t>
      </w:r>
    </w:p>
    <w:p>
      <w:pPr>
        <w:spacing w:after="0" w:line="187"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The Company’s priorities during the COVID-19 pandemic are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 However, given the Company’s operations have to date been deemed “essential” services in the states in which it does business, the Company believes that there will continue to be strong demand for Green Thumb products.</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Operations of the Company are currently ongoing as the cultivation, processing and sale of cannabis products is currently considered an “essential” business by all states in which the Company operates with respect to all customers. The Company’s ability to continue to operate without any significant negative operational impact from the COVID-19 pandemic will in part depend on the Company’s ability to protect its employees, customers and supply chain and its continued designation as “essential” in states where it does business that currently or in the future impose restrictions on business operations.</w:t>
      </w:r>
    </w:p>
    <w:p>
      <w:pPr>
        <w:spacing w:after="0" w:line="18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The pandemic has not materially impacted the Company’s business operations or liquidity position to date. The Company continues to generate operating cash flows to meet its short-term liquidity needs. In all locations where applicable regulations limiting in-store retail activity have been enacted by governmental authorities, the Company has expanded consumer delivery options and curbside pickup to help further protect the health and safety of Green Thumb employees and customers.</w:t>
      </w:r>
    </w:p>
    <w:p>
      <w:pPr>
        <w:spacing w:after="0" w:line="187"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While during the first nine months of 2020 the Company’s revenue, gross profit and operating income were not negatively impacted by COVID-19 and the Company generally maintained the consistency of its operations, the uncertain nature of the spread of COVID-19 may impact its business operations for reasons including the potential quarantine of Green Thumb employees or those of its supply chain partners and our designation as “essential” in states where we do business that currently or in the future impose restrictions on business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34" w:name="page35"/>
    <w:bookmarkEnd w:id="34"/>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additional information on risk factors related to the pandemic or other risks that could impact Green Thumb’s results, please refer to “Risk Factors” in Part II, Item 1A of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12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Established in 2014 and headquartered in Chicago, Illinois, Green Thumb is promoting well-being through the power of cannabis, while being committed to community and sustainable profitable growth. As of September 30, 2020, Green Thumb has operations across 12 U.S. markets, employs approximately 2,000 people and serves hundreds of thousands of patients and customers quarterly.</w:t>
      </w:r>
    </w:p>
    <w:p>
      <w:pPr>
        <w:spacing w:after="0" w:line="184"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Green Thumb’s core business is manufacturing, distributing and marketing a portfolio of owned cannabis consumer packaged goods brands (which we refer to as our Consumer Packaged Goods business), including Beboe, Dogwalkers, Dr. Solomon’s, incredibles, Rhythm, and The Feel Collection. The Company distributes and markets these products primarily to third-party licensed retail cannabis stores across the United States as well as to Green Thumb-owned retail stores (which we refer to as our Retail business).</w:t>
      </w:r>
    </w:p>
    <w:p>
      <w:pPr>
        <w:spacing w:after="0" w:line="171"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The Company’s Consumer Packaged Goods portfolio is primarily generated from plant material that Green Thumb grows and processes itself, which we use to produce our consumer packaged goods in 13 manufacturing facilities. This portfolio consists of stock keeping units (“SKUs”)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retail locations throughout the 12 U.S. markets Green Thumb operates including Green Thumb’s own Rise and Essence dispensaries.</w:t>
      </w:r>
    </w:p>
    <w:p>
      <w:pPr>
        <w:spacing w:after="0" w:line="16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Green Thumb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Green Thumb’s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eight of the states in which we operate (including Nevada). The Essence stores were acquired in connection with the 2019 acquisition of Integral Associates and are located in Nevada. The Essence stores differ from the Rise stores mainly in geographic location. As of September 30, 2020, the Company had 48 open and operating retail locations. The Company’s new store opening plans will remain fluid depending on market conditions, obtaining local licensing, construction and other permissions and subject to the Company’s capital allocation plans and the evolving situation with respect to the COVID-19 as described above and under the heading “Liquidity, Financing Activities During the Period, and Capital Resources”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Streams</w:t>
      </w:r>
    </w:p>
    <w:p>
      <w:pPr>
        <w:spacing w:after="0" w:line="121"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24"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As of September 30, 2020, Green Thumb has revenue in its 12 markets (California, Colorado, Connecticut, Florida, Illinois, Maryland, Massachusetts, Nevada, New Jersey, New York, Ohio and Pennsylvania).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35" w:name="page36"/>
    <w:bookmarkEnd w:id="35"/>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Results of Operations – Consolidated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sets forth the Company’s selected consolidated financial data for the periods, and as of the dates, indicated. The</w:t>
      </w:r>
    </w:p>
    <w:p>
      <w:pPr>
        <w:spacing w:after="0" w:line="23" w:lineRule="exact"/>
        <w:rPr>
          <w:sz w:val="20"/>
          <w:szCs w:val="20"/>
          <w:color w:val="auto"/>
        </w:rPr>
      </w:pPr>
    </w:p>
    <w:p>
      <w:pPr>
        <w:ind w:left="4" w:right="200" w:hanging="4"/>
        <w:spacing w:after="0" w:line="255" w:lineRule="auto"/>
        <w:tabs>
          <w:tab w:leader="none" w:pos="2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consolidated statements of operations for the three and nine months ended September 30, 2020 and 2019 and (ii) consolidated balance sheet data as of September 30, 2020 and December 31, 2019 have been derived from, and should be read in conjunction with the unaudited interim condensed consolidated financial statements and accompanying notes presented in Item 1 of this Report.</w:t>
      </w:r>
    </w:p>
    <w:p>
      <w:pPr>
        <w:spacing w:after="0" w:line="190" w:lineRule="exact"/>
        <w:rPr>
          <w:sz w:val="20"/>
          <w:szCs w:val="20"/>
          <w:color w:val="auto"/>
        </w:rPr>
      </w:pPr>
    </w:p>
    <w:p>
      <w:pPr>
        <w:jc w:val="both"/>
        <w:ind w:left="4" w:right="60" w:firstLine="991"/>
        <w:spacing w:after="0" w:line="342" w:lineRule="auto"/>
        <w:rPr>
          <w:sz w:val="20"/>
          <w:szCs w:val="20"/>
          <w:color w:val="auto"/>
        </w:rPr>
      </w:pPr>
      <w:r>
        <w:rPr>
          <w:rFonts w:ascii="Arial" w:cs="Arial" w:eastAsia="Arial" w:hAnsi="Arial"/>
          <w:sz w:val="16"/>
          <w:szCs w:val="16"/>
          <w:color w:val="auto"/>
        </w:rPr>
        <w:t>The Company’s unaudited interim condensed consolidated financial statements have been prepared in accordance with U.S. GAAP and on a going-concern basis that contemplates continuity of operations and realization of assets and liquidation of liabilities in the ordinary course of business.</w:t>
      </w:r>
    </w:p>
    <w:p>
      <w:pPr>
        <w:spacing w:after="0" w:line="14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As of and for the</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17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center"/>
              <w:ind w:left="38"/>
              <w:spacing w:after="0" w:line="119" w:lineRule="exact"/>
              <w:rPr>
                <w:sz w:val="20"/>
                <w:szCs w:val="20"/>
                <w:color w:val="auto"/>
              </w:rPr>
            </w:pPr>
            <w:r>
              <w:rPr>
                <w:rFonts w:ascii="Arial" w:cs="Arial" w:eastAsia="Arial" w:hAnsi="Arial"/>
                <w:sz w:val="13"/>
                <w:szCs w:val="13"/>
                <w:b w:val="1"/>
                <w:bCs w:val="1"/>
                <w:color w:val="auto"/>
              </w:rPr>
              <w:t>Three Months Ended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5"/>
          </w:tcPr>
          <w:p>
            <w:pPr>
              <w:jc w:val="right"/>
              <w:ind w:right="433"/>
              <w:spacing w:after="0" w:line="119"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0"/>
                <w:szCs w:val="10"/>
                <w:color w:val="auto"/>
              </w:rPr>
            </w:pPr>
          </w:p>
        </w:tc>
      </w:tr>
      <w:tr>
        <w:trPr>
          <w:trHeight w:val="171"/>
        </w:trPr>
        <w:tc>
          <w:tcPr>
            <w:tcW w:w="17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left="58"/>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98"/>
              </w:rPr>
              <w:t>September 30,</w:t>
            </w:r>
          </w:p>
        </w:tc>
      </w:tr>
      <w:tr>
        <w:trPr>
          <w:trHeight w:val="142"/>
        </w:trPr>
        <w:tc>
          <w:tcPr>
            <w:tcW w:w="17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5"/>
          </w:tcPr>
          <w:p>
            <w:pPr>
              <w:ind w:left="42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4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1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8"/>
              </w:rPr>
              <w:t>$157,103,841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9"/>
              </w:rPr>
              <w:t>$ 67,990,907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379,346,367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140,630,847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Cost of Goods Sold, net</w:t>
            </w:r>
          </w:p>
        </w:tc>
        <w:tc>
          <w:tcPr>
            <w:tcW w:w="2500" w:type="dxa"/>
            <w:vAlign w:val="bottom"/>
            <w:gridSpan w:val="6"/>
          </w:tcPr>
          <w:p>
            <w:pPr>
              <w:ind w:left="1360"/>
              <w:spacing w:after="0"/>
              <w:rPr>
                <w:sz w:val="20"/>
                <w:szCs w:val="20"/>
                <w:color w:val="auto"/>
              </w:rPr>
            </w:pPr>
            <w:r>
              <w:rPr>
                <w:rFonts w:ascii="Arial" w:cs="Arial" w:eastAsia="Arial" w:hAnsi="Arial"/>
                <w:sz w:val="18"/>
                <w:szCs w:val="18"/>
                <w:color w:val="auto"/>
                <w:w w:val="95"/>
              </w:rPr>
              <w:t>$ (70,146,676)</w:t>
            </w:r>
          </w:p>
        </w:tc>
        <w:tc>
          <w:tcPr>
            <w:tcW w:w="1180" w:type="dxa"/>
            <w:vAlign w:val="bottom"/>
            <w:gridSpan w:val="7"/>
          </w:tcPr>
          <w:p>
            <w:pPr>
              <w:ind w:left="80"/>
              <w:spacing w:after="0"/>
              <w:rPr>
                <w:sz w:val="20"/>
                <w:szCs w:val="20"/>
                <w:color w:val="auto"/>
              </w:rPr>
            </w:pPr>
            <w:r>
              <w:rPr>
                <w:rFonts w:ascii="Arial" w:cs="Arial" w:eastAsia="Arial" w:hAnsi="Arial"/>
                <w:sz w:val="18"/>
                <w:szCs w:val="18"/>
                <w:color w:val="auto"/>
                <w:w w:val="96"/>
              </w:rPr>
              <w:t>$(35,849,783)</w:t>
            </w: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(175,707,874)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(74,196,750)</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3"/>
              </w:rPr>
              <w:t>86,957,165</w:t>
            </w:r>
          </w:p>
        </w:tc>
        <w:tc>
          <w:tcPr>
            <w:tcW w:w="1180" w:type="dxa"/>
            <w:vAlign w:val="bottom"/>
            <w:gridSpan w:val="7"/>
            <w:shd w:val="clear" w:color="auto" w:fill="CCEEFF"/>
          </w:tcPr>
          <w:p>
            <w:pPr>
              <w:ind w:left="80"/>
              <w:spacing w:after="0"/>
              <w:rPr>
                <w:sz w:val="20"/>
                <w:szCs w:val="20"/>
                <w:color w:val="auto"/>
              </w:rPr>
            </w:pPr>
            <w:r>
              <w:rPr>
                <w:rFonts w:ascii="Arial" w:cs="Arial" w:eastAsia="Arial" w:hAnsi="Arial"/>
                <w:sz w:val="18"/>
                <w:szCs w:val="18"/>
                <w:color w:val="auto"/>
              </w:rPr>
              <w:t>$ 32,141,124</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203,638,493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66,434,097</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5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w w:val="93"/>
              </w:rPr>
              <w:t>49,745,979</w:t>
            </w:r>
          </w:p>
        </w:tc>
        <w:tc>
          <w:tcPr>
            <w:tcW w:w="1180" w:type="dxa"/>
            <w:vAlign w:val="bottom"/>
            <w:gridSpan w:val="7"/>
          </w:tcPr>
          <w:p>
            <w:pPr>
              <w:ind w:left="80"/>
              <w:spacing w:after="0"/>
              <w:rPr>
                <w:sz w:val="20"/>
                <w:szCs w:val="20"/>
                <w:color w:val="auto"/>
              </w:rPr>
            </w:pPr>
            <w:r>
              <w:rPr>
                <w:rFonts w:ascii="Arial" w:cs="Arial" w:eastAsia="Arial" w:hAnsi="Arial"/>
                <w:sz w:val="18"/>
                <w:szCs w:val="18"/>
                <w:color w:val="auto"/>
              </w:rPr>
              <w:t>$ 30,764,406</w:t>
            </w: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144,823,947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88,013,769</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1,978,155</w:t>
            </w:r>
          </w:p>
        </w:tc>
        <w:tc>
          <w:tcPr>
            <w:tcW w:w="1180" w:type="dxa"/>
            <w:vAlign w:val="bottom"/>
            <w:gridSpan w:val="7"/>
            <w:shd w:val="clear" w:color="auto" w:fill="CCEEFF"/>
          </w:tcPr>
          <w:p>
            <w:pPr>
              <w:ind w:left="80"/>
              <w:spacing w:after="0"/>
              <w:rPr>
                <w:sz w:val="20"/>
                <w:szCs w:val="20"/>
                <w:color w:val="auto"/>
              </w:rPr>
            </w:pPr>
            <w:r>
              <w:rPr>
                <w:rFonts w:ascii="Arial" w:cs="Arial" w:eastAsia="Arial" w:hAnsi="Arial"/>
                <w:sz w:val="18"/>
                <w:szCs w:val="18"/>
                <w:color w:val="auto"/>
                <w:w w:val="96"/>
              </w:rPr>
              <w:t>$(12,090,321)</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(6,624,987)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(18,431,422)</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 Attributable to Green Thumb</w:t>
            </w:r>
          </w:p>
        </w:tc>
        <w:tc>
          <w:tcPr>
            <w:tcW w:w="15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9,643,929</w:t>
            </w:r>
          </w:p>
        </w:tc>
        <w:tc>
          <w:tcPr>
            <w:tcW w:w="1180" w:type="dxa"/>
            <w:vAlign w:val="bottom"/>
            <w:gridSpan w:val="7"/>
          </w:tcPr>
          <w:p>
            <w:pPr>
              <w:ind w:left="80"/>
              <w:spacing w:after="0"/>
              <w:rPr>
                <w:sz w:val="20"/>
                <w:szCs w:val="20"/>
                <w:color w:val="auto"/>
              </w:rPr>
            </w:pPr>
            <w:r>
              <w:rPr>
                <w:rFonts w:ascii="Arial" w:cs="Arial" w:eastAsia="Arial" w:hAnsi="Arial"/>
                <w:sz w:val="18"/>
                <w:szCs w:val="18"/>
                <w:color w:val="auto"/>
                <w:w w:val="96"/>
              </w:rPr>
              <w:t>$(14,590,793)</w:t>
            </w: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(7,471,840)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(45,045,898)</w:t>
            </w:r>
          </w:p>
        </w:tc>
      </w:tr>
      <w:tr>
        <w:trPr>
          <w:trHeight w:val="377"/>
        </w:trPr>
        <w:tc>
          <w:tcPr>
            <w:tcW w:w="1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As of</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17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2"/>
                <w:szCs w:val="12"/>
                <w:color w:val="auto"/>
              </w:rPr>
            </w:pPr>
          </w:p>
        </w:tc>
        <w:tc>
          <w:tcPr>
            <w:tcW w:w="122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93"/>
              </w:rPr>
              <w:t>December 31, 2019</w:t>
            </w:r>
          </w:p>
        </w:tc>
        <w:tc>
          <w:tcPr>
            <w:tcW w:w="6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176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4"/>
            <w:shd w:val="clear" w:color="auto" w:fill="CCEEFF"/>
          </w:tcPr>
          <w:p>
            <w:pPr>
              <w:ind w:left="80"/>
              <w:spacing w:after="0"/>
              <w:rPr>
                <w:sz w:val="20"/>
                <w:szCs w:val="20"/>
                <w:color w:val="auto"/>
              </w:rPr>
            </w:pPr>
            <w:r>
              <w:rPr>
                <w:rFonts w:ascii="Arial" w:cs="Arial" w:eastAsia="Arial" w:hAnsi="Arial"/>
                <w:sz w:val="18"/>
                <w:szCs w:val="18"/>
                <w:color w:val="auto"/>
                <w:w w:val="86"/>
              </w:rPr>
              <w:t>1,254,614,447</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right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88"/>
              </w:rPr>
              <w:t>1,167,536,624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76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Long-Term Liabilities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500" w:type="dxa"/>
            <w:vAlign w:val="bottom"/>
            <w:gridSpan w:val="5"/>
          </w:tcPr>
          <w:p>
            <w:pPr>
              <w:jc w:val="right"/>
              <w:ind w:right="308"/>
              <w:spacing w:after="0"/>
              <w:rPr>
                <w:sz w:val="20"/>
                <w:szCs w:val="20"/>
                <w:color w:val="auto"/>
              </w:rPr>
            </w:pPr>
            <w:r>
              <w:rPr>
                <w:rFonts w:ascii="Arial" w:cs="Arial" w:eastAsia="Arial" w:hAnsi="Arial"/>
                <w:sz w:val="18"/>
                <w:szCs w:val="18"/>
                <w:color w:val="auto"/>
              </w:rPr>
              <w:t>268,639,338</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212,960,693</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95" w:lineRule="exact"/>
        <w:rPr>
          <w:sz w:val="20"/>
          <w:szCs w:val="20"/>
          <w:color w:val="auto"/>
        </w:rPr>
      </w:pPr>
    </w:p>
    <w:p>
      <w:pPr>
        <w:ind w:left="4" w:right="354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September 30, 2020 Compared to the Three Months Ended September 30, 2019 </w:t>
      </w:r>
      <w:r>
        <w:rPr>
          <w:rFonts w:ascii="Arial" w:cs="Arial" w:eastAsia="Arial" w:hAnsi="Arial"/>
          <w:sz w:val="18"/>
          <w:szCs w:val="18"/>
          <w:i w:val="1"/>
          <w:iCs w:val="1"/>
          <w:color w:val="auto"/>
        </w:rPr>
        <w:t>Revenues, net of Discounts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Revenue for the three months ended September 30, 2020 was $157,103,841, up 131% from $67,990,907 for the three months ended September 30, 2019</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driven by contributions from both Retail and Consumer Packaged Goods, largely due to growth in Illinois and Pennsylvania. Key performance drivers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are: increased store traffic to Green Thumb’s open and operating retail stores, particularly in Illinois and Pennsylvania. The Company generated revenue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from 48 Retail locations during the quarter compared to 32 in the same quarter of the prior year. During the three months ended September 30, 2020,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Company did not open any new stores whereas during the same period in 2019, the Company opened 4 stores and acquired 3 stores. Since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September 30, 2019, the Company acquired one retail store in Connecticut that contributed to the increase in Retail revenues and opened 15 new Retail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locations in Pennsylvania, Florida, Illinois, Ohio, Nevada, Connecticut and New Jersey.</w:t>
      </w:r>
    </w:p>
    <w:p>
      <w:pPr>
        <w:spacing w:after="0" w:line="211"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The key driver for the Consumer Packaged Goods revenue increase was the expansion of sales of Green Thumb’s branded product portfolio to third-party retailers through the Company’s existing Consumer Packaged Goods cultivation and processing facilities in Illinois, Pennsylvania, Massachusetts, Nevada and Maryland due to increased scale and efficiency.</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three months ended September 30, 2020 was $70,146,676, up 96% from $35,849,783 for the three months ended September 30, 2019, driven by increased volume in open and operating retail stores; new retail store openings in Illinois and Pennsylvania and expansion of the consumer products sales in Illinois, Pennsylvania, Massachusetts, Nevada and Maryland as described above.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4"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Gross Profit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Gross profit for the three months ended September 30, 2020 was $86,957,165, representing a gross margin on the sale of branded cannabis flower and processed and packaged products including concentrates, edibles, topicals and other cannabis products, of 55%. This is compared to gross profit for the three months ended September 30, 2019 of $32,141,124 or a 47% gross margin. The Company’s increase in gross margin percentage was mainly attributed to expanded capacity in the Company’s Consumer Packaged Goods segment. The increase in gross profit (dollars) was directly attributable to the revenue increase as described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Total expenses for the three months ended September 30, 2020 were $49,745,979 or 32% of total revenues, net of discounts, resulting in an increase of $18,981,573. Total expenses for the three months ended September 30, 2019 were $30,764,406 or 45% of total revenues, net of discounts.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total expenses was attributable to Retail salaries and benefits, depreciation expense and other operational and facility expenses mainly as a result of the Company’s addition of 16 new and acquired retail facilities over the prior year period. In addition, an increase in intangible amortization expense, corporate staff salaries and non-cash equity incentive compensation expense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other income (expense) for three months ended September 30, 2020 was $1,978,155, an increase of $14,068,476, mainly due to favorable fair value adjustments recorded in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operating income before provision for income taxes and non-controlling interest for three months ended September 30, 2020 was $39,189,341, an increase of $49,902,944 compared to the three months ended September 30, 2019.</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As presented under the heading “Non-GAAP Measures” below, after adjusting for non-cash equity incentive compensation of $4,435,634, adjusted operating EBITDA was $53,181,696 and $13,786,391 for the three months ended September 30, 2020 and 2019,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or substantively enacted at year-end. For the three months ended September 30, 2020, federal and state income tax expense totaled $(28,436,332) compared to expense of $(3,624,333) for the three months ended September 30, 2019.</w:t>
      </w:r>
    </w:p>
    <w:p>
      <w:pPr>
        <w:spacing w:after="0" w:line="184"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effective tax rate for the three months ended September 30, 2020 varies widely from the three months ended September 30, 2019 primarily due to the change from pre-tax loss in 2019 to pre-tax income in 2020. The large amount of nondeductible expenses incurred by the Company being subjected to Internal Revenue Code (“IRC”) Section 280E, was the driver for income tax expense being incurred in a pre-tax loss quarter for 2019.</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37" w:name="page38"/>
    <w:bookmarkEnd w:id="37"/>
    <w:p>
      <w:pPr>
        <w:ind w:right="3740"/>
        <w:spacing w:after="0" w:line="402"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Nine Months Ended September 30, 2020 Compared with Nine Months Ended September 30, 2019 </w:t>
      </w:r>
      <w:r>
        <w:rPr>
          <w:rFonts w:ascii="Arial" w:cs="Arial" w:eastAsia="Arial" w:hAnsi="Arial"/>
          <w:sz w:val="18"/>
          <w:szCs w:val="18"/>
          <w:i w:val="1"/>
          <w:iCs w:val="1"/>
          <w:color w:val="auto"/>
        </w:rPr>
        <w:t>Revenue, net of Discounts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for the nine months ended September 30, 2020 was $379,346,367 up 170% from $140,630,847 for the nine months ended September 30, 2019 driven by contributions from both Retail and Consumer Packaged Goods, largely due to growth in Illinois and Pennsylvania. Key performance drivers are: increased store traffic to Green Thumb’s open and operating retail stores, particularly in Illinois and Pennsylvania. The Company generated revenue from 48 Retail locations during the quarter compared to 32 in the prior year. During the nine months ended September 30, 2020, the Company opened 9 new stores as compared to 11 new stores opened and 7 stores acquired during the same period in 2019. Since September 30, 2019, the Company acquired one retail store in Connecticut and opened 15 new Retail locations in Pennsylvania, Florida, Illinois, Ohio, Nevada, Connecticut, and New Jersey.</w:t>
      </w:r>
    </w:p>
    <w:p>
      <w:pPr>
        <w:spacing w:after="0" w:line="19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key drivers for the Consumer Packaged Goods revenue increase was the expansion of Green Thumb’s branded product portfolio to third-party retailers through the Company’s existing Consumer Packaged Goods cultivation and processing facilities in Illinois, Pennsylvania, Nevada, Massachusetts and Connecticut due to increased scale and efficiency.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Cost of goods sold for the nine months ended September 30, 2020 was $175,707,874, up 137% from $101,511,125 for the nine months ended September 30, 2019, driven by increased volume in open and operating retail stores; new retail store openings in Illinois, Pennsylvania and Nevada; and expansion of the consumer products sales in Illinois, Pennsylvania, Nevada, Massachusetts and Connecticut.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Gross profit for the nine months ended September 30, 2020 was $203,638,493, representing a gross margin on the sale of finished cannabis consumer packaged goods of 54%. This is compared to gross profit for the nine months ended September 30, 2019 of $66,434,097 or a 47% gross margin. The Company’s increase in gross margin percentage was mainly attributed to an overall increase in Retail sales as a proportion of total sales. In addition, Consumer Packaged Goods also contributed to the increase in gross profit through expanded capacity. The increase in gross profit was directly attributable to the revenue increase as further described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expenses for the nine months ended September 30, 2020 were $144,823,947 or 38% of total revenues, net of discounts. Total expenses for the nine months ended September 30, 2019 were $88,013,769 or 63% of Total Revenues, net of discounts.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increase in total expenses was attributable to retail salaries and benefits, depreciation expense and other operational and facility expenses mainly as a result of the Company’s new and acquired retail facilities. In addition, an increase in intangible amortization expense, back-office personnel costs and non-cash equity incentive compensation expense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Total Other Income (Expense)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other expense for the nine months ended September 30, 2020 was ($6,624,987), compared to expense of ($18,431,422), for the nine months ended September 30, 2019, mainly due to favorable fair value adjustments recorded in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operating income before provision for income taxes and non-controlling interest for the nine months ended September 30, 2020 was $52,189,559 compared to loss of ($40,011,094) for the nine months ended September 30, 2019.</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As presented under “Non-GAAP Measures” below, after adjusting for non-cash equity incentive compensation of $15,209,520 as described above, as well as other non-operating items, adjusted operating EBITDA was $114,139,331 and $13,955,329 for the nine months ended September 30, 2020 and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the nine months ended September 30, 2020, federal and state income tax expense totaled $56,964,047 compared to $4,706,000 for the nine months ended September 30, 2019.</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net expense of $56,964,047 for the nine months ended September 30, 2020 includes current tax expense of $52,587,047 and deferred tax expense of $4,377,000 in the current period. The deferred tax benefit is mainly driven by changes in the fair value of investments and amortization of intangibles.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 by Segment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revenues net of sales discounts by segment for the three and nine months ended September 30, 2020 and 2019:</w:t>
      </w:r>
    </w:p>
    <w:p>
      <w:pPr>
        <w:spacing w:after="0" w:line="267"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4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2"/>
              </w:rPr>
              <w:t>Three Months Ended September 30,</w:t>
            </w:r>
          </w:p>
        </w:tc>
        <w:tc>
          <w:tcPr>
            <w:tcW w:w="160" w:type="dxa"/>
            <w:vAlign w:val="bottom"/>
          </w:tcPr>
          <w:p>
            <w:pPr>
              <w:spacing w:after="0"/>
              <w:rPr>
                <w:sz w:val="14"/>
                <w:szCs w:val="14"/>
                <w:color w:val="auto"/>
              </w:rPr>
            </w:pPr>
          </w:p>
        </w:tc>
        <w:tc>
          <w:tcPr>
            <w:tcW w:w="1000" w:type="dxa"/>
            <w:vAlign w:val="bottom"/>
            <w:vMerge w:val="restart"/>
          </w:tcPr>
          <w:p>
            <w:pPr>
              <w:jc w:val="right"/>
              <w:ind w:right="156"/>
              <w:spacing w:after="0"/>
              <w:rPr>
                <w:sz w:val="20"/>
                <w:szCs w:val="20"/>
                <w:color w:val="auto"/>
              </w:rPr>
            </w:pPr>
            <w:r>
              <w:rPr>
                <w:rFonts w:ascii="Arial" w:cs="Arial" w:eastAsia="Arial" w:hAnsi="Arial"/>
                <w:sz w:val="14"/>
                <w:szCs w:val="14"/>
                <w:color w:val="auto"/>
              </w:rPr>
              <w:t>$ Change</w:t>
            </w:r>
          </w:p>
        </w:tc>
        <w:tc>
          <w:tcPr>
            <w:tcW w:w="360" w:type="dxa"/>
            <w:vAlign w:val="bottom"/>
            <w:vMerge w:val="restart"/>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1"/>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74,702,069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35,093,857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$ 39,608,212</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111,948,115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43,532,288</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68,415,827</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(29,546,343)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(10,635,238)</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(18,911,105)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 Net of Discounts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157,103,841</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67,990,907</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89,112,934</w:t>
            </w:r>
          </w:p>
        </w:tc>
        <w:tc>
          <w:tcPr>
            <w:tcW w:w="360" w:type="dxa"/>
            <w:vAlign w:val="bottom"/>
            <w:vMerge w:val="continue"/>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3"/>
              </w:rPr>
              <w:t>Nine Months Ended September 30,</w:t>
            </w:r>
          </w:p>
        </w:tc>
        <w:tc>
          <w:tcPr>
            <w:tcW w:w="160" w:type="dxa"/>
            <w:vAlign w:val="bottom"/>
          </w:tcPr>
          <w:p>
            <w:pPr>
              <w:spacing w:after="0"/>
              <w:rPr>
                <w:sz w:val="24"/>
                <w:szCs w:val="24"/>
                <w:color w:val="auto"/>
              </w:rPr>
            </w:pPr>
          </w:p>
        </w:tc>
        <w:tc>
          <w:tcPr>
            <w:tcW w:w="1000" w:type="dxa"/>
            <w:vAlign w:val="bottom"/>
            <w:vMerge w:val="restart"/>
          </w:tcPr>
          <w:p>
            <w:pPr>
              <w:jc w:val="right"/>
              <w:ind w:right="156"/>
              <w:spacing w:after="0"/>
              <w:rPr>
                <w:sz w:val="20"/>
                <w:szCs w:val="20"/>
                <w:color w:val="auto"/>
              </w:rPr>
            </w:pPr>
            <w:r>
              <w:rPr>
                <w:rFonts w:ascii="Arial" w:cs="Arial" w:eastAsia="Arial" w:hAnsi="Arial"/>
                <w:sz w:val="14"/>
                <w:szCs w:val="14"/>
                <w:color w:val="auto"/>
              </w:rPr>
              <w:t>$ Change</w:t>
            </w:r>
          </w:p>
        </w:tc>
        <w:tc>
          <w:tcPr>
            <w:tcW w:w="360" w:type="dxa"/>
            <w:vAlign w:val="bottom"/>
            <w:vMerge w:val="restart"/>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1"/>
              </w:rPr>
              <w:t>% Change</w:t>
            </w:r>
          </w:p>
        </w:tc>
        <w:tc>
          <w:tcPr>
            <w:tcW w:w="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177,355,614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71,651,968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$105,703,646</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275,451,137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85,501,646</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189,949,491</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(73,460,384)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(16,522,767)</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(56,937,617)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 Net of Discounts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379,346,367</w:t>
            </w:r>
          </w:p>
        </w:tc>
        <w:tc>
          <w:tcPr>
            <w:tcW w:w="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140,630,847</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238,715,520</w:t>
            </w:r>
          </w:p>
        </w:tc>
        <w:tc>
          <w:tcPr>
            <w:tcW w:w="360" w:type="dxa"/>
            <w:vAlign w:val="bottom"/>
            <w:vMerge w:val="continue"/>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n.m. </w:t>
      </w:r>
      <w:r>
        <w:rPr>
          <w:rFonts w:ascii="Arial" w:cs="Arial" w:eastAsia="Arial" w:hAnsi="Arial"/>
          <w:sz w:val="18"/>
          <w:szCs w:val="18"/>
          <w:i w:val="1"/>
          <w:iCs w:val="1"/>
          <w:color w:val="auto"/>
        </w:rPr>
        <w:t>–</w:t>
      </w:r>
      <w:r>
        <w:rPr>
          <w:rFonts w:ascii="Arial" w:cs="Arial" w:eastAsia="Arial" w:hAnsi="Arial"/>
          <w:sz w:val="18"/>
          <w:szCs w:val="18"/>
          <w:color w:val="auto"/>
        </w:rPr>
        <w:t>not meaningful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with the Three Months Ended September 30, 2019</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Revenues, net of discounts for the Retail segment were $111,948,115, an increase of $68,415,827 or 157%, compared to the three months ended September 30, 2019. The increase in Retail revenues, net of discounts, was primarily driven by legalization of adult-use in Illinois on January 1, 2020 as well as new store openings particularly in Illinois and Pennsylvania.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39" w:name="page40"/>
    <w:bookmarkEnd w:id="3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Revenues, net of discounts for the Consumer Packaged Goods Segment were $74,702,069, an increase of $39,608,212 or 113%, compared to the three months ended September 30, 2019. The increase in Consumer Packaged Goods revenues, net of discounts, was primarily driven by the legalization of adult-use of cannabis in Illinois on January 1, 2020, along with increased sales volume in established markets such as Illinois, Pennsylvania, Massachusetts, Nevada and Maryland.</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with the Nine Months Ended September 30, 2019</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net of discounts for the Retail Segment were $275,451,137, an increase of $189,949,491 or 222%, compared to the nine months ended September 30, 2019. The increase in Retail revenues, net of discounts, was primarily driven by legalization of adult-use in Illinois on January 1, 2020 as well as new store openings particularly in Illinois and Pennsylvania, and the 2020 full period effect of the acquisition of the Essence stores in Nevada in June 2019.</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Revenues, net of discounts for the Consumer Packaged Goods Segment were $177,355,614, an increase of $105,703,646 or 148%, compared to the nine months ended September 30, 2019. The increase in Consumer Packaged Goods revenues, net of discounts, was primarily driven by the legalization of adult-use of cannabis in Illinois on January 1, 2020, increased sales volume in established markets such as Pennsylvania, Massachusetts and Maryland and the 2020 full period effect of the acquisition of Desert Grown Farms and Cannabiotix in Nevada in June 2019.</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Drivers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derives its revenue from two revenue streams: a Consumer Packaged Goods business in which it manufactures, sells and distributes its portfolio of consumer packaged goods brands including Beboe, Dogwalkers, Dr. Solomon’s, incredibles, Rythm, and The Feel Collection, primarily to third-party retail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For the nine months ended September 30, 2020, revenue was contributed from Consumer Packaged Goods and Retail sales across twelve markets, which consist of California, Colorado, Connecticut, Florida, Illinois, Maryland, Massachusetts, Nevada, New Jersey, New York, Ohio and Pennsylvania.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Over the nine months ended September 30, 2020, the Company continued to be focused on executing sustainable, profitable growth of the Company’s business while pursuing expansion. Green Thumb expects to continue its growth strategy for the foreseeable future as the Company expands its Consumer Packaged Goods and Retail footprint within its current markets.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Total Expenses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7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Retail selling costs generally correlate to revenue.As new locations begin operations, these locations generally experience higher selling costs as a percentage of revenue compared to more established locations, which experience a more constant rate of selling costs.As a percentage of sales, the Company expects selling costs to remain constant in the more established locations and increase in the newer locations as business continues to grow.</w:t>
      </w:r>
    </w:p>
    <w:p>
      <w:pPr>
        <w:spacing w:after="0" w:line="14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considerably in this area to support aggressive expansion plans and to support the business by attracting and retaining top-tier talent. Furthermore, the Company anticipates an increase in stock compensation expenses related to recruiting and hiring talent, along with legal and professional fees associated with being a publicly traded company in Canada and registered with the U.S. Securities Exchange Commission.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2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2100" w:type="dxa"/>
            <w:vAlign w:val="bottom"/>
            <w:tcBorders>
              <w:top w:val="single" w:sz="8" w:color="auto"/>
              <w:bottom w:val="single" w:sz="8" w:color="auto"/>
            </w:tcBorders>
            <w:gridSpan w:val="6"/>
          </w:tcPr>
          <w:p>
            <w:pPr>
              <w:jc w:val="right"/>
              <w:ind w:right="532"/>
              <w:spacing w:after="0" w:line="142"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4"/>
          </w:tcPr>
          <w:p>
            <w:pPr>
              <w:jc w:val="right"/>
              <w:ind w:right="552"/>
              <w:spacing w:after="0" w:line="142"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9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$10,753,009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(14,337,936)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(4,774,488)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(44,717,094)</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(5,397)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(407,509)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(109,922)</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(1,300,233)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4,460,125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5,912,290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14,236,475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11,762,222</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28,436,332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3,624,333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56,964,047</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4,706,000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(6,432,883)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6,585,540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(7,501,566)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7,969,433</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11,534,876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7,685,428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38,479,960</w:t>
            </w: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17,198,731</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Earnings before interest, taxes, depreciation and amortization (EBITDA) (non-</w:t>
            </w: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measure)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48,746,062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9,062,146</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97,294,506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(4,380,941)</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Stock-based compensation, non-cash</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4,435,634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3,564,095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15,209,520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13,324,083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1,160,150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1,635,304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5,012,187</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53,181,696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13,786,391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114,139,331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13,955,329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September 30, 2020, and December 31, 2019 the Company had total current liabilities of $105,898,809 and $111,367,255, respectively, and cash and cash equivalents of $78,091,073 and $46,667,334, respectively to meet its current obligations. The Company had working capital of $53,160,428 as of September 30, 2020, an increase of $55,465,072 as compared to December 31, 2019. This increase in working capital was primarily driven by the $81,302,083 increase in revenue experienced in the third quarter of 2020 over the fourth quarter of 2019. The Company’s quarterly results were driven by organic growth across the Company’s Consumer Packaged Goods and Retail businesses, particularly in Illinois following the commencement of adult use sales on January 1, 2020, and in Pennsylvania, along with the settlement of certain contingent consideration during the quarter.</w:t>
      </w:r>
    </w:p>
    <w:p>
      <w:pPr>
        <w:spacing w:after="0" w:line="16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the first nine months of 2020, Green Thumb generated revenue from all 12 of its markets: California, Colorado, Connecticut, Florida, Illinois, Maryland, Massachusetts, Nevada, New Jersey, New York, Ohio and Pennsylvania. The Company’s Consumer Packaged Goods revenue grew approximately 33%, net of discounts, during the three months ended September 30, 2020 as compared to the three months ended June 30, 2020. As of September 30, 2020, Green Thumb’s branded products were sold in over 700 retail stores, including the Company’s Rise and Essence retail stores. The Company’s Retail revenue, net of discounts, increased 28% during the three months ended September 30, 2020 as compared to the three months ended June 30, 2020, primarily driven by increased transaction activity across the Company’s 48 retail store footprint.</w:t>
      </w:r>
    </w:p>
    <w:p>
      <w:pPr>
        <w:spacing w:after="0" w:line="164"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The Company is an early-stage growth company, which is generating cash from revenues and is deploying its capital reserves to acquire and develop assets capable of producing additional revenues and earnings over both the immediate and near term. Capital reserves are primarily being utilized for capital expenditures, facility improvements, product development and marketing, as well as customer, supplier and investor and industry relations.</w:t>
      </w:r>
    </w:p>
    <w:p>
      <w:pPr>
        <w:spacing w:after="0" w:line="1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While our revenue, gross profit and operating income were not materially impacted by COVID-19 and we maintained the consistency of our operations during the first nine months of 2020, the uncertain nature of the spread of COVID-19 may impact our business operations for reasons including the potential quarantine of our employees or those of our supply chain partners. Our ability to continue to operate without any significant negative operational impact from the COVID-19 pandemic will in part depend on our ability to protect our employees, customers and supply chain and our continued designation as an “essential” business in states where we do business that currently or in the future impose restrictions on business operations. 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65" w:right="439" w:bottom="1440" w:gutter="0" w:footer="0" w:header="0"/>
        </w:sectPr>
      </w:pPr>
    </w:p>
    <w:bookmarkStart w:id="42" w:name="page43"/>
    <w:bookmarkEnd w:id="42"/>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Cash Flows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Net cash used in operating activities for the nine months ended September 30, 2020 and 2019, were as follows: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ind w:left="6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6"/>
              </w:rPr>
              <w:t>$  71,056,200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(712,804)</w:t>
            </w:r>
          </w:p>
        </w:tc>
        <w:tc>
          <w:tcPr>
            <w:tcW w:w="120" w:type="dxa"/>
            <w:vAlign w:val="bottom"/>
            <w:tcBorders>
              <w:top w:val="single" w:sz="8" w:color="CCEEFF"/>
            </w:tcBorders>
            <w:shd w:val="clear" w:color="auto" w:fill="CCEEFF"/>
          </w:tcPr>
          <w:p>
            <w:pPr>
              <w:spacing w:after="0"/>
              <w:rPr>
                <w:sz w:val="18"/>
                <w:szCs w:val="18"/>
                <w:color w:val="auto"/>
              </w:rPr>
            </w:pPr>
          </w:p>
        </w:tc>
      </w:tr>
      <w:tr>
        <w:trPr>
          <w:trHeight w:val="540"/>
        </w:trPr>
        <w:tc>
          <w:tcPr>
            <w:tcW w:w="8540" w:type="dxa"/>
            <w:vAlign w:val="bottom"/>
          </w:tcPr>
          <w:p>
            <w:pPr>
              <w:spacing w:after="0"/>
              <w:rPr>
                <w:sz w:val="20"/>
                <w:szCs w:val="20"/>
                <w:color w:val="auto"/>
              </w:rPr>
            </w:pPr>
            <w:r>
              <w:rPr>
                <w:rFonts w:ascii="Arial" w:cs="Arial" w:eastAsia="Arial" w:hAnsi="Arial"/>
                <w:sz w:val="18"/>
                <w:szCs w:val="18"/>
                <w:i w:val="1"/>
                <w:iCs w:val="1"/>
                <w:color w:val="auto"/>
              </w:rPr>
              <w:t>Cash Flow from Investing Activities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8540" w:type="dxa"/>
            <w:vAlign w:val="bottom"/>
          </w:tcPr>
          <w:p>
            <w:pPr>
              <w:ind w:left="440"/>
              <w:spacing w:after="0"/>
              <w:rPr>
                <w:sz w:val="20"/>
                <w:szCs w:val="20"/>
                <w:color w:val="auto"/>
              </w:rPr>
            </w:pPr>
            <w:r>
              <w:rPr>
                <w:rFonts w:ascii="Arial" w:cs="Arial" w:eastAsia="Arial" w:hAnsi="Arial"/>
                <w:sz w:val="18"/>
                <w:szCs w:val="18"/>
                <w:color w:val="auto"/>
                <w:w w:val="91"/>
              </w:rPr>
              <w:t>Net cash used in investing activities for the nine months ended September 30, 2020 and 2019, were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ind w:left="6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$(37,422,417)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$(171,943,137)</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Net cash provided by financing activities for the nine months ended September 30, 2020 and 2019, were as follows: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9"/>
          </w:tcPr>
          <w:p>
            <w:pPr>
              <w:ind w:left="10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280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Net Cash (used in) provided by Financing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(2,210,044)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92,791,523</w:t>
            </w:r>
          </w:p>
        </w:tc>
        <w:tc>
          <w:tcPr>
            <w:tcW w:w="60" w:type="dxa"/>
            <w:vAlign w:val="bottom"/>
            <w:shd w:val="clear" w:color="auto" w:fill="CCEEFF"/>
          </w:tcPr>
          <w:p>
            <w:pPr>
              <w:spacing w:after="0"/>
              <w:rPr>
                <w:sz w:val="18"/>
                <w:szCs w:val="18"/>
                <w:color w:val="auto"/>
              </w:rPr>
            </w:pPr>
          </w:p>
        </w:tc>
      </w:tr>
      <w:tr>
        <w:trPr>
          <w:trHeight w:val="432"/>
        </w:trPr>
        <w:tc>
          <w:tcPr>
            <w:tcW w:w="6380" w:type="dxa"/>
            <w:vAlign w:val="bottom"/>
            <w:gridSpan w:val="11"/>
          </w:tcPr>
          <w:p>
            <w:pPr>
              <w:spacing w:after="0"/>
              <w:rPr>
                <w:sz w:val="20"/>
                <w:szCs w:val="20"/>
                <w:color w:val="auto"/>
              </w:rPr>
            </w:pPr>
            <w:r>
              <w:rPr>
                <w:rFonts w:ascii="Arial" w:cs="Arial" w:eastAsia="Arial" w:hAnsi="Arial"/>
                <w:sz w:val="18"/>
                <w:szCs w:val="18"/>
                <w:b w:val="1"/>
                <w:bCs w:val="1"/>
                <w:color w:val="auto"/>
              </w:rPr>
              <w:t>Contractual Cash Obligations and Other Commitments and Contingencies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460" w:type="dxa"/>
            <w:vAlign w:val="bottom"/>
            <w:gridSpan w:val="14"/>
          </w:tcPr>
          <w:p>
            <w:pPr>
              <w:spacing w:after="0"/>
              <w:rPr>
                <w:sz w:val="20"/>
                <w:szCs w:val="20"/>
                <w:color w:val="auto"/>
              </w:rPr>
            </w:pPr>
            <w:r>
              <w:rPr>
                <w:rFonts w:ascii="Arial" w:cs="Arial" w:eastAsia="Arial" w:hAnsi="Arial"/>
                <w:sz w:val="18"/>
                <w:szCs w:val="18"/>
                <w:color w:val="auto"/>
                <w:w w:val="91"/>
              </w:rPr>
              <w:t>The following table quantifies the Company’s future contractual obligations as of September 30, 2020:</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2800" w:type="dxa"/>
            <w:vAlign w:val="bottom"/>
          </w:tcPr>
          <w:p>
            <w:pPr>
              <w:spacing w:after="0"/>
              <w:rPr>
                <w:sz w:val="24"/>
                <w:szCs w:val="24"/>
                <w:color w:val="auto"/>
              </w:rPr>
            </w:pPr>
          </w:p>
        </w:tc>
        <w:tc>
          <w:tcPr>
            <w:tcW w:w="1140" w:type="dxa"/>
            <w:vAlign w:val="bottom"/>
            <w:gridSpan w:val="3"/>
          </w:tcPr>
          <w:p>
            <w:pPr>
              <w:ind w:left="3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24"/>
                <w:szCs w:val="24"/>
                <w:color w:val="auto"/>
              </w:rPr>
            </w:pPr>
          </w:p>
        </w:tc>
        <w:tc>
          <w:tcPr>
            <w:tcW w:w="10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r>
              <w:rPr>
                <w:rFonts w:ascii="Arial" w:cs="Arial" w:eastAsia="Arial" w:hAnsi="Arial"/>
                <w:sz w:val="15"/>
                <w:szCs w:val="15"/>
                <w:color w:val="auto"/>
              </w:rPr>
              <w:t>(a)</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$105,466,429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$105,466,429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Charitable Contributions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763,284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45,846</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185,887</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189,953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194,109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147,490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Mortgage Payable</w:t>
            </w:r>
            <w:r>
              <w:rPr>
                <w:rFonts w:ascii="Arial" w:cs="Arial" w:eastAsia="Arial" w:hAnsi="Arial"/>
                <w:sz w:val="15"/>
                <w:szCs w:val="15"/>
                <w:color w:val="auto"/>
              </w:rPr>
              <w:t>(b)</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28,522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117,794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124,662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131,943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139,299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1,320,638</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Interest Due on Notes Payable</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33,460,307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3,155,324</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12,655,971</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12,655,971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4,933,041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Due on Mortgage Payable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1,022,953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146,552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139,684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132,403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125,047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441,702</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Operating Leases—Third Party</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276,776,320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4,767,957</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22,243,662</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22,285,836</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22,092,882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21,387,294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183,998,689</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8"/>
              </w:rPr>
              <w:t>Operating Leases—Related Parties</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15,935,415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322,287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1,307,183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1,337,130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1,367,771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1,255,714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10,345,330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36,315,361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27,100,000</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9,215,361</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r>
              <w:rPr>
                <w:rFonts w:ascii="Arial" w:cs="Arial" w:eastAsia="Arial" w:hAnsi="Arial"/>
                <w:sz w:val="15"/>
                <w:szCs w:val="15"/>
                <w:color w:val="auto"/>
              </w:rPr>
              <w:t>(c)</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25,640,072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25,640,072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Pr>
          <w:p>
            <w:pPr>
              <w:spacing w:after="0"/>
              <w:rPr>
                <w:sz w:val="20"/>
                <w:szCs w:val="20"/>
                <w:color w:val="auto"/>
              </w:rPr>
            </w:pPr>
            <w:r>
              <w:rPr>
                <w:rFonts w:ascii="Arial" w:cs="Arial" w:eastAsia="Arial" w:hAnsi="Arial"/>
                <w:sz w:val="18"/>
                <w:szCs w:val="18"/>
                <w:b w:val="1"/>
                <w:bCs w:val="1"/>
                <w:color w:val="auto"/>
              </w:rPr>
              <w:t>Total as of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497,242,999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61,097,574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45,872,410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36,733,237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134,378,579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23,054,844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196,106,359</w:t>
            </w:r>
          </w:p>
        </w:tc>
        <w:tc>
          <w:tcPr>
            <w:tcW w:w="6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120" w:hanging="424"/>
        <w:spacing w:after="0" w:line="286" w:lineRule="auto"/>
        <w:tabs>
          <w:tab w:leader="none" w:pos="237" w:val="left"/>
        </w:tabs>
        <w:numPr>
          <w:ilvl w:val="0"/>
          <w:numId w:val="57"/>
        </w:numPr>
        <w:rPr>
          <w:rFonts w:ascii="Arial" w:cs="Arial" w:eastAsia="Arial" w:hAnsi="Arial"/>
          <w:sz w:val="17"/>
          <w:szCs w:val="17"/>
          <w:color w:val="auto"/>
        </w:rPr>
      </w:pPr>
      <w:r>
        <w:rPr>
          <w:rFonts w:ascii="Arial" w:cs="Arial" w:eastAsia="Arial" w:hAnsi="Arial"/>
          <w:sz w:val="17"/>
          <w:szCs w:val="17"/>
          <w:color w:val="auto"/>
        </w:rPr>
        <w:t>- On May 21, 2020, the Company exercised its option to extend the maturity date of its senior secured notes for an additional year. The new maturity date is May 22, 2023. Additionally, this amount excludes $11,618,400 of unamortized debt discount as of September 30, 2020. See Note 6 - Notes Payable to our unaudited interim condensed consolidated financial statements for the period for details.</w:t>
      </w:r>
    </w:p>
    <w:p>
      <w:pPr>
        <w:spacing w:after="0" w:line="70" w:lineRule="exact"/>
        <w:rPr>
          <w:rFonts w:ascii="Arial" w:cs="Arial" w:eastAsia="Arial" w:hAnsi="Arial"/>
          <w:sz w:val="17"/>
          <w:szCs w:val="17"/>
          <w:color w:val="auto"/>
        </w:rPr>
      </w:pPr>
    </w:p>
    <w:p>
      <w:pPr>
        <w:ind w:left="424" w:right="460" w:hanging="424"/>
        <w:spacing w:after="0" w:line="277" w:lineRule="auto"/>
        <w:tabs>
          <w:tab w:leader="none" w:pos="2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The amount excludes $177,244 of unamortized debt discount as of September 30, 2020. See Note 6 - Notes Payable to our unaudited interim condensed consolidated financial statements for the period for details.</w:t>
      </w:r>
    </w:p>
    <w:p>
      <w:pPr>
        <w:spacing w:after="0" w:line="75" w:lineRule="exact"/>
        <w:rPr>
          <w:rFonts w:ascii="Arial" w:cs="Arial" w:eastAsia="Arial" w:hAnsi="Arial"/>
          <w:sz w:val="18"/>
          <w:szCs w:val="18"/>
          <w:color w:val="auto"/>
        </w:rPr>
      </w:pPr>
    </w:p>
    <w:p>
      <w:pPr>
        <w:ind w:left="424" w:right="740" w:hanging="424"/>
        <w:spacing w:after="0" w:line="342" w:lineRule="auto"/>
        <w:tabs>
          <w:tab w:leader="none" w:pos="2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 The Company expects to be reimbursed for approximately $22,500,000 of the construction commitment as part of its sale and lease back agreement with IIP. See Note 5 - Leases to our unaudited interim condensed consolidated financial statements for the period for details.</w:t>
      </w:r>
    </w:p>
    <w:p>
      <w:pPr>
        <w:spacing w:after="0" w:line="56" w:lineRule="exact"/>
        <w:rPr>
          <w:rFonts w:ascii="Arial" w:cs="Arial" w:eastAsia="Arial" w:hAnsi="Arial"/>
          <w:sz w:val="16"/>
          <w:szCs w:val="16"/>
          <w:color w:val="auto"/>
        </w:rPr>
      </w:pPr>
    </w:p>
    <w:p>
      <w:pPr>
        <w:ind w:left="5424" w:hanging="111"/>
        <w:spacing w:after="0"/>
        <w:tabs>
          <w:tab w:leader="none" w:pos="5424" w:val="left"/>
        </w:tabs>
        <w:numPr>
          <w:ilvl w:val="1"/>
          <w:numId w:val="57"/>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024"/>
          </w:cols>
          <w:pgMar w:left="436" w:top="274"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Off-Balance Sheet Arrangements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As of September 30, 2020,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21"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Refer to the discussion of recently adopted/issued accounting pronouncements under Part I, Item 1, Notes to Unaudited Interim Condensed Consolidated Financial Statements, Note 1 - Overview and Basis of Presentation.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from the information provided in “Management’s Discussion and Analysis of Financial Condition and Results of Operations,” included in our 2019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an “emerging growth company” as defined in the Section 2(a) of the Exchange Act, as modified by the Jumpstart Our Business Start-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ups Act of 2012, or the JOBS Act provides that an emerging growth company can take advantage of the extended transition period provided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13(a) of the Exchange Act for complying with new or revised accounting standards applicable to public companies. The Company has elected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take advantage of this extended transition period and as a result of this election, our financial statements may not be comparable to companies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comply with public company effective dates.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QUANTITAVE AND QUALITATIVE DISCLOSURES ABOUT MARKET RISK</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have been no material changes to our market risk disclosures as set forth in Part II Item 7A of our Annual Report on Form 10-K for the year ended December 31, 2019 except as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is monitoring COVID-19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Our ability to continue to operate without any significant negative operational impact from COVID-19 pandemic will in part depend on our ability to protect our employees, customers and supply chain and continued designation as “essential” in states where we do business that currently or in the future impose restrictions on business operations.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44" w:name="page45"/>
    <w:bookmarkEnd w:id="4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4. CONTROLS AND PROCEDURES</w:t>
      </w:r>
    </w:p>
    <w:p>
      <w:pPr>
        <w:spacing w:after="0" w:line="131"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The Company evaluated the effectiveness of our disclosure controls and procedures as of September 30, 2020.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September 30, 2020. As an emerging growth company, Green Thumb is not required to include management’s assessment of Internal Controls over Financial Reporting (“ICFR”) or an attestation report of the Company’s registered public accounting firm in our 2020 Form 10-K. However, management has developed and is in the process of enhancing the Company’s ICFR and its disclosure controls and procedures in preparation for the annual audit of the Company for the 2021 fiscal year. Green Thumb expects to be required to include both management’s assessment of ICFR and the attestation of the Company’s registered public accounting firm regarding the Company’s ICFR in our 2021 annual report on Form 10-K. Management, including the Chief Executive Officer and Chief Financial Officer, have carefully considered the Company’s progress in the development of the disclosure controls and procedures to date and determined that they were reasonably effective at the assurance level as of September 30, 2020.</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0" w:right="45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the 2019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following information represents securities sold by the Company for the period covered by this Quarterly Report on Form 10-Q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 or, in the case of shares in connection with our 2018 Share and Incentive Plan, in reliance upon Rule 701 promulgated under Section 3(b) of the Securities Act as transactions by an issuer pursuant to benefit plans and contracts related to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Subordinate Voting Shares</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On January 3, 2020, the Company issued 287,478 Subordinate Voting Shares as contingent consideration associated with the Company’s 2019 acquisition of Advanced Grow Labs.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January 15, 2020, the Company converted 127,730 Multiple Voting Shares into 12,773,000 Subordinate Voting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February 11, 2020, the Company converted 2,480 Multiple Voting Shares into 248,000 Subordinate Voting Shares.</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On February 12, 2020, the Company issued 48,450 Subordinate Voting Shares as deferred share issuances associated with the Company’s 2019 acquisition of KW Ventures Holdings, LLC minority interest.</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On February 26, 2020, the Company issued 779,690 Subordinate Voting Shares as contingent consideration associated with the Company’s 2019 acquisition of For Success Holding Company.</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On May 15, 2020, the Company issued 101,695 Subordinate Voting Shares as deferred share issuances associated with the Company’s 2019 acquisition of Salveo (Rise Canton).</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On May 18, 2020, the Company issued 1,109,055 Subordinate Voting Shares as contingent consideration associated with the Company’s 2019 acquisition of Advanced Grow Labs, LLC.</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440" w:top="270" w:right="559" w:bottom="1440" w:gutter="0" w:footer="0" w:header="0"/>
        </w:sectPr>
      </w:pPr>
    </w:p>
    <w:bookmarkStart w:id="46" w:name="page47"/>
    <w:bookmarkEnd w:id="46"/>
    <w:p>
      <w:pPr>
        <w:ind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May 20, 2020, the Company issued 17,112 Subordinate Voting Shares associated with the exercise of broker options issued as part of the Company’s June 12, 2018 reverse takeover of Bayswater Uranium Corporation.</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On May 25, 2020, the Company issued 268,620 Subordinate Voting Shares as contingent consideration associated with the Company’s 2019 acquisition of Integral Associates, LLC.</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On June 29, 2020, the Company issued 190,000 Subordinate Voting Shares as deferred share issuances associated with the Company’s 2019 acquisition of MC Brands, LLC.</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On July 10, 2020, the Company issued 268,620 Subordinate Voting Shares as contingent consideration associated with the Company’s 2019 acquisition of Integral Associates, LLC.</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On August 12, 2020, the Company issued 472,500 Subordinate Voting Shares as deferred share issuances associated with the Company’s 2019 acquisition of Advanced Grow Labs.</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On August 26, 2020, the Company issued 646,353 Subordinate Voting Shares as deferred share issuances associated with the Company’s 2019 acquisition of For Success Holdings Company.</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On August 31, 2020, the Company issued 1,315,789 Subordinate Voting Shares in consideration for the noncontrolling partner’s interest in Ohio Investors 2017, LLC</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On September 17, 2020, the Company issued 5,941 Subordinate Voting Shares associated with the exercise of warrants issued as part of the purchase of one of its retail dispensaries.</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Beginning on January 9, 2020 and continuing through September 15, 2020, the Company converted 275,393 Multiple Voting Shares into 27,539,300 Subordinate Voting Shares.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From January 1, 2020 through February 19, 2020 (the effective date of the filing of our registration statement on Form S-8), the Company issued, in total, 77,500 Subordinate Voting Shares to holders of the Company’s RSU’s issued under our 2018 Stock and Incentive Plan, which vested over the same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Multiple Voting Shares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Beginning January 15, 2020 and continuing through July 2, 2020, the Company converted 22,953 Super Voting Shares were converted into 22,953 Multiple Voting Shares.</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Beginning on January 9, 2020 and continuing through September 15, 2020, the Company converted 275,393 Multiple Voting Shares into 27,539,300 Subordinate Voting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690"/>
              <w:spacing w:after="0"/>
              <w:rPr>
                <w:sz w:val="20"/>
                <w:szCs w:val="20"/>
                <w:color w:val="auto"/>
              </w:rPr>
            </w:pPr>
            <w:r>
              <w:rPr>
                <w:rFonts w:ascii="Arial" w:cs="Arial" w:eastAsia="Arial" w:hAnsi="Arial"/>
                <w:sz w:val="18"/>
                <w:szCs w:val="18"/>
                <w:color w:val="auto"/>
                <w:w w:val="85"/>
              </w:rPr>
              <w:t>31.1</w:t>
            </w:r>
          </w:p>
        </w:tc>
        <w:tc>
          <w:tcPr>
            <w:tcW w:w="9880" w:type="dxa"/>
            <w:vAlign w:val="bottom"/>
            <w:gridSpan w:val="3"/>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CERTIFICATE OF CHIEF EXECUTIVE OFFICER</w:t>
              </w:r>
            </w:hyperlink>
          </w:p>
        </w:tc>
      </w:tr>
      <w:tr>
        <w:trPr>
          <w:trHeight w:val="324"/>
        </w:trPr>
        <w:tc>
          <w:tcPr>
            <w:tcW w:w="1100" w:type="dxa"/>
            <w:vAlign w:val="bottom"/>
          </w:tcPr>
          <w:p>
            <w:pPr>
              <w:jc w:val="right"/>
              <w:ind w:right="690"/>
              <w:spacing w:after="0"/>
              <w:rPr>
                <w:sz w:val="20"/>
                <w:szCs w:val="20"/>
                <w:color w:val="auto"/>
              </w:rPr>
            </w:pPr>
            <w:r>
              <w:rPr>
                <w:rFonts w:ascii="Arial" w:cs="Arial" w:eastAsia="Arial" w:hAnsi="Arial"/>
                <w:sz w:val="18"/>
                <w:szCs w:val="18"/>
                <w:color w:val="auto"/>
                <w:w w:val="85"/>
              </w:rPr>
              <w:t>31.2</w:t>
            </w:r>
          </w:p>
        </w:tc>
        <w:tc>
          <w:tcPr>
            <w:tcW w:w="9880" w:type="dxa"/>
            <w:vAlign w:val="bottom"/>
            <w:gridSpan w:val="3"/>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CERTIFICATE OF CHIEF FINANCIAL OFFICER</w:t>
              </w:r>
            </w:hyperlink>
          </w:p>
        </w:tc>
      </w:tr>
      <w:tr>
        <w:trPr>
          <w:trHeight w:val="283"/>
        </w:trPr>
        <w:tc>
          <w:tcPr>
            <w:tcW w:w="1100" w:type="dxa"/>
            <w:vAlign w:val="bottom"/>
          </w:tcPr>
          <w:p>
            <w:pPr>
              <w:jc w:val="right"/>
              <w:ind w:right="690"/>
              <w:spacing w:after="0"/>
              <w:rPr>
                <w:sz w:val="20"/>
                <w:szCs w:val="20"/>
                <w:color w:val="auto"/>
              </w:rPr>
            </w:pPr>
            <w:r>
              <w:rPr>
                <w:rFonts w:ascii="Arial" w:cs="Arial" w:eastAsia="Arial" w:hAnsi="Arial"/>
                <w:sz w:val="18"/>
                <w:szCs w:val="18"/>
                <w:color w:val="auto"/>
                <w:w w:val="85"/>
              </w:rPr>
              <w:t>32.1</w:t>
            </w:r>
          </w:p>
        </w:tc>
        <w:tc>
          <w:tcPr>
            <w:tcW w:w="98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CERTIFICATION PURSUANT TO 18 U.S.C. SECTION 1350, AS ADOPTED PURSUANT TO SECTION 906 OF THE SARBANES-</w:t>
              </w:r>
            </w:hyperlink>
          </w:p>
        </w:tc>
      </w:tr>
      <w:tr>
        <w:trPr>
          <w:trHeight w:val="196"/>
        </w:trPr>
        <w:tc>
          <w:tcPr>
            <w:tcW w:w="110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OXLEY ACT OF 2002</w:t>
              </w:r>
            </w:hyperlink>
          </w:p>
        </w:tc>
        <w:tc>
          <w:tcPr>
            <w:tcW w:w="8160" w:type="dxa"/>
            <w:vAlign w:val="bottom"/>
          </w:tcPr>
          <w:p>
            <w:pPr>
              <w:spacing w:after="0"/>
              <w:rPr>
                <w:sz w:val="17"/>
                <w:szCs w:val="17"/>
                <w:color w:val="auto"/>
              </w:rPr>
            </w:pPr>
          </w:p>
        </w:tc>
      </w:tr>
      <w:tr>
        <w:trPr>
          <w:trHeight w:val="304"/>
        </w:trPr>
        <w:tc>
          <w:tcPr>
            <w:tcW w:w="1100" w:type="dxa"/>
            <w:vAlign w:val="bottom"/>
          </w:tcPr>
          <w:p>
            <w:pPr>
              <w:jc w:val="right"/>
              <w:ind w:right="690"/>
              <w:spacing w:after="0"/>
              <w:rPr>
                <w:sz w:val="20"/>
                <w:szCs w:val="20"/>
                <w:color w:val="auto"/>
              </w:rPr>
            </w:pPr>
            <w:r>
              <w:rPr>
                <w:rFonts w:ascii="Arial" w:cs="Arial" w:eastAsia="Arial" w:hAnsi="Arial"/>
                <w:sz w:val="18"/>
                <w:szCs w:val="18"/>
                <w:color w:val="auto"/>
                <w:w w:val="85"/>
              </w:rPr>
              <w:t>32.2</w:t>
            </w:r>
          </w:p>
        </w:tc>
        <w:tc>
          <w:tcPr>
            <w:tcW w:w="98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CERTIFICATION PURSUANT TO 18 U.S.C. SECTION 1350, AS ADOPTED PURSUANT TO SECTION 906 OF THE SARBANES-</w:t>
              </w:r>
            </w:hyperlink>
          </w:p>
        </w:tc>
      </w:tr>
      <w:tr>
        <w:trPr>
          <w:trHeight w:val="196"/>
        </w:trPr>
        <w:tc>
          <w:tcPr>
            <w:tcW w:w="110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OXLEY ACT OF 2002</w:t>
              </w:r>
            </w:hyperlink>
          </w:p>
        </w:tc>
        <w:tc>
          <w:tcPr>
            <w:tcW w:w="8180" w:type="dxa"/>
            <w:vAlign w:val="bottom"/>
            <w:gridSpan w:val="2"/>
          </w:tcPr>
          <w:p>
            <w:pPr>
              <w:spacing w:after="0"/>
              <w:rPr>
                <w:sz w:val="17"/>
                <w:szCs w:val="17"/>
                <w:color w:val="auto"/>
              </w:rPr>
            </w:pPr>
          </w:p>
        </w:tc>
      </w:tr>
      <w:tr>
        <w:trPr>
          <w:trHeight w:val="385"/>
        </w:trPr>
        <w:tc>
          <w:tcPr>
            <w:tcW w:w="1100" w:type="dxa"/>
            <w:vAlign w:val="bottom"/>
          </w:tcPr>
          <w:p>
            <w:pPr>
              <w:spacing w:after="0"/>
              <w:rPr>
                <w:sz w:val="24"/>
                <w:szCs w:val="24"/>
                <w:color w:val="auto"/>
              </w:rPr>
            </w:pPr>
          </w:p>
        </w:tc>
        <w:tc>
          <w:tcPr>
            <w:tcW w:w="9880" w:type="dxa"/>
            <w:vAlign w:val="bottom"/>
            <w:gridSpan w:val="3"/>
          </w:tcPr>
          <w:p>
            <w:pPr>
              <w:ind w:left="420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000"/>
          </w:cols>
          <w:pgMar w:left="440" w:top="274" w:right="45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472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472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4720" w:type="dxa"/>
            <w:vAlign w:val="bottom"/>
          </w:tcPr>
          <w:p>
            <w:pPr>
              <w:ind w:left="2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134"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019"/>
          </w:cols>
          <w:pgMar w:left="440" w:top="274" w:right="1440"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requirements of the Securities Exchange Act of 1934, the Company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GREEN THUMB INDUSTRIES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GREEN THUMB INDUSTRIES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0" w:right="5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Benjamin Kovler, certify that:</w:t>
      </w:r>
    </w:p>
    <w:p>
      <w:pPr>
        <w:spacing w:after="0" w:line="131" w:lineRule="exact"/>
        <w:rPr>
          <w:sz w:val="20"/>
          <w:szCs w:val="20"/>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60" w:right="100" w:hanging="533"/>
        <w:spacing w:after="0" w:line="311" w:lineRule="auto"/>
        <w:tabs>
          <w:tab w:leader="none" w:pos="19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jc w:val="both"/>
        <w:ind w:left="1960" w:right="100" w:hanging="533"/>
        <w:spacing w:after="0" w:line="263"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286" w:lineRule="auto"/>
        <w:tabs>
          <w:tab w:leader="none" w:pos="19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40" w:hanging="533"/>
        <w:spacing w:after="0" w:line="277"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121"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Georgiadis, certify that:</w:t>
      </w:r>
    </w:p>
    <w:p>
      <w:pPr>
        <w:spacing w:after="0" w:line="131" w:lineRule="exact"/>
        <w:rPr>
          <w:sz w:val="20"/>
          <w:szCs w:val="20"/>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jc w:val="both"/>
        <w:ind w:left="1960" w:right="100" w:hanging="533"/>
        <w:spacing w:after="0" w:line="263"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286" w:lineRule="auto"/>
        <w:tabs>
          <w:tab w:leader="none" w:pos="19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40" w:hanging="533"/>
        <w:spacing w:after="0" w:line="277"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121"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firstLine="440"/>
        <w:spacing w:after="0" w:line="296" w:lineRule="auto"/>
        <w:rPr>
          <w:sz w:val="20"/>
          <w:szCs w:val="20"/>
          <w:color w:val="auto"/>
        </w:rPr>
      </w:pPr>
      <w:r>
        <w:rPr>
          <w:rFonts w:ascii="Arial" w:cs="Arial" w:eastAsia="Arial" w:hAnsi="Arial"/>
          <w:sz w:val="16"/>
          <w:szCs w:val="16"/>
          <w:color w:val="auto"/>
        </w:rPr>
        <w:t>In connection with the Quarterly Report of Green Thumb Industries Inc. (the “Company”) on Form 10-Q for the three and nine months ended September 30, 2020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Benjamin Kovler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121"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440"/>
        <w:spacing w:after="0" w:line="296" w:lineRule="auto"/>
        <w:rPr>
          <w:sz w:val="20"/>
          <w:szCs w:val="20"/>
          <w:color w:val="auto"/>
        </w:rPr>
      </w:pPr>
      <w:r>
        <w:rPr>
          <w:rFonts w:ascii="Arial" w:cs="Arial" w:eastAsia="Arial" w:hAnsi="Arial"/>
          <w:sz w:val="16"/>
          <w:szCs w:val="16"/>
          <w:color w:val="auto"/>
        </w:rPr>
        <w:t>In connection with the Quarterly Report of Green Thumb Industries Inc. (the “Company”) on Form 10-Q for the three and nine months ended September 30, 2020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lowerLetter"/>
      <w:start w:val="1"/>
    </w:lvl>
  </w:abstractNum>
  <w:abstractNum w:abstractNumId="4">
    <w:nsid w:val="22221A70"/>
    <w:multiLevelType w:val="hybridMultilevel"/>
    <w:lvl w:ilvl="0">
      <w:lvlJc w:val="left"/>
      <w:lvlText w:val="(%1)"/>
      <w:numFmt w:val="lowerLetter"/>
      <w:start w:val="2"/>
    </w:lvl>
  </w:abstractNum>
  <w:abstractNum w:abstractNumId="5">
    <w:nsid w:val="4516DDE9"/>
    <w:multiLevelType w:val="hybridMultilevel"/>
    <w:lvl w:ilvl="0">
      <w:lvlJc w:val="left"/>
      <w:lvlText w:val="(%1)"/>
      <w:numFmt w:val="lowerLetter"/>
      <w:start w:val="3"/>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lowerLetter"/>
      <w:start w:val="4"/>
    </w:lvl>
  </w:abstractNum>
  <w:abstractNum w:abstractNumId="8">
    <w:nsid w:val="419AC241"/>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9">
    <w:nsid w:val="5577F8E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3"/>
    </w:lvl>
    <w:lvl w:ilvl="3">
      <w:lvlJc w:val="left"/>
      <w:lvlText w:val="-"/>
      <w:numFmt w:val="bullet"/>
      <w:start w:val="1"/>
    </w:lvl>
  </w:abstractNum>
  <w:abstractNum w:abstractNumId="10">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lowerLetter"/>
      <w:start w:val="7"/>
    </w:lvl>
  </w:abstractNum>
  <w:abstractNum w:abstractNumId="13">
    <w:nsid w:val="77465F01"/>
    <w:multiLevelType w:val="hybridMultilevel"/>
    <w:lvl w:ilvl="0">
      <w:lvlJc w:val="left"/>
      <w:lvlText w:val="%1."/>
      <w:numFmt w:val="decimal"/>
      <w:start w:val="2"/>
    </w:lvl>
  </w:abstractNum>
  <w:abstractNum w:abstractNumId="14">
    <w:nsid w:val="7724C67E"/>
    <w:multiLevelType w:val="hybridMultilevel"/>
    <w:lvl w:ilvl="0">
      <w:lvlJc w:val="left"/>
      <w:lvlText w:val="%1."/>
      <w:numFmt w:val="decimal"/>
      <w:start w:val="3"/>
    </w:lvl>
  </w:abstractNum>
  <w:abstractNum w:abstractNumId="15">
    <w:nsid w:val="5C482A97"/>
    <w:multiLevelType w:val="hybridMultilevel"/>
    <w:lvl w:ilvl="0">
      <w:lvlJc w:val="left"/>
      <w:lvlText w:val="%1."/>
      <w:numFmt w:val="decimal"/>
      <w:start w:val="4"/>
    </w:lvl>
  </w:abstractNum>
  <w:abstractNum w:abstractNumId="16">
    <w:nsid w:val="2463B9EA"/>
    <w:multiLevelType w:val="hybridMultilevel"/>
    <w:lvl w:ilvl="0">
      <w:lvlJc w:val="left"/>
      <w:lvlText w:val="%1."/>
      <w:numFmt w:val="decimal"/>
      <w:start w:val="4"/>
    </w:lvl>
  </w:abstractNum>
  <w:abstractNum w:abstractNumId="17">
    <w:nsid w:val="5E884ADC"/>
    <w:multiLevelType w:val="hybridMultilevel"/>
    <w:lvl w:ilvl="0">
      <w:lvlJc w:val="left"/>
      <w:lvlText w:val="%1."/>
      <w:numFmt w:val="decimal"/>
      <w:start w:val="5"/>
    </w:lvl>
  </w:abstractNum>
  <w:abstractNum w:abstractNumId="18">
    <w:nsid w:val="51EAD36B"/>
    <w:multiLevelType w:val="hybridMultilevel"/>
    <w:lvl w:ilvl="0">
      <w:lvlJc w:val="left"/>
      <w:lvlText w:val="(%1)"/>
      <w:numFmt w:val="lowerLetter"/>
      <w:start w:val="1"/>
    </w:lvl>
  </w:abstractNum>
  <w:abstractNum w:abstractNumId="19">
    <w:nsid w:val="2D517796"/>
    <w:multiLevelType w:val="hybridMultilevel"/>
    <w:lvl w:ilvl="0">
      <w:lvlJc w:val="left"/>
      <w:lvlText w:val="(%1)"/>
      <w:numFmt w:val="lowerLetter"/>
      <w:start w:val="2"/>
    </w:lvl>
  </w:abstractNum>
  <w:abstractNum w:abstractNumId="20">
    <w:nsid w:val="580BD78F"/>
    <w:multiLevelType w:val="hybridMultilevel"/>
    <w:lvl w:ilvl="0">
      <w:lvlJc w:val="left"/>
      <w:lvlText w:val="%1."/>
      <w:numFmt w:val="decimal"/>
      <w:start w:val="5"/>
    </w:lvl>
  </w:abstractNum>
  <w:abstractNum w:abstractNumId="21">
    <w:nsid w:val="153EA438"/>
    <w:multiLevelType w:val="hybridMultilevel"/>
    <w:lvl w:ilvl="0">
      <w:lvlJc w:val="left"/>
      <w:lvlText w:val="(%1)"/>
      <w:numFmt w:val="lowerLetter"/>
      <w:start w:val="2"/>
    </w:lvl>
  </w:abstractNum>
  <w:abstractNum w:abstractNumId="22">
    <w:nsid w:val="3855585C"/>
    <w:multiLevelType w:val="hybridMultilevel"/>
    <w:lvl w:ilvl="0">
      <w:lvlJc w:val="left"/>
      <w:lvlText w:val="(%1)"/>
      <w:numFmt w:val="lowerLetter"/>
      <w:start w:val="3"/>
    </w:lvl>
  </w:abstractNum>
  <w:abstractNum w:abstractNumId="23">
    <w:nsid w:val="70A64E2A"/>
    <w:multiLevelType w:val="hybridMultilevel"/>
    <w:lvl w:ilvl="0">
      <w:lvlJc w:val="left"/>
      <w:lvlText w:val="%1."/>
      <w:numFmt w:val="decimal"/>
      <w:start w:val="6"/>
    </w:lvl>
  </w:abstractNum>
  <w:abstractNum w:abstractNumId="24">
    <w:nsid w:val="6A2342EC"/>
    <w:multiLevelType w:val="hybridMultilevel"/>
    <w:lvl w:ilvl="0">
      <w:lvlJc w:val="left"/>
      <w:lvlText w:val="(%1)"/>
      <w:numFmt w:val="lowerLetter"/>
      <w:start w:val="1"/>
    </w:lvl>
    <w:lvl w:ilvl="1">
      <w:lvlJc w:val="left"/>
      <w:lvlText w:val="-"/>
      <w:numFmt w:val="bullet"/>
      <w:start w:val="1"/>
    </w:lvl>
  </w:abstractNum>
  <w:abstractNum w:abstractNumId="25">
    <w:nsid w:val="2A487CB0"/>
    <w:multiLevelType w:val="hybridMultilevel"/>
    <w:lvl w:ilvl="0">
      <w:lvlJc w:val="left"/>
      <w:lvlText w:val="%1."/>
      <w:numFmt w:val="decimal"/>
      <w:start w:val="6"/>
    </w:lvl>
    <w:lvl w:ilvl="1">
      <w:lvlJc w:val="left"/>
      <w:lvlText w:val="(%2)"/>
      <w:numFmt w:val="lowerLetter"/>
      <w:start w:val="3"/>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lowerLetter"/>
      <w:start w:val="2"/>
    </w:lvl>
  </w:abstractNum>
  <w:abstractNum w:abstractNumId="28">
    <w:nsid w:val="2CD89A32"/>
    <w:multiLevelType w:val="hybridMultilevel"/>
    <w:lvl w:ilvl="0">
      <w:lvlJc w:val="left"/>
      <w:lvlText w:val="(%1)"/>
      <w:numFmt w:val="lowerLetter"/>
      <w:start w:val="3"/>
    </w:lvl>
  </w:abstractNum>
  <w:abstractNum w:abstractNumId="29">
    <w:nsid w:val="57E4CCAF"/>
    <w:multiLevelType w:val="hybridMultilevel"/>
    <w:lvl w:ilvl="0">
      <w:lvlJc w:val="left"/>
      <w:lvlText w:val="%1."/>
      <w:numFmt w:val="decimal"/>
      <w:start w:val="7"/>
    </w:lvl>
  </w:abstractNum>
  <w:abstractNum w:abstractNumId="30">
    <w:nsid w:val="7A6D8D3C"/>
    <w:multiLevelType w:val="hybridMultilevel"/>
    <w:lvl w:ilvl="0">
      <w:lvlJc w:val="left"/>
      <w:lvlText w:val="(%1)"/>
      <w:numFmt w:val="lowerLetter"/>
      <w:start w:val="5"/>
    </w:lvl>
  </w:abstractNum>
  <w:abstractNum w:abstractNumId="31">
    <w:nsid w:val="4B588F54"/>
    <w:multiLevelType w:val="hybridMultilevel"/>
    <w:lvl w:ilvl="0">
      <w:lvlJc w:val="left"/>
      <w:lvlText w:val="%1."/>
      <w:numFmt w:val="decimal"/>
      <w:start w:val="8"/>
    </w:lvl>
  </w:abstractNum>
  <w:abstractNum w:abstractNumId="32">
    <w:nsid w:val="542289EC"/>
    <w:multiLevelType w:val="hybridMultilevel"/>
    <w:lvl w:ilvl="0">
      <w:lvlJc w:val="left"/>
      <w:lvlText w:val="%1."/>
      <w:numFmt w:val="decimal"/>
      <w:start w:val="8"/>
    </w:lvl>
  </w:abstractNum>
  <w:abstractNum w:abstractNumId="33">
    <w:nsid w:val="6DE91B18"/>
    <w:multiLevelType w:val="hybridMultilevel"/>
    <w:lvl w:ilvl="0">
      <w:lvlJc w:val="left"/>
      <w:lvlText w:val="%1."/>
      <w:numFmt w:val="decimal"/>
      <w:start w:val="9"/>
    </w:lvl>
  </w:abstractNum>
  <w:abstractNum w:abstractNumId="34">
    <w:nsid w:val="38437FDB"/>
    <w:multiLevelType w:val="hybridMultilevel"/>
    <w:lvl w:ilvl="0">
      <w:lvlJc w:val="left"/>
      <w:lvlText w:val="%1."/>
      <w:numFmt w:val="decimal"/>
      <w:start w:val="9"/>
    </w:lvl>
  </w:abstractNum>
  <w:abstractNum w:abstractNumId="35">
    <w:nsid w:val="7644A45C"/>
    <w:multiLevelType w:val="hybridMultilevel"/>
    <w:lvl w:ilvl="0">
      <w:lvlJc w:val="left"/>
      <w:lvlText w:val="%1."/>
      <w:numFmt w:val="decimal"/>
      <w:start w:val="10"/>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Roman"/>
      <w:start w:val="1"/>
    </w:lvl>
  </w:abstractNum>
  <w:abstractNum w:abstractNumId="38">
    <w:nsid w:val="579478FE"/>
    <w:multiLevelType w:val="hybridMultilevel"/>
    <w:lvl w:ilvl="0">
      <w:lvlJc w:val="left"/>
      <w:lvlText w:val="(%1)"/>
      <w:numFmt w:val="lowerRoman"/>
      <w:start w:val="2"/>
    </w:lvl>
  </w:abstractNum>
  <w:abstractNum w:abstractNumId="39">
    <w:nsid w:val="749ABB43"/>
    <w:multiLevelType w:val="hybridMultilevel"/>
    <w:lvl w:ilvl="0">
      <w:lvlJc w:val="left"/>
      <w:lvlText w:val="%1."/>
      <w:numFmt w:val="decimal"/>
      <w:start w:val="10"/>
    </w:lvl>
    <w:lvl w:ilvl="1">
      <w:lvlJc w:val="left"/>
      <w:lvlText w:val="(%2)"/>
      <w:numFmt w:val="lowerLetter"/>
      <w:start w:val="2"/>
    </w:lvl>
  </w:abstractNum>
  <w:abstractNum w:abstractNumId="40">
    <w:nsid w:val="3DC240FB"/>
    <w:multiLevelType w:val="hybridMultilevel"/>
    <w:lvl w:ilvl="0">
      <w:lvlJc w:val="left"/>
      <w:lvlText w:val="%1."/>
      <w:numFmt w:val="decimal"/>
      <w:start w:val="1"/>
    </w:lvl>
    <w:lvl w:ilvl="1">
      <w:lvlJc w:val="left"/>
      <w:lvlText w:val="-"/>
      <w:numFmt w:val="bullet"/>
      <w:start w:val="1"/>
    </w:lvl>
  </w:abstractNum>
  <w:abstractNum w:abstractNumId="41">
    <w:nsid w:val="1BA026FA"/>
    <w:multiLevelType w:val="hybridMultilevel"/>
    <w:lvl w:ilvl="0">
      <w:lvlJc w:val="left"/>
      <w:lvlText w:val="%1."/>
      <w:numFmt w:val="decimal"/>
      <w:start w:val="10"/>
    </w:lvl>
    <w:lvl w:ilvl="1">
      <w:lvlJc w:val="left"/>
      <w:lvlText w:val="%2."/>
      <w:numFmt w:val="decimal"/>
      <w:start w:val="2"/>
    </w:lvl>
  </w:abstractNum>
  <w:abstractNum w:abstractNumId="42">
    <w:nsid w:val="79A1DEAA"/>
    <w:multiLevelType w:val="hybridMultilevel"/>
    <w:lvl w:ilvl="0">
      <w:lvlJc w:val="left"/>
      <w:lvlText w:val="%1"/>
      <w:numFmt w:val="lowerLetter"/>
      <w:start w:val="1"/>
    </w:lvl>
    <w:lvl w:ilvl="1">
      <w:lvlJc w:val="left"/>
      <w:lvlText w:val="%2."/>
      <w:numFmt w:val="decimal"/>
      <w:start w:val="3"/>
    </w:lvl>
    <w:lvl w:ilvl="2">
      <w:lvlJc w:val="left"/>
      <w:lvlText w:val="-"/>
      <w:numFmt w:val="bullet"/>
      <w:start w:val="1"/>
    </w:lvl>
  </w:abstractNum>
  <w:abstractNum w:abstractNumId="43">
    <w:nsid w:val="75C6C33A"/>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44">
    <w:nsid w:val="12E685FB"/>
    <w:multiLevelType w:val="hybridMultilevel"/>
    <w:lvl w:ilvl="0">
      <w:lvlJc w:val="left"/>
      <w:lvlText w:val="%1."/>
      <w:numFmt w:val="decimal"/>
      <w:start w:val="10"/>
    </w:lvl>
    <w:lvl w:ilvl="1">
      <w:lvlJc w:val="left"/>
      <w:lvlText w:val="(%2)"/>
      <w:numFmt w:val="lowerLetter"/>
      <w:start w:val="3"/>
    </w:lvl>
  </w:abstractNum>
  <w:abstractNum w:abstractNumId="45">
    <w:nsid w:val="70C6A529"/>
    <w:multiLevelType w:val="hybridMultilevel"/>
    <w:lvl w:ilvl="0">
      <w:lvlJc w:val="left"/>
      <w:lvlText w:val="%1."/>
      <w:numFmt w:val="decimal"/>
      <w:start w:val="10"/>
    </w:lvl>
    <w:lvl w:ilvl="1">
      <w:lvlJc w:val="left"/>
      <w:lvlText w:val="(%2)"/>
      <w:numFmt w:val="lowerLetter"/>
      <w:start w:val="3"/>
    </w:lvl>
  </w:abstractNum>
  <w:abstractNum w:abstractNumId="46">
    <w:nsid w:val="520EEDD1"/>
    <w:multiLevelType w:val="hybridMultilevel"/>
    <w:lvl w:ilvl="0">
      <w:lvlJc w:val="left"/>
      <w:lvlText w:val="%1"/>
      <w:numFmt w:val="decimal"/>
      <w:start w:val="1"/>
    </w:lvl>
    <w:lvl w:ilvl="1">
      <w:lvlJc w:val="left"/>
      <w:lvlText w:val="(%2)"/>
      <w:numFmt w:val="lowerLetter"/>
      <w:start w:val="4"/>
    </w:lvl>
  </w:abstractNum>
  <w:abstractNum w:abstractNumId="47">
    <w:nsid w:val="374A3FE6"/>
    <w:multiLevelType w:val="hybridMultilevel"/>
    <w:lvl w:ilvl="0">
      <w:lvlJc w:val="left"/>
      <w:lvlText w:val="%1."/>
      <w:numFmt w:val="decimal"/>
      <w:start w:val="11"/>
    </w:lvl>
    <w:lvl w:ilvl="1">
      <w:lvlJc w:val="left"/>
      <w:lvlText w:val="%2"/>
      <w:numFmt w:val="lowerLetter"/>
      <w:start w:val="1"/>
    </w:lvl>
  </w:abstractNum>
  <w:abstractNum w:abstractNumId="48">
    <w:nsid w:val="4F4EF005"/>
    <w:multiLevelType w:val="hybridMultilevel"/>
    <w:lvl w:ilvl="0">
      <w:lvlJc w:val="left"/>
      <w:lvlText w:val="%1."/>
      <w:numFmt w:val="decimal"/>
      <w:start w:val="12"/>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decimal"/>
      <w:start w:val="13"/>
    </w:lvl>
  </w:abstractNum>
  <w:abstractNum w:abstractNumId="51">
    <w:nsid w:val="275AC794"/>
    <w:multiLevelType w:val="hybridMultilevel"/>
    <w:lvl w:ilvl="0">
      <w:lvlJc w:val="left"/>
      <w:lvlText w:val="%1."/>
      <w:numFmt w:val="decimal"/>
      <w:start w:val="13"/>
    </w:lvl>
  </w:abstractNum>
  <w:abstractNum w:abstractNumId="52">
    <w:nsid w:val="39386575"/>
    <w:multiLevelType w:val="hybridMultilevel"/>
    <w:lvl w:ilvl="0">
      <w:lvlJc w:val="left"/>
      <w:lvlText w:val="%1."/>
      <w:numFmt w:val="decimal"/>
      <w:start w:val="14"/>
    </w:lvl>
  </w:abstractNum>
  <w:abstractNum w:abstractNumId="53">
    <w:nsid w:val="1CF10FD8"/>
    <w:multiLevelType w:val="hybridMultilevel"/>
    <w:lvl w:ilvl="0">
      <w:lvlJc w:val="left"/>
      <w:lvlText w:val="%1."/>
      <w:numFmt w:val="decimal"/>
      <w:start w:val="15"/>
    </w:lvl>
  </w:abstractNum>
  <w:abstractNum w:abstractNumId="54">
    <w:nsid w:val="180115BE"/>
    <w:multiLevelType w:val="hybridMultilevel"/>
    <w:lvl w:ilvl="0">
      <w:lvlJc w:val="left"/>
      <w:lvlText w:val="%1."/>
      <w:numFmt w:val="decimal"/>
      <w:start w:val="15"/>
    </w:lvl>
  </w:abstractNum>
  <w:abstractNum w:abstractNumId="55">
    <w:nsid w:val="235BA861"/>
    <w:multiLevelType w:val="hybridMultilevel"/>
    <w:lvl w:ilvl="0">
      <w:lvlJc w:val="left"/>
      <w:lvlText w:val="(%1)"/>
      <w:numFmt w:val="lowerRoman"/>
      <w:start w:val="1"/>
    </w:lvl>
  </w:abstractNum>
  <w:abstractNum w:abstractNumId="56">
    <w:nsid w:val="47398C89"/>
    <w:multiLevelType w:val="hybridMultilevel"/>
    <w:lvl w:ilvl="0">
      <w:lvlJc w:val="left"/>
      <w:lvlText w:val="(%1)"/>
      <w:numFmt w:val="lowerLetter"/>
      <w:start w:val="1"/>
    </w:lvl>
    <w:lvl w:ilvl="1">
      <w:lvlJc w:val="left"/>
      <w:lvlText w:val="-"/>
      <w:numFmt w:val="bullet"/>
      <w:start w:val="1"/>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2020-11-12T05:35:16Z</dcterms:created>
  <dcterms:modified xsi:type="dcterms:W3CDTF">2020-11-12T05:35:16Z</dcterms:modified>
</cp:coreProperties>
</file>