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50331.htm"/>
      <w:bookmarkStart w:id="1" w:name="ksgtbif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March 31, 2025</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from—to</w:t>
      </w:r>
    </w:p>
    <w:p>
      <w:pPr>
        <w:pStyle w:val="TextBody"/>
        <w:bidi w:val="0"/>
        <w:jc w:val="center"/>
        <w:rPr/>
      </w:pPr>
      <w:r>
        <w:rPr/>
        <w:drawing>
          <wp:inline distT="0" distB="0" distL="0" distR="0">
            <wp:extent cx="33813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1375" cy="42862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Super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As of May 1, 2025 there were 212,559,360</w:t>
      </w:r>
      <w:r>
        <w:rPr>
          <w:rFonts w:ascii="Times New Roman" w:hAnsi="Times New Roman"/>
          <w:color w:val="000000"/>
          <w:sz w:val="20"/>
        </w:rPr>
        <w:t xml:space="preserve"> </w:t>
      </w:r>
      <w:r>
        <w:rPr>
          <w:rFonts w:ascii="Times New Roman" w:hAnsi="Times New Roman"/>
          <w:color w:val="000000"/>
          <w:sz w:val="16"/>
        </w:rPr>
        <w:t>shares of the registrant’s Subordinate Voting Shares,</w:t>
      </w:r>
      <w:r>
        <w:rPr>
          <w:rFonts w:ascii="Times New Roman" w:hAnsi="Times New Roman"/>
          <w:color w:val="000000"/>
          <w:sz w:val="20"/>
        </w:rPr>
        <w:t xml:space="preserve"> </w:t>
      </w:r>
      <w:r>
        <w:rPr>
          <w:rFonts w:ascii="Times New Roman" w:hAnsi="Times New Roman"/>
          <w:color w:val="000000"/>
          <w:sz w:val="16"/>
        </w:rPr>
        <w:t>37,683</w:t>
      </w:r>
      <w:r>
        <w:rPr>
          <w:rFonts w:ascii="Times New Roman" w:hAnsi="Times New Roman"/>
          <w:color w:val="000000"/>
          <w:sz w:val="20"/>
        </w:rPr>
        <w:t xml:space="preserve"> </w:t>
      </w:r>
      <w:r>
        <w:rPr>
          <w:rFonts w:ascii="Times New Roman" w:hAnsi="Times New Roman"/>
          <w:color w:val="000000"/>
          <w:sz w:val="16"/>
        </w:rPr>
        <w:t>shares of the registrant’s Multiple Voting Shares and 206,690</w:t>
      </w:r>
      <w:r>
        <w:rPr>
          <w:rFonts w:ascii="Times New Roman" w:hAnsi="Times New Roman"/>
          <w:color w:val="000000"/>
          <w:sz w:val="20"/>
        </w:rPr>
        <w:t xml:space="preserve"> </w:t>
      </w:r>
      <w:r>
        <w:rPr>
          <w:rFonts w:ascii="Times New Roman" w:hAnsi="Times New Roman"/>
          <w:color w:val="000000"/>
          <w:sz w:val="16"/>
        </w:rPr>
        <w:t>shares 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86"/>
        <w:gridCol w:w="7818"/>
        <w:gridCol w:w="601"/>
      </w:tblGrid>
      <w:tr>
        <w:trPr/>
        <w:tc>
          <w:tcPr>
            <w:tcW w:w="1786" w:type="dxa"/>
            <w:tcBorders/>
            <w:vAlign w:val="center"/>
          </w:tcPr>
          <w:p>
            <w:pPr>
              <w:pStyle w:val="TableContents"/>
              <w:bidi w:val="0"/>
              <w:spacing w:before="0" w:after="283"/>
              <w:jc w:val="left"/>
              <w:rPr>
                <w:sz w:val="4"/>
                <w:szCs w:val="4"/>
              </w:rPr>
            </w:pPr>
            <w:r>
              <w:rPr>
                <w:sz w:val="4"/>
                <w:szCs w:val="4"/>
              </w:rPr>
            </w:r>
          </w:p>
        </w:tc>
        <w:tc>
          <w:tcPr>
            <w:tcW w:w="78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604"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Balance Sheets as of March 31, 2025 and December 31,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Operations for the three months ended March 31,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Changes in Shareholders’ Equity for the three months ended March 31,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Cash Flows for the three months ended March 31,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Unaudited Interim Condensed Consolidated Financial Statements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9</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mda">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quant_and_qual_disclosure_market_risk">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trols_and_procedures">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Controls and Procedures</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31</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20"/>
              <w:ind w:left="0" w:right="0" w:firstLine="240"/>
              <w:jc w:val="left"/>
              <w:rPr>
                <w:rFonts w:ascii="Times New Roman" w:hAnsi="Times New Roman"/>
                <w:b/>
                <w:color w:val="000000"/>
                <w:sz w:val="20"/>
              </w:rPr>
            </w:pPr>
            <w:r>
              <w:rPr>
                <w:rFonts w:ascii="Times New Roman" w:hAnsi="Times New Roman"/>
                <w:b/>
                <w:color w:val="000000"/>
                <w:sz w:val="20"/>
              </w:rPr>
              <w:t>INFORMATION</w:t>
            </w:r>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_legal_proceeding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Proceedings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a_risk_factors">
              <w:r>
                <w:rPr>
                  <w:rStyle w:val="InternetLink"/>
                  <w:rFonts w:ascii="Times New Roman" w:hAnsi="Times New Roman"/>
                  <w:b/>
                  <w:color w:val="0000FF"/>
                  <w:sz w:val="20"/>
                  <w:u w:val="single"/>
                </w:rPr>
                <w:t>ITEM 1A:</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2_sale_of_unregistered_securi">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Unregistered Sales of Equity Securities and Use of Proceeds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3_defaults_upon_senior_securi">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4_mine_safety_disclosure">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5_other_information">
              <w:r>
                <w:rPr>
                  <w:rStyle w:val="InternetLink"/>
                  <w:rFonts w:ascii="Times New Roman" w:hAnsi="Times New Roman"/>
                  <w:b/>
                  <w:color w:val="0000FF"/>
                  <w:sz w:val="20"/>
                  <w:u w:val="single"/>
                </w:rPr>
                <w:t>ITEM 5:</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Information </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6_exhibits">
              <w:r>
                <w:rPr>
                  <w:rStyle w:val="InternetLink"/>
                  <w:rFonts w:ascii="Times New Roman" w:hAnsi="Times New Roman"/>
                  <w:b/>
                  <w:color w:val="0000FF"/>
                  <w:sz w:val="20"/>
                  <w:u w:val="single"/>
                </w:rPr>
                <w:t>ITEM 6:</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Quarterly Report on Form 10-Q, unless the context otherwise requires, the terms “we,” “us,” “our,” “Company,” “Corporation” or “Green Thumb” refer to Green Thumb Industries Inc. together with its wholly-owned subsidiaries.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all references to “$” or “US$” in this document refer to United States dollars, and all references to “C$” refer to Canadian dollars.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operates in a highly regulated sector and may not always succeed in complying fully with application regulatory requirements in all jurisdictions where the Company carries on business; the Company faces intense competition; the Company faces competition from the illicit market as well as actual or purported Farm Bill compliant hemp products; the Company is dependent upon the popularity and consumer acceptance of its brand portfolio; the Company has limited trademark protection; as a cannabis business, the Company is subject to unfavorable U.S.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or similar claims; the Company’s products may be subject to product recalls; the Company may face unfavorable publicity or consumer perception;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These and other risks and uncertainties are described further in the “Risk Factors” section of the Company’s Annual Report on Form 10-K for the year ended December 31, 2024, and elsewhere in the Company’s filings with the SEC, which are available on the SEC’s website or at </w:t>
      </w:r>
      <w:r>
        <w:rPr>
          <w:rFonts w:ascii="Times New Roman" w:hAnsi="Times New Roman"/>
          <w:i/>
          <w:color w:val="000000"/>
          <w:sz w:val="20"/>
          <w:u w:val="single"/>
        </w:rPr>
        <w:t>https://investors.gtigrows.com</w:t>
      </w:r>
      <w:r>
        <w:rPr>
          <w:rFonts w:ascii="Times New Roman" w:hAnsi="Times New Roman"/>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spacing w:before="36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March 31, 2025 and December 31,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bookmarkStart w:id="3" w:name="balance_sheets"/>
      <w:bookmarkEnd w:id="3"/>
      <w:r>
        <w:rPr/>
        <w:t> </w:t>
      </w:r>
    </w:p>
    <w:tbl>
      <w:tblPr>
        <w:tblW w:w="9617" w:type="dxa"/>
        <w:jc w:val="left"/>
        <w:tblInd w:w="0" w:type="dxa"/>
        <w:tblLayout w:type="fixed"/>
        <w:tblCellMar>
          <w:top w:w="28" w:type="dxa"/>
          <w:left w:w="28" w:type="dxa"/>
          <w:bottom w:w="28" w:type="dxa"/>
          <w:right w:w="28" w:type="dxa"/>
        </w:tblCellMar>
      </w:tblPr>
      <w:tblGrid>
        <w:gridCol w:w="6451"/>
        <w:gridCol w:w="146"/>
        <w:gridCol w:w="196"/>
        <w:gridCol w:w="826"/>
        <w:gridCol w:w="166"/>
        <w:gridCol w:w="146"/>
        <w:gridCol w:w="210"/>
        <w:gridCol w:w="885"/>
        <w:gridCol w:w="59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Convertible Note Receivable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716,014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 in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40,305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488,287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589,691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2,569,082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2,537,012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Compensation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Portion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164,969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261,446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Notes Payable, Net of Current Portion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242,896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747,932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Subordinate Voting Shares (Shares Authorized, Issued and Outstanding at March 31, 2025:</w:t>
              <w:br/>
              <w:t>   Unlimited, 212,043,849, and 212,043,849, respectively, at December 31, 2024:</w:t>
              <w:br/>
              <w:t>   Unlimited, 211,128,045, and 211,128,045,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Multiple Voting Shares (Shares Authorized, Issued and Outstanding at March 31, 2025:</w:t>
              <w:br/>
              <w:t>   Unlimited, 37,623</w:t>
            </w:r>
            <w:r>
              <w:rPr>
                <w:rFonts w:ascii="Times New Roman" w:hAnsi="Times New Roman"/>
                <w:color w:val="000000"/>
                <w:sz w:val="20"/>
              </w:rPr>
              <w:t> </w:t>
            </w:r>
            <w:r>
              <w:rPr>
                <w:rFonts w:ascii="Times New Roman" w:hAnsi="Times New Roman"/>
                <w:color w:val="000000"/>
                <w:sz w:val="17"/>
              </w:rPr>
              <w:t>and 37,623, respectively, at December 31, 2024:</w:t>
              <w:br/>
              <w:t>   Unlimited, 37,623</w:t>
            </w:r>
            <w:r>
              <w:rPr>
                <w:rFonts w:ascii="Times New Roman" w:hAnsi="Times New Roman"/>
                <w:color w:val="000000"/>
                <w:sz w:val="20"/>
              </w:rPr>
              <w:t> </w:t>
            </w:r>
            <w:r>
              <w:rPr>
                <w:rFonts w:ascii="Times New Roman" w:hAnsi="Times New Roman"/>
                <w:color w:val="000000"/>
                <w:sz w:val="17"/>
              </w:rPr>
              <w:t>and 37,623,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Super Voting Shares (Shares Authorized, Issued and Outstanding at March 31, 2025:</w:t>
              <w:br/>
              <w:t>   Unlimited, 206,690</w:t>
            </w:r>
            <w:r>
              <w:rPr>
                <w:rFonts w:ascii="Times New Roman" w:hAnsi="Times New Roman"/>
                <w:color w:val="000000"/>
                <w:sz w:val="20"/>
              </w:rPr>
              <w:t> </w:t>
            </w:r>
            <w:r>
              <w:rPr>
                <w:rFonts w:ascii="Times New Roman" w:hAnsi="Times New Roman"/>
                <w:color w:val="000000"/>
                <w:sz w:val="17"/>
              </w:rPr>
              <w:t>and 206,690, respectively, at December 31, 2024:</w:t>
              <w:br/>
              <w:t>   Unlimited, 206,690</w:t>
            </w:r>
            <w:r>
              <w:rPr>
                <w:rFonts w:ascii="Times New Roman" w:hAnsi="Times New Roman"/>
                <w:color w:val="000000"/>
                <w:sz w:val="20"/>
              </w:rPr>
              <w:t> </w:t>
            </w:r>
            <w:r>
              <w:rPr>
                <w:rFonts w:ascii="Times New Roman" w:hAnsi="Times New Roman"/>
                <w:color w:val="000000"/>
                <w:sz w:val="17"/>
              </w:rPr>
              <w:t>and 206,690,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1,770,578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1,758,504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Contributed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Share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Equity of Green Thumb Industries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1,807,156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1,789,277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1,806,341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1,789,080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2,569,082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2,537,012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Months Ended March 31,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86"/>
        <w:gridCol w:w="211"/>
        <w:gridCol w:w="146"/>
        <w:gridCol w:w="1141"/>
        <w:gridCol w:w="166"/>
        <w:gridCol w:w="211"/>
        <w:gridCol w:w="146"/>
        <w:gridCol w:w="1141"/>
        <w:gridCol w:w="166"/>
        <w:gridCol w:w="591"/>
      </w:tblGrid>
      <w:tr>
        <w:trPr/>
        <w:tc>
          <w:tcPr>
            <w:tcW w:w="6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Green Thumb Industries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236,120,511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236,759,731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236,822,468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240,561,864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Months Ended March 31,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5"/>
        <w:gridCol w:w="196"/>
        <w:gridCol w:w="146"/>
        <w:gridCol w:w="826"/>
        <w:gridCol w:w="146"/>
        <w:gridCol w:w="196"/>
        <w:gridCol w:w="199"/>
        <w:gridCol w:w="906"/>
        <w:gridCol w:w="166"/>
        <w:gridCol w:w="196"/>
        <w:gridCol w:w="164"/>
        <w:gridCol w:w="679"/>
        <w:gridCol w:w="166"/>
        <w:gridCol w:w="196"/>
        <w:gridCol w:w="210"/>
        <w:gridCol w:w="958"/>
        <w:gridCol w:w="166"/>
        <w:gridCol w:w="196"/>
        <w:gridCol w:w="346"/>
        <w:gridCol w:w="1035"/>
        <w:gridCol w:w="166"/>
        <w:gridCol w:w="196"/>
        <w:gridCol w:w="146"/>
        <w:gridCol w:w="826"/>
        <w:gridCol w:w="213"/>
      </w:tblGrid>
      <w:tr>
        <w:trPr/>
        <w:tc>
          <w:tcPr>
            <w:tcW w:w="1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1,703,256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1,747,130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1,789,080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share settlement of equity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1,806,341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Months Ended March 31,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165" w:type="dxa"/>
        <w:jc w:val="left"/>
        <w:tblInd w:w="0" w:type="dxa"/>
        <w:tblLayout w:type="fixed"/>
        <w:tblCellMar>
          <w:top w:w="28" w:type="dxa"/>
          <w:left w:w="28" w:type="dxa"/>
          <w:bottom w:w="28" w:type="dxa"/>
          <w:right w:w="28" w:type="dxa"/>
        </w:tblCellMar>
      </w:tblPr>
      <w:tblGrid>
        <w:gridCol w:w="5831"/>
        <w:gridCol w:w="146"/>
        <w:gridCol w:w="242"/>
        <w:gridCol w:w="854"/>
        <w:gridCol w:w="205"/>
        <w:gridCol w:w="180"/>
        <w:gridCol w:w="242"/>
        <w:gridCol w:w="854"/>
        <w:gridCol w:w="611"/>
      </w:tblGrid>
      <w:tr>
        <w:trPr/>
        <w:tc>
          <w:tcPr>
            <w:tcW w:w="5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29,411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in fair value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on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settlement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increase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settlement of shares issued in association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on related party convertible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 and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74,219</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securities and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equity investments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(30,568</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(10,268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Subordinate Voting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(4,756</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(11,452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38,895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210,582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223,937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Months Ended March 31, 2025 and 2024</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i/>
          <w:color w:val="000000"/>
          <w:sz w:val="20"/>
        </w:rPr>
        <w:t>(Amounts Expressed in United States Dollars)</w:t>
      </w:r>
      <w:r>
        <w:rPr>
          <w:rFonts w:ascii="Times New Roman" w:hAnsi="Times New Roman"/>
          <w:color w:val="000000"/>
          <w:sz w:val="20"/>
        </w:rPr>
        <w:t xml:space="preserve"> </w:t>
      </w:r>
    </w:p>
    <w:tbl>
      <w:tblPr>
        <w:tblW w:w="8605" w:type="dxa"/>
        <w:jc w:val="left"/>
        <w:tblInd w:w="0" w:type="dxa"/>
        <w:tblLayout w:type="fixed"/>
        <w:tblCellMar>
          <w:top w:w="28" w:type="dxa"/>
          <w:left w:w="28" w:type="dxa"/>
          <w:bottom w:w="28" w:type="dxa"/>
          <w:right w:w="28" w:type="dxa"/>
        </w:tblCellMar>
      </w:tblPr>
      <w:tblGrid>
        <w:gridCol w:w="5671"/>
        <w:gridCol w:w="146"/>
        <w:gridCol w:w="269"/>
        <w:gridCol w:w="785"/>
        <w:gridCol w:w="228"/>
        <w:gridCol w:w="200"/>
        <w:gridCol w:w="269"/>
        <w:gridCol w:w="826"/>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5,476</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(7,660</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 The Company also owns and operates retail cannabis stores that include a national chain named RISE, which sell our products and third-party products. As of March 31, 2025, Green Thumb has revenue in fourteen markets (California, Connecticut, Florida, Illinois, Maryland, Massachusetts, Minnesota, Nevada, New Jersey, New York, Ohio, Pennsylvania, Rhode Island and Virginia), employs approximately 4,900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registered office is located at 250 Howe Street, 20</w:t>
      </w:r>
      <w:r>
        <w:rPr>
          <w:rFonts w:ascii="Times New Roman" w:hAnsi="Times New Roman"/>
          <w:color w:val="000000"/>
          <w:sz w:val="13"/>
        </w:rPr>
        <w:t>th</w:t>
      </w:r>
      <w:r>
        <w:rPr>
          <w:rFonts w:ascii="Times New Roman" w:hAnsi="Times New Roman"/>
          <w:color w:val="000000"/>
          <w:sz w:val="20"/>
        </w:rPr>
        <w:t xml:space="preserve"> Floor, Vancouver, British Columbia, V6C 3R8. The Company’s U.S. headquarters are at 325 W. Huron St., Suite 700, Chicago, IL 60654.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2024 (the “2024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Related Parties - Agrify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5, 2024, the Company acquired a noncontrolling financial interest in Agrify Corporation (“Agrify”) in exchange for $15,000 thousand in cash and $3,280 thousand in Subordinate Voting Shares of Green Thumb. As part of the transaction, the Company also acquired warrants that would allow the Company to extend its ownership stake if exercised - all of which remain outstanding as of each applicable period. As of March 31, 2025 and December 31, 2024, the Company held a 34% ownership interest in Agrify and accounted for its investment using the equity method due to the significant influence Green Thumb has the ability to exert over Agrify. The Company’s investment, which was initially recorded at Green Thumb's cost to acquire, had a carrying value of $18,223 thousand and $18,873 thousand as of March 31, 2025 and December 31, 2024, respectively. Such amounts were included within investment in associates on the Company’s unaudited interim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on November 5, 2024, the Company extended a convertible secured note to Agrify, the carrying value of which was $10,000 thousand as of each applicable period end. The convertible note receivable matures on November 5, 2025 and bears interest at an annualized rate of 10%. At anytime prior to the maturity date, the Company may convert the note at a conversion rate of $3.158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provides a variety of professional services to Agrify including legal, accounting, tax and treasury services. The fees charged for such services are commensurate with the level of effort required to perform the service. As of March 31, 2025 and December 31, 2024, the Company held amounts due from Agrify in the amount of $1,731 thousand and $318 thousand as of each period then ended, which were included within accounts receivable, net on the unaudited interim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i/>
          <w:color w:val="000000"/>
          <w:sz w:val="20"/>
        </w:rPr>
        <w:t>(Continued)</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 Related Parties - Agrify Corporation </w:t>
      </w:r>
      <w:r>
        <w:rPr>
          <w:rFonts w:ascii="Times New Roman" w:hAnsi="Times New Roman"/>
          <w:color w:val="000000"/>
          <w:sz w:val="20"/>
        </w:rPr>
        <w:t>(Continued)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Benjamin Kovler, Chairman and Chief Executive Officer of Green Thumb, serves as Agrify's Chairman and Interim Chief Executive Officer and Armon Vakali, Vice President, Strategic Initiatives and Partnerships of Green Thumb, serves as a member of Agrify's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Note 2 to the Company's Consolidated Financial Statements included in the 2024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2025, the Company had 7,454,997 options, 6,990,745 restricted stock units and 1,811,075 warrants outstanding. As of March 31, 2024, the Company had 9,416,251 options, 3,564,633 restricted stock units and 3,734,555 warrants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March 31, 2025, the computation of diluted earnings per share included 0 options and 701,957 restricted stock units. There were no dilutive warrants during the three months ended March 31, 2025. For the three months ended March 31, 2024, the computation of diluted earnings per share included 1,940,169 options, 1,740,592 restricted stock units, and 121,372 warrants. For the three months ended March 31, 2025 and 2024, the weighted average number of anti-dilutive stock options excluded from the computation of diluted earnings per share were 1,346,760 and 577,304,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(f) 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reviews recently issued accounting standards on a quarterly basis and has determined there are no standards yet to be adopted which are relevant to the business for disclosure.</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inventories include the following at March 31, 2025 and December 31, 2024: </w:t>
      </w:r>
    </w:p>
    <w:tbl>
      <w:tblPr>
        <w:tblW w:w="5630" w:type="dxa"/>
        <w:jc w:val="left"/>
        <w:tblInd w:w="0" w:type="dxa"/>
        <w:tblLayout w:type="fixed"/>
        <w:tblCellMar>
          <w:top w:w="28" w:type="dxa"/>
          <w:left w:w="28" w:type="dxa"/>
          <w:bottom w:w="28" w:type="dxa"/>
          <w:right w:w="28" w:type="dxa"/>
        </w:tblCellMar>
      </w:tblPr>
      <w:tblGrid>
        <w:gridCol w:w="2356"/>
        <w:gridCol w:w="196"/>
        <w:gridCol w:w="1291"/>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and Miscellaneous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Obsolete Inventory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155,337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147,162</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2025 and December 31, 2024, property and equipment consisted of the following: </w:t>
      </w:r>
    </w:p>
    <w:p>
      <w:pPr>
        <w:pStyle w:val="TextBody"/>
        <w:bidi w:val="0"/>
        <w:jc w:val="left"/>
        <w:rPr/>
      </w:pPr>
      <w:r>
        <w:rPr/>
        <w:t> </w:t>
      </w:r>
    </w:p>
    <w:tbl>
      <w:tblPr>
        <w:tblW w:w="6035" w:type="dxa"/>
        <w:jc w:val="left"/>
        <w:tblInd w:w="0" w:type="dxa"/>
        <w:tblLayout w:type="fixed"/>
        <w:tblCellMar>
          <w:top w:w="28" w:type="dxa"/>
          <w:left w:w="28" w:type="dxa"/>
          <w:bottom w:w="28" w:type="dxa"/>
          <w:right w:w="28" w:type="dxa"/>
        </w:tblCellMar>
      </w:tblPr>
      <w:tblGrid>
        <w:gridCol w:w="2761"/>
        <w:gridCol w:w="196"/>
        <w:gridCol w:w="1291"/>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 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356,612</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Computers and Furniture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196,139</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241,544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34,690</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Under 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40,325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32,499</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922,940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903,375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(187,361)</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720,267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716,014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under construction represent costs associated with construction projects related to cultivation and production facilities and retail stores.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three months ended March 31, 2025 totaled $16,837 thousand, of which $10,749 thousand is included in cost of goods sold. Depreciation expense for the three months ended March 31, 2024 totaled $15,104 thousand, of which $9,793 thousand is included in cost of goods sold.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and December 31, 2024, intangible assets consisted of the following: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40"/>
        <w:gridCol w:w="196"/>
        <w:gridCol w:w="196"/>
        <w:gridCol w:w="929"/>
        <w:gridCol w:w="146"/>
        <w:gridCol w:w="196"/>
        <w:gridCol w:w="235"/>
        <w:gridCol w:w="1120"/>
        <w:gridCol w:w="146"/>
        <w:gridCol w:w="196"/>
        <w:gridCol w:w="165"/>
        <w:gridCol w:w="784"/>
        <w:gridCol w:w="146"/>
        <w:gridCol w:w="196"/>
        <w:gridCol w:w="196"/>
        <w:gridCol w:w="929"/>
        <w:gridCol w:w="146"/>
        <w:gridCol w:w="196"/>
        <w:gridCol w:w="235"/>
        <w:gridCol w:w="1120"/>
        <w:gridCol w:w="146"/>
        <w:gridCol w:w="196"/>
        <w:gridCol w:w="165"/>
        <w:gridCol w:w="784"/>
        <w:gridCol w:w="201"/>
      </w:tblGrid>
      <w:tr>
        <w:trPr/>
        <w:tc>
          <w:tcPr>
            <w:tcW w:w="1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Licenses and Permits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458,854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726,665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250,952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475,713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726,665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238,378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488,287</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amortization expense for the three months ended March 31, 2025 and 2024 of $12,574 thousand and $12,671 thousand, respectively. As of March 31, 2025 and December 31, 2024, intangible assets are carried net of accumulated impairment losses of $31,131 thousand as of each period then 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outlines the estimated annual amortization expense related to intangible assets as of March 31, 2025: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37,720</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47,332</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46,803</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46,803</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46,803</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250,252</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475,713</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As of March 31, 2025, the weighted average amortization period remaining for intangible assets was 10.21 years. </w:t>
      </w:r>
    </w:p>
    <w:p>
      <w:pPr>
        <w:pStyle w:val="TextBody"/>
        <w:bidi w:val="0"/>
        <w:spacing w:before="360" w:after="283"/>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2025 and December 31, 2024 the balances of goodwill, by segment, consisted of the following: </w:t>
      </w:r>
    </w:p>
    <w:p>
      <w:pPr>
        <w:pStyle w:val="TextBody"/>
        <w:bidi w:val="0"/>
        <w:spacing w:before="120" w:after="283"/>
        <w:jc w:val="left"/>
        <w:rPr/>
      </w:pPr>
      <w:r>
        <w:rPr/>
        <w:t> </w:t>
      </w:r>
    </w:p>
    <w:tbl>
      <w:tblPr>
        <w:tblW w:w="5300" w:type="dxa"/>
        <w:jc w:val="left"/>
        <w:tblInd w:w="0" w:type="dxa"/>
        <w:tblLayout w:type="fixed"/>
        <w:tblCellMar>
          <w:top w:w="28" w:type="dxa"/>
          <w:left w:w="28" w:type="dxa"/>
          <w:bottom w:w="28" w:type="dxa"/>
          <w:right w:w="28" w:type="dxa"/>
        </w:tblCellMar>
      </w:tblPr>
      <w:tblGrid>
        <w:gridCol w:w="2101"/>
        <w:gridCol w:w="196"/>
        <w:gridCol w:w="1261"/>
        <w:gridCol w:w="196"/>
        <w:gridCol w:w="1546"/>
      </w:tblGrid>
      <w:tr>
        <w:trPr/>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Packaged Goods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recognized net of accumulated impairment losses of $57,372 thousand as of March 31, 2025 and December 31, 2024, respectively. During the three months ended March 31, 2025 and 2024, there were no conditions present that would require consideration as to whether an impairment test was necessary.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and December 31, 2024, the Company held various equity interests in cannabis-related companies as well as investments in note(s) receivable instruments that had a combined fair value of $43,461 thousand and $43,578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investments during the three months ended March 31, 2025 and year ending December 31, 2024: </w:t>
      </w:r>
    </w:p>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1606"/>
        <w:gridCol w:w="196"/>
        <w:gridCol w:w="1261"/>
        <w:gridCol w:w="196"/>
        <w:gridCol w:w="1546"/>
      </w:tblGrid>
      <w:tr>
        <w:trPr/>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12,029</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43,461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43,578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fair value associated with the Company's equity investments and notes receivable instruments recorded during the three months ended March 31, 2025 and 2024:</w:t>
      </w:r>
    </w:p>
    <w:p>
      <w:pPr>
        <w:pStyle w:val="TextBody"/>
        <w:bidi w:val="0"/>
        <w:jc w:val="left"/>
        <w:rPr/>
      </w:pPr>
      <w:r>
        <w:rPr/>
        <w:t> </w:t>
      </w:r>
    </w:p>
    <w:tbl>
      <w:tblPr>
        <w:tblW w:w="6016" w:type="dxa"/>
        <w:jc w:val="left"/>
        <w:tblInd w:w="0" w:type="dxa"/>
        <w:tblLayout w:type="fixed"/>
        <w:tblCellMar>
          <w:top w:w="28" w:type="dxa"/>
          <w:left w:w="28" w:type="dxa"/>
          <w:bottom w:w="28" w:type="dxa"/>
          <w:right w:w="28" w:type="dxa"/>
        </w:tblCellMar>
      </w:tblPr>
      <w:tblGrid>
        <w:gridCol w:w="3571"/>
        <w:gridCol w:w="350"/>
        <w:gridCol w:w="832"/>
        <w:gridCol w:w="350"/>
        <w:gridCol w:w="913"/>
      </w:tblGrid>
      <w:tr>
        <w:trPr/>
        <w:tc>
          <w:tcPr>
            <w:tcW w:w="35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Receivable Instruments</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on Notes Receivable Instruments</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fair value gains</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722</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held equity investments in both publicly and privately traded entities. Generally, publicly traded entities have readily determinable fair values and are classified as Level 1 investments. Meanwhile, non-publicly traded entities generally do not have readily determinable fair values and are are classified as Level 3 investments. The Company has classified all of its holdings as trading securities and recorded such amounts within investments on the Company's unaudited interim condensed consolidated balance sheets.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1 equity investments during the three months ended March 31, 2025 and 2024:</w:t>
      </w:r>
    </w:p>
    <w:p>
      <w:pPr>
        <w:pStyle w:val="TextBody"/>
        <w:bidi w:val="0"/>
        <w:jc w:val="left"/>
        <w:rPr/>
      </w:pPr>
      <w:r>
        <w:rPr/>
        <w:t> </w:t>
      </w:r>
    </w:p>
    <w:tbl>
      <w:tblPr>
        <w:tblW w:w="4051" w:type="dxa"/>
        <w:jc w:val="left"/>
        <w:tblInd w:w="0" w:type="dxa"/>
        <w:tblLayout w:type="fixed"/>
        <w:tblCellMar>
          <w:top w:w="28" w:type="dxa"/>
          <w:left w:w="28" w:type="dxa"/>
          <w:bottom w:w="28" w:type="dxa"/>
          <w:right w:w="28" w:type="dxa"/>
        </w:tblCellMar>
      </w:tblPr>
      <w:tblGrid>
        <w:gridCol w:w="1606"/>
        <w:gridCol w:w="339"/>
        <w:gridCol w:w="806"/>
        <w:gridCol w:w="339"/>
        <w:gridCol w:w="961"/>
      </w:tblGrid>
      <w:tr>
        <w:trPr/>
        <w:tc>
          <w:tcPr>
            <w:tcW w:w="16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2,499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2024, the Company sold all remaining Level 1 equity investments. As of March 31, 2025, the Company held no Level 1 equity investments.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 Equity Investments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3 equity investments during the three months ended March 31, 2025 and 2024:</w:t>
      </w:r>
    </w:p>
    <w:p>
      <w:pPr>
        <w:pStyle w:val="TextBody"/>
        <w:bidi w:val="0"/>
        <w:jc w:val="left"/>
        <w:rPr/>
      </w:pPr>
      <w:r>
        <w:rPr/>
        <w:t> </w:t>
      </w:r>
    </w:p>
    <w:tbl>
      <w:tblPr>
        <w:tblW w:w="3285" w:type="dxa"/>
        <w:jc w:val="left"/>
        <w:tblInd w:w="0" w:type="dxa"/>
        <w:tblLayout w:type="fixed"/>
        <w:tblCellMar>
          <w:top w:w="28" w:type="dxa"/>
          <w:left w:w="28" w:type="dxa"/>
          <w:bottom w:w="28" w:type="dxa"/>
          <w:right w:w="28" w:type="dxa"/>
        </w:tblCellMar>
      </w:tblPr>
      <w:tblGrid>
        <w:gridCol w:w="841"/>
        <w:gridCol w:w="292"/>
        <w:gridCol w:w="896"/>
        <w:gridCol w:w="292"/>
        <w:gridCol w:w="964"/>
      </w:tblGrid>
      <w:tr>
        <w:trPr/>
        <w:tc>
          <w:tcPr>
            <w:tcW w:w="8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25,953</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36,487</w:t>
            </w:r>
          </w:p>
        </w:tc>
        <w:tc>
          <w:tcPr>
            <w:tcW w:w="2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25,953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unrealized gains recognized on the Company's equity investments held during the three months ended March 31, 2025 and 2024:</w:t>
      </w:r>
    </w:p>
    <w:p>
      <w:pPr>
        <w:pStyle w:val="TextBody"/>
        <w:bidi w:val="0"/>
        <w:jc w:val="left"/>
        <w:rPr/>
      </w:pPr>
      <w:r>
        <w:rPr/>
        <w:t> </w:t>
      </w:r>
    </w:p>
    <w:tbl>
      <w:tblPr>
        <w:tblW w:w="6030" w:type="dxa"/>
        <w:jc w:val="left"/>
        <w:tblInd w:w="0" w:type="dxa"/>
        <w:tblLayout w:type="fixed"/>
        <w:tblCellMar>
          <w:top w:w="28" w:type="dxa"/>
          <w:left w:w="28" w:type="dxa"/>
          <w:bottom w:w="28" w:type="dxa"/>
          <w:right w:w="28" w:type="dxa"/>
        </w:tblCellMar>
      </w:tblPr>
      <w:tblGrid>
        <w:gridCol w:w="3586"/>
        <w:gridCol w:w="335"/>
        <w:gridCol w:w="797"/>
        <w:gridCol w:w="438"/>
        <w:gridCol w:w="874"/>
      </w:tblGrid>
      <w:tr>
        <w:trPr/>
        <w:tc>
          <w:tcPr>
            <w:tcW w:w="35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recognized on equity investments</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 recognized on equity investments</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equity investments</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12 - Fair Value Measurements for additional details.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invests in both publicly traded and privately held cannabis and cannabis-related companies by providing financing through notes receivable instruments. The fair value of these notes receivable instruments include the initial investment and contractual accrued interest recorded within interest income on the unaudited interim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the Company's notes receivable instruments are classified as trading securities and are included within investments on the Company's unaudited interim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1 notes receivable instruments during the three months ended March 31, 2025 and 2024:</w:t>
      </w:r>
    </w:p>
    <w:p>
      <w:pPr>
        <w:pStyle w:val="TextBody"/>
        <w:bidi w:val="0"/>
        <w:jc w:val="left"/>
        <w:rPr/>
      </w:pPr>
      <w:r>
        <w:rPr/>
        <w:t> </w:t>
      </w:r>
    </w:p>
    <w:tbl>
      <w:tblPr>
        <w:tblW w:w="3284" w:type="dxa"/>
        <w:jc w:val="left"/>
        <w:tblInd w:w="0" w:type="dxa"/>
        <w:tblLayout w:type="fixed"/>
        <w:tblCellMar>
          <w:top w:w="28" w:type="dxa"/>
          <w:left w:w="28" w:type="dxa"/>
          <w:bottom w:w="28" w:type="dxa"/>
          <w:right w:w="28" w:type="dxa"/>
        </w:tblCellMar>
      </w:tblPr>
      <w:tblGrid>
        <w:gridCol w:w="841"/>
        <w:gridCol w:w="318"/>
        <w:gridCol w:w="757"/>
        <w:gridCol w:w="318"/>
        <w:gridCol w:w="1050"/>
      </w:tblGrid>
      <w:tr>
        <w:trPr/>
        <w:tc>
          <w:tcPr>
            <w:tcW w:w="8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22,214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27, 2024, the Company collected the remaining principal balance of the notes receivable instruments along with accrued interest. Consequently, as of March 31, 2025, the Company held no Level 1 notes receivable instruments.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 Notes Receivable Instruments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3 notes receivable instruments during the three months ended March 31, 2025 and 2024:</w:t>
      </w:r>
    </w:p>
    <w:tbl>
      <w:tblPr>
        <w:tblW w:w="3915" w:type="dxa"/>
        <w:jc w:val="left"/>
        <w:tblInd w:w="0" w:type="dxa"/>
        <w:tblLayout w:type="fixed"/>
        <w:tblCellMar>
          <w:top w:w="28" w:type="dxa"/>
          <w:left w:w="28" w:type="dxa"/>
          <w:bottom w:w="28" w:type="dxa"/>
          <w:right w:w="28" w:type="dxa"/>
        </w:tblCellMar>
      </w:tblPr>
      <w:tblGrid>
        <w:gridCol w:w="1471"/>
        <w:gridCol w:w="303"/>
        <w:gridCol w:w="791"/>
        <w:gridCol w:w="303"/>
        <w:gridCol w:w="1047"/>
      </w:tblGrid>
      <w:tr>
        <w:trPr/>
        <w:tc>
          <w:tcPr>
            <w:tcW w:w="14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14,193</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6,974</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10,181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3 notes receivable instruments had a stated interest rates ranging between 2.7% and 10% and terms that range between twelve months and five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9, 2024, one of the Company's privately held notes receivable instruments matured and the Company collected the principal balance of $4,000 thousand and accrued interest of $605 thousand. Proceeds associated with other Level 3 notes receivable instruments made up the balance of the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12 - Fair Value Measurements for additional details.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b/>
          <w:color w:val="000000"/>
          <w:sz w:val="20"/>
        </w:rPr>
      </w:pPr>
      <w:r>
        <w:rPr>
          <w:rFonts w:ascii="Times New Roman" w:hAnsi="Times New Roman"/>
          <w:b/>
          <w:color w:val="000000"/>
          <w:sz w:val="20"/>
        </w:rPr>
        <w:t>6.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fixed non-lease components together as a single component.</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2025 and 2024, the Company recorded operating lease expense of $12,768 thousand and $12,251 thousand,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information related to operating leases as of March 31, 2025 and December 31, 2024 were as follows: </w:t>
      </w:r>
    </w:p>
    <w:p>
      <w:pPr>
        <w:pStyle w:val="TextBody"/>
        <w:bidi w:val="0"/>
        <w:spacing w:before="120" w:after="283"/>
        <w:jc w:val="left"/>
        <w:rPr/>
      </w:pPr>
      <w:r>
        <w:rPr/>
        <w:t> </w:t>
      </w:r>
    </w:p>
    <w:tbl>
      <w:tblPr>
        <w:tblW w:w="6475" w:type="dxa"/>
        <w:jc w:val="left"/>
        <w:tblInd w:w="0" w:type="dxa"/>
        <w:tblLayout w:type="fixed"/>
        <w:tblCellMar>
          <w:top w:w="28" w:type="dxa"/>
          <w:left w:w="28" w:type="dxa"/>
          <w:bottom w:w="28" w:type="dxa"/>
          <w:right w:w="28" w:type="dxa"/>
        </w:tblCellMar>
      </w:tblPr>
      <w:tblGrid>
        <w:gridCol w:w="3376"/>
        <w:gridCol w:w="146"/>
        <w:gridCol w:w="1261"/>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Maturities of lease liabilities for operating leases as of March 31, 2025 were as follows: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2431"/>
        <w:gridCol w:w="196"/>
        <w:gridCol w:w="991"/>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Remainder of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35,671</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47,561</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48,022</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46,835</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43,729</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293,771</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512,850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515,589</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(241,417)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(242,221)</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271,433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273,368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Mosaic Real Estate, LLC, which owned certain facilities leased by the Company, is owned in part by Benjamin Kovler, the Chairman and Chief Executive Officer of the Company (through KP Capital, LLC), and Anthony Georgiadis, the President and a director of the Company (through Three One Four Holdings, LLC). For the three months ended March 31, 2025 and 2024, the Company recorded lease expense of $126 thousand and $139 thousand, respectively, associated with these leasing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NOTES PAYABLE</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and December 31, 2024, notes payable consisted of the following: </w:t>
      </w:r>
    </w:p>
    <w:tbl>
      <w:tblPr>
        <w:tblW w:w="7085" w:type="dxa"/>
        <w:jc w:val="left"/>
        <w:tblInd w:w="0" w:type="dxa"/>
        <w:tblLayout w:type="fixed"/>
        <w:tblCellMar>
          <w:top w:w="28" w:type="dxa"/>
          <w:left w:w="28" w:type="dxa"/>
          <w:bottom w:w="28" w:type="dxa"/>
          <w:right w:w="28" w:type="dxa"/>
        </w:tblCellMar>
      </w:tblPr>
      <w:tblGrid>
        <w:gridCol w:w="3811"/>
        <w:gridCol w:w="196"/>
        <w:gridCol w:w="1291"/>
        <w:gridCol w:w="196"/>
        <w:gridCol w:w="1591"/>
      </w:tblGrid>
      <w:tr>
        <w:trPr/>
        <w:tc>
          <w:tcPr>
            <w:tcW w:w="3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Syndicated credit facility dated September 11, 2024</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147,979</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Mortgage notes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106,979</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254,958</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notes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(12,062)</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238,469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242,896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Credit Facility (as defined below in Section (a) of this Note 7) was issued in an aggregate amount of $150,000</w:t>
      </w:r>
      <w:r>
        <w:rPr>
          <w:rFonts w:ascii="Times New Roman" w:hAnsi="Times New Roman"/>
          <w:color w:val="000000"/>
          <w:sz w:val="20"/>
        </w:rPr>
        <w:t xml:space="preserve"> </w:t>
      </w:r>
      <w:r>
        <w:rPr>
          <w:rFonts w:ascii="Times New Roman" w:hAnsi="Times New Roman"/>
          <w:color w:val="000000"/>
          <w:sz w:val="18"/>
        </w:rPr>
        <w:t>thousand, and will bear interest at the Secured Overnight Financing Rate</w:t>
      </w:r>
      <w:r>
        <w:rPr>
          <w:rFonts w:ascii="Times New Roman" w:hAnsi="Times New Roman"/>
          <w:color w:val="000000"/>
          <w:sz w:val="20"/>
        </w:rPr>
        <w:t xml:space="preserve"> </w:t>
      </w:r>
      <w:r>
        <w:rPr>
          <w:rFonts w:ascii="Times New Roman" w:hAnsi="Times New Roman"/>
          <w:color w:val="000000"/>
          <w:sz w:val="18"/>
        </w:rPr>
        <w:t>(“SOFR”) plus 500 basis points, payable monthly. As of March 31, 2025 and December 31, 2024, the Credit Facility's outstanding principal balance was $148,125</w:t>
      </w:r>
      <w:r>
        <w:rPr>
          <w:rFonts w:ascii="Times New Roman" w:hAnsi="Times New Roman"/>
          <w:color w:val="000000"/>
          <w:sz w:val="20"/>
        </w:rPr>
        <w:t xml:space="preserve"> </w:t>
      </w:r>
      <w:r>
        <w:rPr>
          <w:rFonts w:ascii="Times New Roman" w:hAnsi="Times New Roman"/>
          <w:color w:val="000000"/>
          <w:sz w:val="18"/>
        </w:rPr>
        <w:t>thousand and $150,000</w:t>
      </w:r>
      <w:r>
        <w:rPr>
          <w:rFonts w:ascii="Times New Roman" w:hAnsi="Times New Roman"/>
          <w:color w:val="000000"/>
          <w:sz w:val="20"/>
        </w:rPr>
        <w:t xml:space="preserve"> </w:t>
      </w:r>
      <w:r>
        <w:rPr>
          <w:rFonts w:ascii="Times New Roman" w:hAnsi="Times New Roman"/>
          <w:color w:val="000000"/>
          <w:sz w:val="18"/>
        </w:rPr>
        <w:t>thousand, respectively. The Credit Facility was issued at a discount, the carrying value of which was $1,914</w:t>
      </w:r>
      <w:r>
        <w:rPr>
          <w:rFonts w:ascii="Times New Roman" w:hAnsi="Times New Roman"/>
          <w:color w:val="000000"/>
          <w:sz w:val="20"/>
        </w:rPr>
        <w:t xml:space="preserve"> </w:t>
      </w:r>
      <w:r>
        <w:rPr>
          <w:rFonts w:ascii="Times New Roman" w:hAnsi="Times New Roman"/>
          <w:color w:val="000000"/>
          <w:sz w:val="18"/>
        </w:rPr>
        <w:t>thousand and $2,021</w:t>
      </w:r>
      <w:r>
        <w:rPr>
          <w:rFonts w:ascii="Times New Roman" w:hAnsi="Times New Roman"/>
          <w:color w:val="000000"/>
          <w:sz w:val="20"/>
        </w:rPr>
        <w:t xml:space="preserve"> </w:t>
      </w:r>
      <w:r>
        <w:rPr>
          <w:rFonts w:ascii="Times New Roman" w:hAnsi="Times New Roman"/>
          <w:color w:val="000000"/>
          <w:sz w:val="18"/>
        </w:rPr>
        <w:t>thousand as of March 31, 2025 and December 31, 2024, respectively. The Credit Facility matures on September 11, 2029.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The Company has issued mortgage notes in connection with various operating properties at an aggregate value of $112,285</w:t>
      </w:r>
      <w:r>
        <w:rPr>
          <w:rFonts w:ascii="Times New Roman" w:hAnsi="Times New Roman"/>
          <w:color w:val="000000"/>
          <w:sz w:val="20"/>
        </w:rPr>
        <w:t xml:space="preserve"> </w:t>
      </w:r>
      <w:r>
        <w:rPr>
          <w:rFonts w:ascii="Times New Roman" w:hAnsi="Times New Roman"/>
          <w:color w:val="000000"/>
          <w:sz w:val="18"/>
        </w:rPr>
        <w:t>thousand as of March 31, 2025 and December 31, 2024. The mortgage notes were issued at a discount, the carrying value of which was $956</w:t>
      </w:r>
      <w:r>
        <w:rPr>
          <w:rFonts w:ascii="Times New Roman" w:hAnsi="Times New Roman"/>
          <w:color w:val="000000"/>
          <w:sz w:val="20"/>
        </w:rPr>
        <w:t xml:space="preserve"> </w:t>
      </w:r>
      <w:r>
        <w:rPr>
          <w:rFonts w:ascii="Times New Roman" w:hAnsi="Times New Roman"/>
          <w:color w:val="000000"/>
          <w:sz w:val="18"/>
        </w:rPr>
        <w:t>thousand and $1,007</w:t>
      </w:r>
      <w:r>
        <w:rPr>
          <w:rFonts w:ascii="Times New Roman" w:hAnsi="Times New Roman"/>
          <w:color w:val="000000"/>
          <w:sz w:val="20"/>
        </w:rPr>
        <w:t xml:space="preserve"> </w:t>
      </w:r>
      <w:r>
        <w:rPr>
          <w:rFonts w:ascii="Times New Roman" w:hAnsi="Times New Roman"/>
          <w:color w:val="000000"/>
          <w:sz w:val="18"/>
        </w:rPr>
        <w:t>thousand, and are presented net of principal payments of $5,099</w:t>
      </w:r>
      <w:r>
        <w:rPr>
          <w:rFonts w:ascii="Times New Roman" w:hAnsi="Times New Roman"/>
          <w:color w:val="000000"/>
          <w:sz w:val="20"/>
        </w:rPr>
        <w:t xml:space="preserve"> </w:t>
      </w:r>
      <w:r>
        <w:rPr>
          <w:rFonts w:ascii="Times New Roman" w:hAnsi="Times New Roman"/>
          <w:color w:val="000000"/>
          <w:sz w:val="18"/>
        </w:rPr>
        <w:t>thousand and $4,299</w:t>
      </w:r>
      <w:r>
        <w:rPr>
          <w:rFonts w:ascii="Times New Roman" w:hAnsi="Times New Roman"/>
          <w:color w:val="000000"/>
          <w:sz w:val="20"/>
        </w:rPr>
        <w:t xml:space="preserve"> </w:t>
      </w:r>
      <w:r>
        <w:rPr>
          <w:rFonts w:ascii="Times New Roman" w:hAnsi="Times New Roman"/>
          <w:color w:val="000000"/>
          <w:sz w:val="18"/>
        </w:rPr>
        <w:t>thousand as of March 31, 2025 and December 31, 2024, respectively. These mortgage notes mature between August 20, 2025</w:t>
      </w:r>
      <w:r>
        <w:rPr>
          <w:rFonts w:ascii="Times New Roman" w:hAnsi="Times New Roman"/>
          <w:color w:val="000000"/>
          <w:sz w:val="20"/>
        </w:rPr>
        <w:t xml:space="preserve"> </w:t>
      </w:r>
      <w:r>
        <w:rPr>
          <w:rFonts w:ascii="Times New Roman" w:hAnsi="Times New Roman"/>
          <w:color w:val="000000"/>
          <w:sz w:val="18"/>
        </w:rPr>
        <w:t>and June 5, 2035</w:t>
      </w:r>
      <w:r>
        <w:rPr>
          <w:rFonts w:ascii="Times New Roman" w:hAnsi="Times New Roman"/>
          <w:color w:val="000000"/>
          <w:sz w:val="20"/>
        </w:rPr>
        <w:t xml:space="preserve"> </w:t>
      </w:r>
      <w:r>
        <w:rPr>
          <w:rFonts w:ascii="Times New Roman" w:hAnsi="Times New Roman"/>
          <w:color w:val="000000"/>
          <w:sz w:val="18"/>
        </w:rPr>
        <w:t>with interest rates ranging between 5.00%</w:t>
      </w:r>
      <w:r>
        <w:rPr>
          <w:rFonts w:ascii="Times New Roman" w:hAnsi="Times New Roman"/>
          <w:color w:val="000000"/>
          <w:sz w:val="20"/>
        </w:rPr>
        <w:t xml:space="preserve"> </w:t>
      </w:r>
      <w:r>
        <w:rPr>
          <w:rFonts w:ascii="Times New Roman" w:hAnsi="Times New Roman"/>
          <w:color w:val="000000"/>
          <w:sz w:val="18"/>
        </w:rPr>
        <w:t>and 7.77%.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Syndicated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11, 2024, the Company entered into a $150,000 thousand syndicated credit facility (the “Credit Facility”) led by Valley National Bank. The Credit Facility has a maturity date of September 11, 2029 and bears interest from the date of issuance at the SOFR plus 500 basis points, payable monthly. As of March 31, 2025, the floating interest rate on the Credit Facility was 9.32%.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Facility includes certain covenants which require the Company to maintain a debt service coverage ratio of 1.5 to 1.0, a funded debt to Adjusted Earnings Before Interest Depreciation and Amortization (“Adjusted EBITDA”) (see "Non-GAAP Measure" below for additional information on Adjusted EBITDA) ratio no greater than 3.5 to 1.0, and a tangible net worth of at least $500 thousand. As of March 31, 2025, the Company was in compliance with all covenants associated with the Credit Facility.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b/>
          <w:color w:val="000000"/>
          <w:sz w:val="20"/>
        </w:rPr>
      </w:pPr>
      <w:r>
        <w:rPr>
          <w:rFonts w:ascii="Times New Roman" w:hAnsi="Times New Roman"/>
          <w:b/>
          <w:color w:val="000000"/>
          <w:sz w:val="20"/>
        </w:rPr>
        <w:t>8. SHARE CAPITAL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(“ASC”) 740,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following classes of share capital, with each class having no par value: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Multiple Voting Share is entitled to 100 votes per share at shareholder meetings of the Company and is exchangeable for 100 Subordinate Voting Shares. The Company is authorized to issue an unlimited number of Multiple Voting Shares. </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amounts of the issued and outstanding shares by class is as follows: </w:t>
      </w:r>
    </w:p>
    <w:p>
      <w:pPr>
        <w:pStyle w:val="TextBody"/>
        <w:bidi w:val="0"/>
        <w:spacing w:before="120" w:after="283"/>
        <w:jc w:val="left"/>
        <w:rPr/>
      </w:pPr>
      <w:r>
        <w:rPr/>
        <w:t> </w:t>
      </w:r>
    </w:p>
    <w:tbl>
      <w:tblPr>
        <w:tblW w:w="7627" w:type="dxa"/>
        <w:jc w:val="left"/>
        <w:tblInd w:w="0" w:type="dxa"/>
        <w:tblLayout w:type="fixed"/>
        <w:tblCellMar>
          <w:top w:w="28" w:type="dxa"/>
          <w:left w:w="28" w:type="dxa"/>
          <w:bottom w:w="28" w:type="dxa"/>
          <w:right w:w="28" w:type="dxa"/>
        </w:tblCellMar>
      </w:tblPr>
      <w:tblGrid>
        <w:gridCol w:w="4516"/>
        <w:gridCol w:w="146"/>
        <w:gridCol w:w="1141"/>
        <w:gridCol w:w="146"/>
        <w:gridCol w:w="706"/>
        <w:gridCol w:w="146"/>
        <w:gridCol w:w="82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211,128,045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206,690</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associated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of deferred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shares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Subordinate Voting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212,043,849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206,690</w:t>
            </w:r>
          </w:p>
        </w:tc>
      </w:tr>
    </w:tbl>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8.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Distribution of Deferred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the consideration exchanged for acquisitions completed in previous periods, the Company deferred the distribution of Subordinate Voting Shares to secure the Company's indemnification rights associated with post-acquisition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during three months ended March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0"/>
        <w:gridCol w:w="5880"/>
        <w:gridCol w:w="1870"/>
        <w:gridCol w:w="855"/>
      </w:tblGrid>
      <w:tr>
        <w:trPr/>
        <w:tc>
          <w:tcPr>
            <w:tcW w:w="1600" w:type="dxa"/>
            <w:tcBorders/>
            <w:vAlign w:val="center"/>
          </w:tcPr>
          <w:p>
            <w:pPr>
              <w:pStyle w:val="TableContents"/>
              <w:bidi w:val="0"/>
              <w:spacing w:before="0" w:after="283"/>
              <w:jc w:val="left"/>
              <w:rPr>
                <w:sz w:val="4"/>
                <w:szCs w:val="4"/>
              </w:rPr>
            </w:pPr>
            <w:r>
              <w:rPr>
                <w:sz w:val="4"/>
                <w:szCs w:val="4"/>
              </w:rPr>
            </w:r>
          </w:p>
        </w:tc>
        <w:tc>
          <w:tcPr>
            <w:tcW w:w="588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Acquisition</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Mobley Pain Management and Wellness Center, LLC and Canwell Processing, LLC</w:t>
            </w:r>
          </w:p>
        </w:tc>
        <w:tc>
          <w:tcPr>
            <w:tcW w:w="1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LeafLine Industries, LLC</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January 1, 2024</w:t>
            </w:r>
          </w:p>
        </w:tc>
        <w:tc>
          <w:tcPr>
            <w:tcW w:w="5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386,002</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554,335</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March 31, 2024</w:t>
            </w:r>
          </w:p>
        </w:tc>
        <w:tc>
          <w:tcPr>
            <w:tcW w:w="58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386,002</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554,335</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January 1, 2025</w:t>
            </w:r>
          </w:p>
        </w:tc>
        <w:tc>
          <w:tcPr>
            <w:tcW w:w="5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76,665</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244,998</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Distributed Shares</w:t>
            </w:r>
          </w:p>
        </w:tc>
        <w:tc>
          <w:tcPr>
            <w:tcW w:w="5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(76,653)</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(244,986)</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 Shares</w:t>
            </w:r>
          </w:p>
        </w:tc>
        <w:tc>
          <w:tcPr>
            <w:tcW w:w="5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March 31, 2025</w:t>
            </w:r>
          </w:p>
        </w:tc>
        <w:tc>
          <w:tcPr>
            <w:tcW w:w="58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(ii) Repurchase of 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13, 2024, the Company's Board of Directors authorized the repurchase of up to 10,573,860 of its Subordinate Voting Shares over a 12-month period at an aggregate cost of up to $50,000 thousand. During the three months ended March 31, 2025, the Company repurchased 160,000 Subordinate Voting Shares at an average price of $6.49 per share. As of March 31, 2025, the total remaining repurchase ability of the Company was approximately $39,300 thousand.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established the Green Thumb Industries Inc. 2018 Stock and Incentive Plan, which was amended by Amendment No. 1, Amendment No. 2 and Amendment No. 3 thereto (as amended, the “Plan”). The maximum number of Restricted Stock Units (“RSUs”) and options outstanding under the Plan at any time shall not exceed 10% of the then issued and outstanding shares on an as-converted basis. The Company's Board of Directors has proposed that its shareholders approve Amendment No.4 to the Plan to increase the number of RSU's and options that may be outstanding under the Plan to not exceed 15% of the then issued and outstanding shares on an as-converted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8.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(c) Stock-Based Compensation </w:t>
      </w:r>
      <w:r>
        <w:rPr>
          <w:rFonts w:ascii="Times New Roman" w:hAnsi="Times New Roman"/>
          <w:i/>
          <w:color w:val="000000"/>
          <w:sz w:val="20"/>
        </w:rPr>
        <w:t>(Continued)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 and RSU awards generally vest over three years, and options typically have a life of seven to ten years. Option grants under the Plan are determined by the Compensation Committee of the Company’s Board of Directors with the option price set at no less than 100% of the fair market value of a share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w:t>
      </w:r>
    </w:p>
    <w:tbl>
      <w:tblPr>
        <w:tblW w:w="10205" w:type="dxa"/>
        <w:jc w:val="left"/>
        <w:tblInd w:w="0" w:type="dxa"/>
        <w:tblLayout w:type="fixed"/>
        <w:tblCellMar>
          <w:top w:w="28" w:type="dxa"/>
          <w:left w:w="28" w:type="dxa"/>
          <w:bottom w:w="28" w:type="dxa"/>
          <w:right w:w="28" w:type="dxa"/>
        </w:tblCellMar>
      </w:tblPr>
      <w:tblGrid>
        <w:gridCol w:w="2784"/>
        <w:gridCol w:w="1401"/>
        <w:gridCol w:w="2485"/>
        <w:gridCol w:w="3535"/>
      </w:tblGrid>
      <w:tr>
        <w:trPr/>
        <w:tc>
          <w:tcPr>
            <w:tcW w:w="278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8,238,472</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100,862</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(204,988)</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(679,349)</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7,454,997</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2025</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5,109,094</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used the Black-Scholes option pricing model to estimate the fair value of the options granted during the three months ended March 31, 2025 and the year ended December 31, 2024, using the following ranges of assumptions: </w:t>
      </w:r>
    </w:p>
    <w:tbl>
      <w:tblPr>
        <w:tblW w:w="4848" w:type="dxa"/>
        <w:jc w:val="left"/>
        <w:tblInd w:w="0" w:type="dxa"/>
        <w:tblLayout w:type="fixed"/>
        <w:tblCellMar>
          <w:top w:w="28" w:type="dxa"/>
          <w:left w:w="28" w:type="dxa"/>
          <w:bottom w:w="28" w:type="dxa"/>
          <w:right w:w="28" w:type="dxa"/>
        </w:tblCellMar>
      </w:tblPr>
      <w:tblGrid>
        <w:gridCol w:w="2131"/>
        <w:gridCol w:w="1336"/>
        <w:gridCol w:w="1381"/>
      </w:tblGrid>
      <w:tr>
        <w:trPr/>
        <w:tc>
          <w:tcPr>
            <w:tcW w:w="21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 - 4.33%</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 - 3.92%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3.76 - 4.5 years</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4.46 - 4.5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718, the Company has made an accounting policy choice to account for forfeitures when they occur.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number of unvested RSU awards as of March 31, 2025 and December 31, 2024 and the changes during the three months ended March 31, 2025: </w:t>
      </w:r>
    </w:p>
    <w:tbl>
      <w:tblPr>
        <w:tblW w:w="8250" w:type="dxa"/>
        <w:jc w:val="left"/>
        <w:tblInd w:w="0" w:type="dxa"/>
        <w:tblLayout w:type="fixed"/>
        <w:tblCellMar>
          <w:top w:w="28" w:type="dxa"/>
          <w:left w:w="28" w:type="dxa"/>
          <w:bottom w:w="28" w:type="dxa"/>
          <w:right w:w="28" w:type="dxa"/>
        </w:tblCellMar>
      </w:tblPr>
      <w:tblGrid>
        <w:gridCol w:w="3271"/>
        <w:gridCol w:w="146"/>
        <w:gridCol w:w="1411"/>
        <w:gridCol w:w="211"/>
        <w:gridCol w:w="3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stock-based compensation expense for the three months ended March 31, 2025 and 2024 was as follows: </w:t>
      </w:r>
    </w:p>
    <w:tbl>
      <w:tblPr>
        <w:tblW w:w="6227" w:type="dxa"/>
        <w:jc w:val="left"/>
        <w:tblInd w:w="0" w:type="dxa"/>
        <w:tblLayout w:type="fixed"/>
        <w:tblCellMar>
          <w:top w:w="28" w:type="dxa"/>
          <w:left w:w="28" w:type="dxa"/>
          <w:bottom w:w="28" w:type="dxa"/>
          <w:right w:w="28" w:type="dxa"/>
        </w:tblCellMar>
      </w:tblPr>
      <w:tblGrid>
        <w:gridCol w:w="3571"/>
        <w:gridCol w:w="211"/>
        <w:gridCol w:w="1100"/>
        <w:gridCol w:w="343"/>
        <w:gridCol w:w="1002"/>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$67,812 thousand of total unrecognized expense related to stock-based compensation awards is expected to be recognized over a weighted-average period of 2.10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9.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income tax expense and effective tax rates for the three months ended March 31, 2025 and 2024: </w:t>
      </w:r>
    </w:p>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2446"/>
        <w:gridCol w:w="211"/>
        <w:gridCol w:w="1028"/>
        <w:gridCol w:w="320"/>
        <w:gridCol w:w="1096"/>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rates for the three months ended March 31, 2025 and 2024 were based on the Company’s forecasted annualized effective tax rates and were adjusted for discrete items that occurred within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Taxes paid during the three months ended March 31, 2025 and 2024 were $51 thousand and $75 thousand,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10.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other income (expense) was comprised of the following: </w:t>
      </w:r>
    </w:p>
    <w:p>
      <w:pPr>
        <w:pStyle w:val="TextBody"/>
        <w:bidi w:val="0"/>
        <w:jc w:val="left"/>
        <w:rPr/>
      </w:pPr>
      <w:r>
        <w:rPr/>
        <w:t> </w:t>
      </w:r>
    </w:p>
    <w:tbl>
      <w:tblPr>
        <w:tblW w:w="6088" w:type="dxa"/>
        <w:jc w:val="left"/>
        <w:tblInd w:w="0" w:type="dxa"/>
        <w:tblLayout w:type="fixed"/>
        <w:tblCellMar>
          <w:top w:w="28" w:type="dxa"/>
          <w:left w:w="28" w:type="dxa"/>
          <w:bottom w:w="28" w:type="dxa"/>
          <w:right w:w="28" w:type="dxa"/>
        </w:tblCellMar>
      </w:tblPr>
      <w:tblGrid>
        <w:gridCol w:w="3301"/>
        <w:gridCol w:w="196"/>
        <w:gridCol w:w="900"/>
        <w:gridCol w:w="355"/>
        <w:gridCol w:w="114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warrants liability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equity method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Claims and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relating to claims arising out of operations in the normal course of business. The following is an update to the status of previously disclosed matters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pStyle w:val="TextBody"/>
        <w:bidi w:val="0"/>
        <w:spacing w:before="120" w:after="283"/>
        <w:jc w:val="left"/>
        <w:rPr>
          <w:rFonts w:ascii="Times New Roman" w:hAnsi="Times New Roman"/>
          <w:sz w:val="20"/>
        </w:rPr>
      </w:pPr>
      <w:r>
        <w:rPr>
          <w:rFonts w:ascii="Times New Roman" w:hAnsi="Times New Roman"/>
          <w:b/>
          <w:color w:val="000000"/>
          <w:sz w:val="20"/>
        </w:rPr>
        <w:t>(c) Construction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held approximately $5,900 thousand of open construction commitments to contractors on work being performed which are generally expected to be completed within 12 months.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 FAIR VALUE MEASUREMENTS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that are observable for the asset or liability, either directly or indirectly;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for the asset or liability that are not based on observable market data.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investments, accounts payable and accrued liabilities, notes payable and warrant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was not practicable to estimate the fair value of the Company's long-term notes payable, which consist of the Credit Facility and mortgage notes, since there were no quoted market prices or active trading markets. The carrying amount of notes payable at March 31, 2025 and December 31, 2024 was $252,441 thousand and $254,958 thousand, respectively, which includes $13,972 thousand and $12,062 thousand, respectively, of short-term debt due within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 2025</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210,582</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43,461</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210,582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43,460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254,042</w:t>
            </w:r>
          </w:p>
        </w:tc>
      </w:tr>
    </w:tbl>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171,687</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43,510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215,197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SEGMENT REPORTING</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below table presents revenues by type for the three months ended March 31, 2025 and 2024: </w:t>
      </w:r>
    </w:p>
    <w:p>
      <w:pPr>
        <w:pStyle w:val="TextBody"/>
        <w:bidi w:val="0"/>
        <w:spacing w:before="240" w:after="283"/>
        <w:jc w:val="left"/>
        <w:rPr/>
      </w:pPr>
      <w:r>
        <w:rPr/>
        <w:t> </w:t>
      </w:r>
    </w:p>
    <w:tbl>
      <w:tblPr>
        <w:tblW w:w="6463" w:type="dxa"/>
        <w:jc w:val="left"/>
        <w:tblInd w:w="0" w:type="dxa"/>
        <w:tblLayout w:type="fixed"/>
        <w:tblCellMar>
          <w:top w:w="28" w:type="dxa"/>
          <w:left w:w="28" w:type="dxa"/>
          <w:bottom w:w="28" w:type="dxa"/>
          <w:right w:w="28" w:type="dxa"/>
        </w:tblCellMar>
      </w:tblPr>
      <w:tblGrid>
        <w:gridCol w:w="3271"/>
        <w:gridCol w:w="211"/>
        <w:gridCol w:w="1232"/>
        <w:gridCol w:w="326"/>
        <w:gridCol w:w="1232"/>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198,672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170,284</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279,540</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275,806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133,353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(96,878)</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136,265</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70,494</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143,275</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29,411</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assigned to the Retail segment as of March 31, 2025 and December 31, 2024 was $273,802 thousand at each period then ended. Intangible assets, net assigned to the Retail segment as of March 31, 2025 and December 31, 2024 was $248,326 thousand and $254,358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assigned to the Consumer Packaged Goods segment as of March 31, 2025 and December 31, 2024 was $315,889 thousand at each period then ended. Intangible assets, net assigned to the Consumer Packaged Goods segment as of March 31, 2025 and December 31, 2024 was $227,387 thousand and $233,929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2_mda"/>
      <w:bookmarkStart w:id="9" w:name="management_discussion_and_analysis"/>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 discussion and analysis (“MD&amp;A”) of the financial condition and results of operations of Green Thumb Industries Inc. (the “Company” or “Green Thumb”) is for the three months ended March 31, 2025 and 2024. It is supplemental to, and should be read in conjunction with, the Company’s unaudited interim condensed consolidated financial statements as of March 31, 2025 and the consolidated financial statements for the year ended December 31, 2024 included in the Company’s Annual Report on Form 10-K for the year ended December 31, 2024 filed with the U.S. Securities and Exchange Commission (“SEC”) on February 27, 2025 (the “2024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2024 Form 10-K.” As a result of many factors, the Company’s actual results may differ materially from those anticipated in these forward-looking statements and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Established in 2014 and headquartered in Chicago, Illinois, Green Thumb, a national cannabis consumer packaged goods company and retailer, promotes well-being through the power of cannabis while being committed to community and sustainable profitable growth. As of March 31, 2025, Green Thumb has operations in fourteen U.S. markets, employs approximately 4,900 people and serves millions of patients and customers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 immaterial portion of the Company’s business involved producing products containing hemp-derived tetrahydrocannabinol (“THC”) such as Delta-8 THC and Delta-9 THC.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product categories are individually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 owns and operates a national cannabis retail chain called RISE Dispensaries that aims to bring patients and customers a variety of high-quality products at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March 31, 2025, the Company had 103 open and operating Retail stores. The Company’s new store opening plans will remain fluid depending on market conditions, obtaining local licensing, construction and other permissions and subject to the Company’s capital allocation plans as described under the heading “Liquidity, Financing Activities During the Period, and Capital Resources” below.</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selected consolidated financial results for the periods, and as of the dates, indicated. The (i) unaudited interim condensed consolidated statements of operations for the three months ended March 31, 2025 and 2024 and (ii) unaudited interim condensed consolidated balance sheet as of March 31, 2025 and December 31, 2024 have been derived from, and should be read in conjunction with, the unaudited interim condensed consolidated financial statements and accompanying notes presented in Item 1 of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 </w:t>
      </w:r>
    </w:p>
    <w:tbl>
      <w:tblPr>
        <w:tblW w:w="10205" w:type="dxa"/>
        <w:jc w:val="left"/>
        <w:tblInd w:w="0" w:type="dxa"/>
        <w:tblLayout w:type="fixed"/>
        <w:tblCellMar>
          <w:top w:w="28" w:type="dxa"/>
          <w:left w:w="28" w:type="dxa"/>
          <w:bottom w:w="28" w:type="dxa"/>
          <w:right w:w="28" w:type="dxa"/>
        </w:tblCellMar>
      </w:tblPr>
      <w:tblGrid>
        <w:gridCol w:w="4718"/>
        <w:gridCol w:w="196"/>
        <w:gridCol w:w="1640"/>
        <w:gridCol w:w="319"/>
        <w:gridCol w:w="1640"/>
        <w:gridCol w:w="196"/>
        <w:gridCol w:w="834"/>
        <w:gridCol w:w="662"/>
      </w:tblGrid>
      <w:tr>
        <w:trPr/>
        <w:tc>
          <w:tcPr>
            <w:tcW w:w="4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279,540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(136,265)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5,388</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143,275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100,793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26,535</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100,793</w:t>
            </w:r>
          </w:p>
        </w:tc>
        <w:tc>
          <w:tcPr>
            <w:tcW w:w="3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74,258</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26,535</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42,482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(28,189)</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 And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(23,781)</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32,149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(22,947)</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Green Thumb Industries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8,306</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(22,770)</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4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236,120,511</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236,759,731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236,822,468</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240,561,864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40" w:type="dxa"/>
        <w:jc w:val="left"/>
        <w:tblInd w:w="0" w:type="dxa"/>
        <w:tblLayout w:type="fixed"/>
        <w:tblCellMar>
          <w:top w:w="28" w:type="dxa"/>
          <w:left w:w="28" w:type="dxa"/>
          <w:bottom w:w="28" w:type="dxa"/>
          <w:right w:w="28" w:type="dxa"/>
        </w:tblCellMar>
      </w:tblPr>
      <w:tblGrid>
        <w:gridCol w:w="1666"/>
        <w:gridCol w:w="196"/>
        <w:gridCol w:w="1291"/>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2,569,082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2,537,012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575,618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582,963</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March 31, 2025 Compared to the Three Months Ended March 31, 2024</w:t>
      </w:r>
    </w:p>
    <w:p>
      <w:pPr>
        <w:pStyle w:val="TextBody"/>
        <w:bidi w:val="0"/>
        <w:spacing w:before="120" w:after="283"/>
        <w:jc w:val="left"/>
        <w:rPr>
          <w:rFonts w:ascii="Times New Roman" w:hAnsi="Times New Roman"/>
          <w:sz w:val="20"/>
        </w:rPr>
      </w:pPr>
      <w:r>
        <w:rPr>
          <w:rFonts w:ascii="Times New Roman" w:hAnsi="Times New Roman"/>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three months ended March 31, 2025 was $279,540 thousand, up 1% from $275,806 thousand during the three months ended March 31, 2024. Key performance drivers for the period included: (i) the legalization of adult-use sales in Ohio, which began on August 6, 2024; (ii) growth in existing markets, particularly in New York; and (iii) revenue generated from new Retail stores opened in the current period, offset by price compression.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103 Retail stores during the quarter compared to 92 in the same quarter of the prior year. Retail revenues made up 71% of total revenues during the three months ended March 31, 2025 as compared to 74% during the three months ended March 31, 2024. Since March 31, 2024, the Company opened six new Retail stores in Florida, one in Minnesota, two in Nevada, one in New York and one in Ohio.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Consumer Packaged Goods revenues made up 29% of total revenues during the three months ended March 31, 2025 as compared to 26% during the three months ended March 31, 2024.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Cost of Goods Sold,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three months ended March 31, 2025 was $136,265 thousand, up 4% from $130,877 thousand for the three months ended March 31, 2024, driven by increased demand stemming from the launch of adult-use sales in Ohio, as well as increased sales volume at the Company's CPG facilities as well as its newly opened Retail stores.</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for the three months ended March 31, 2025 was $143,275 thousand, representing a gross margin on the sale of branded cannabis flower and processed and packaged products including concentrates, edibles, topicals and other cannabis products, of 51%. This is compared to gross profit for the three months ended March 31, 2024 of $144,929 thousand, or a 53% gross margin. The decrease in gross profit was primarily driven by price compression as discussed above. </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expenses for the three months ended March 31, 2025 were $100,793 thousand, or 36% of revenues, net of discounts, a increase of $26,535 thousand compared to the same period in the prior year. Total expenses for the three months ended March 31, 2024 were $74,258 thousand or 27% of revenues, net of discounts. The increase in total expenses was primarily attributable to a favorable fair value adjustment associated with the Company's contingent consideration liability recorded during the three months ended March 31, 2024.</w:t>
      </w:r>
    </w:p>
    <w:p>
      <w:pPr>
        <w:pStyle w:val="TextBody"/>
        <w:bidi w:val="0"/>
        <w:spacing w:before="360" w:after="283"/>
        <w:jc w:val="left"/>
        <w:rPr>
          <w:rFonts w:ascii="Times New Roman" w:hAnsi="Times New Roman"/>
          <w:sz w:val="20"/>
        </w:rPr>
      </w:pPr>
      <w:r>
        <w:rPr>
          <w:rFonts w:ascii="Times New Roman" w:hAnsi="Times New Roman"/>
          <w:i/>
          <w:color w:val="000000"/>
          <w:sz w:val="20"/>
        </w:rPr>
        <w:t>Total 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for the three months ended March 31, 2025 was $2,766 thousand, a decrease of $4,408 thousand, primarily due to a reduction in the amount of interest capitalized on construction projects during the three months ended March 31, 2025, as well as less favorable fair value adjustments recorded on the Company's warrant liability as compared to the three months ended March 31, 2024.</w:t>
      </w:r>
    </w:p>
    <w:p>
      <w:pPr>
        <w:pStyle w:val="TextBody"/>
        <w:bidi w:val="0"/>
        <w:spacing w:before="360" w:after="283"/>
        <w:jc w:val="left"/>
        <w:rPr>
          <w:rFonts w:ascii="Times New Roman" w:hAnsi="Times New Roman"/>
          <w:sz w:val="20"/>
        </w:rPr>
      </w:pPr>
      <w:r>
        <w:rPr>
          <w:rFonts w:ascii="Times New Roman" w:hAnsi="Times New Roman"/>
          <w:i/>
          <w:color w:val="000000"/>
          <w:sz w:val="20"/>
        </w:rPr>
        <w:t>Income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provision for income taxes and non-controlling interest for the three months ended March 31, 2025 was $39,716 thousand, an increase of $23,781 thousand compared to the three months ended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presented under the heading “Non-GAAP Measures” below, after adjusting for non-cash equity incentive compensation of $10,309 thousand and $6,490 thousand in the three months ended March 31, 2025 and 2024, respectively, and other nonoperating expenses (income), of $3,045 thousand and $(14,388) thousand in three months ended March 31, 2025 and 2024, respectively, Adjusted EBITDA was $85,247 thousand and $90,548 thousand,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three months ended March 31, 2025, federal and state income tax expense totaled $31,315 thousand compared to expense of $32,149 thousand</w:t>
      </w:r>
      <w:r>
        <w:rPr>
          <w:rFonts w:ascii="Times New Roman" w:hAnsi="Times New Roman"/>
          <w:color w:val="FF0000"/>
          <w:sz w:val="20"/>
        </w:rPr>
        <w:t xml:space="preserve"> </w:t>
      </w:r>
      <w:r>
        <w:rPr>
          <w:rFonts w:ascii="Times New Roman" w:hAnsi="Times New Roman"/>
          <w:color w:val="000000"/>
          <w:sz w:val="20"/>
        </w:rPr>
        <w:t xml:space="preserve">for the three months ended March 31, 2024.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revenues, net of discounts by segment for the three months ended March 31, 2025 and 2024: </w:t>
      </w:r>
    </w:p>
    <w:p>
      <w:pPr>
        <w:pStyle w:val="TextBody"/>
        <w:bidi w:val="0"/>
        <w:spacing w:before="120" w:after="283"/>
        <w:jc w:val="left"/>
        <w:rPr/>
      </w:pPr>
      <w:r>
        <w:rPr/>
        <w:t> </w:t>
      </w:r>
    </w:p>
    <w:tbl>
      <w:tblPr>
        <w:tblW w:w="6857" w:type="dxa"/>
        <w:jc w:val="left"/>
        <w:tblInd w:w="0" w:type="dxa"/>
        <w:tblLayout w:type="fixed"/>
        <w:tblCellMar>
          <w:top w:w="28" w:type="dxa"/>
          <w:left w:w="28" w:type="dxa"/>
          <w:bottom w:w="28" w:type="dxa"/>
          <w:right w:w="28" w:type="dxa"/>
        </w:tblCellMar>
      </w:tblPr>
      <w:tblGrid>
        <w:gridCol w:w="2506"/>
        <w:gridCol w:w="196"/>
        <w:gridCol w:w="1056"/>
        <w:gridCol w:w="287"/>
        <w:gridCol w:w="1056"/>
        <w:gridCol w:w="196"/>
        <w:gridCol w:w="873"/>
        <w:gridCol w:w="687"/>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198,672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(5,106)</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170,284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20,372</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11,532</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279,540</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275,806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3,734</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March 31, 2025 Compared with the Three Months Ended March 31,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net of discounts, for the Retail segment were $198,672 thousand, a decrease of $5,106 thousand or 3%, compared to the three months ended March 31, 2024. The decrease in Retail revenues, net of discounts, was primarily driven by price compression.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net of discounts, for the Consumer Packaged Goods Segment were $170,284 thousand, an increase of $20,372 thousand or 14%, compared to the three months ended March 31, 2024. The increase in Consumer Packaged Goods revenues, net of discounts, was primarily driven by the legalization of adult-use sales in Ohio, which began on August 6, 2024 as well as growth in existing markets, particularly in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Intersegment eliminations associated with the Consumer Packaged Goods Segment were $89,416 thousand, an increase of $11,532 thousand or 15% compared to the three months ended March 31, 2024. The increase in intersegment eliminations was driven by increased intercompany sales, primarily to Company-owned Retail stores in New York, Ohio and Pennsylvania. Consumer Packaged Goods revenues, net of intersegment eliminations, made up 29% of total revenues during the three months ended March 31, 2025 as compared to 26%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vertically integrated nature of the business, the Company reviews its revenue at the Retail and Consumer Packaged Goods level while reviewing its operating results on a consolidated basis. </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revenue was contributed from Consumer Packaged Goods and Retail sales across California, Connecticut, Florida, Illinois, Maryland, Massachusetts, Minnesota, Nevada, New Jersey, New York, Ohio, Pennsylvania, Rhode Island and Virginia. </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expenses other than the cost of goods sold consist of selling costs to support customer relationships and marketing and branding activities. It also includes a significant investment in the corporate infrastructure required to support the Company’s ongoing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7498" w:type="dxa"/>
        <w:jc w:val="left"/>
        <w:tblInd w:w="0" w:type="dxa"/>
        <w:tblLayout w:type="fixed"/>
        <w:tblCellMar>
          <w:top w:w="28" w:type="dxa"/>
          <w:left w:w="28" w:type="dxa"/>
          <w:bottom w:w="28" w:type="dxa"/>
          <w:right w:w="28" w:type="dxa"/>
        </w:tblCellMar>
      </w:tblPr>
      <w:tblGrid>
        <w:gridCol w:w="4711"/>
        <w:gridCol w:w="196"/>
        <w:gridCol w:w="978"/>
        <w:gridCol w:w="304"/>
        <w:gridCol w:w="1118"/>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4,865</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29,411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71,893</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98,446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Non-cash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Transaction and Other Non-operating Costs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85,247</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90,548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had total current liabilities of $187,123 thousand and $164,969 thousand, respectively, and cash and cash equivalents of $210,582 thousand and $171,687 thousand, respectively, to meet its current obligations. The Company had working capital of $257,782 thousand as of March 31, 2025, an increase of $18,851 thousand as compared to December 31, 2024. This increase in working capital was primarily driven by a reduction in capital expenditures associated with construction projects which were completed during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Operating,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(used in) operating, investing and financing activities for the three months ended March 31, 2025 and 2024 were as follows: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3661"/>
        <w:gridCol w:w="196"/>
        <w:gridCol w:w="1124"/>
        <w:gridCol w:w="305"/>
        <w:gridCol w:w="1195"/>
      </w:tblGrid>
      <w:tr>
        <w:trPr/>
        <w:tc>
          <w:tcPr>
            <w:tcW w:w="3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74,219</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84,023</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(30,568)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(10,268)</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(11,452)</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discussion of recently adopted/issued accounting pronouncements under Part I, Item 1, Notes to Unaudited Interim Condensed Consolidated Financial Statements, Note 1—Overview and Basis of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to our critical accounting policies and estimates from the information provided in “Management’s Discussion and Analysis of Financial Condition and Results of Operations,” included in our 2024 Form 10-K.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market risk disclosures as set forth in Part II Item 7A of our 2024 Form 10-K.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March 31,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during the first quarter of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Limitations on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previously disclosed matters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 </w:t>
      </w:r>
    </w:p>
    <w:p>
      <w:pPr>
        <w:pStyle w:val="TextBody"/>
        <w:bidi w:val="0"/>
        <w:spacing w:before="120" w:after="283"/>
        <w:jc w:val="left"/>
        <w:rPr/>
      </w:pPr>
      <w:bookmarkStart w:id="13" w:name="partii_item1a_risk_factors"/>
      <w:bookmarkEnd w:id="13"/>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our potential risks and uncertainties, see the information under the heading “Risk Factors” in our 2024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During the three months ended March 31, 2025, the Company issued a total of 77,525 Subordinate Voting Shares to CP Acquisitions in association with the Company's November 2024 investment in Agrify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During the three months ended March 31, 2025, the Company released from escrow 76,653 Subordinate Voting Shares associated with the Company's December 2021 acquisition of LeafLine Industries, LLC</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None.</w:t>
      </w:r>
    </w:p>
    <w:p>
      <w:pPr>
        <w:pStyle w:val="TextBody"/>
        <w:bidi w:val="0"/>
        <w:spacing w:before="360" w:after="283"/>
        <w:jc w:val="left"/>
        <w:rPr>
          <w:rFonts w:ascii="Times New Roman" w:hAnsi="Times New Roman"/>
          <w:b/>
          <w:color w:val="000000"/>
          <w:sz w:val="20"/>
        </w:rPr>
      </w:pPr>
      <w:bookmarkStart w:id="15" w:name="partii_item3_defaults_upon_senior_securi"/>
      <w:bookmarkEnd w:id="15"/>
      <w:r>
        <w:rPr>
          <w:rFonts w:ascii="Times New Roman" w:hAnsi="Times New Roman"/>
          <w:b/>
          <w:color w:val="000000"/>
          <w:sz w:val="20"/>
        </w:rPr>
        <w:t>Recent Issuer Purchases of Equity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table sets forth repurchases of our Subordinate Voting Shares during the three months ended March 31, 2025:</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23"/>
        <w:gridCol w:w="1470"/>
        <w:gridCol w:w="196"/>
        <w:gridCol w:w="1252"/>
        <w:gridCol w:w="2583"/>
        <w:gridCol w:w="196"/>
        <w:gridCol w:w="2885"/>
      </w:tblGrid>
      <w:tr>
        <w:trPr/>
        <w:tc>
          <w:tcPr>
            <w:tcW w:w="162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 except per share amounts)</w:t>
            </w:r>
          </w:p>
        </w:tc>
      </w:tr>
      <w:tr>
        <w:trPr/>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Program</w:t>
            </w:r>
            <w:r>
              <w:rPr>
                <w:rFonts w:ascii="Times New Roman" w:hAnsi="Times New Roman"/>
                <w:color w:val="000000"/>
                <w:sz w:val="16"/>
              </w:rPr>
              <w:t>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January 1, 2025 through January 31, 2025</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83"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February 1, 2025 through February 28, 2025</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March 1, 2025 through March 31, 2025</w:t>
            </w:r>
          </w:p>
        </w:tc>
        <w:tc>
          <w:tcPr>
            <w:tcW w:w="1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6.49</w:t>
            </w:r>
          </w:p>
        </w:tc>
        <w:tc>
          <w:tcPr>
            <w:tcW w:w="2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39,300</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160,000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6.49</w:t>
            </w:r>
          </w:p>
        </w:tc>
        <w:tc>
          <w:tcPr>
            <w:tcW w:w="2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160,000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2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39,300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On September 13, 2024, the Company's Board of Directors authorized the repurchase of up to 10,573,860 of its Subordinate Voting Shares over a 12-month period at an aggregate cost of up to $50,000 thousand. During the three months ended March 31, 2025, the Company repurchased 160,000 Subordinate Voting Shares at an average price of $6.49 per share, bringing the total remaining repurchase ability to approximately $39,300 thousand</w:t>
      </w:r>
      <w:r>
        <w:rPr>
          <w:rFonts w:ascii="Times New Roman" w:hAnsi="Times New Roman"/>
          <w:color w:val="000000"/>
          <w:sz w:val="24"/>
        </w:rPr>
        <w:t>.</w:t>
      </w:r>
    </w:p>
    <w:p>
      <w:pPr>
        <w:pStyle w:val="TextBody"/>
        <w:bidi w:val="0"/>
        <w:spacing w:before="360" w:after="283"/>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filed with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9415"/>
      </w:tblGrid>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15" w:type="dxa"/>
            <w:tcBorders/>
            <w:tcMar>
              <w:top w:w="0" w:type="dxa"/>
              <w:left w:w="0" w:type="dxa"/>
              <w:bottom w:w="0" w:type="dxa"/>
              <w:right w:w="0" w:type="dxa"/>
            </w:tcMar>
            <w:vAlign w:val="center"/>
          </w:tcPr>
          <w:p>
            <w:pPr>
              <w:pStyle w:val="TableContents"/>
              <w:bidi w:val="0"/>
              <w:spacing w:before="0" w:after="283"/>
              <w:jc w:val="left"/>
              <w:rPr/>
            </w:pPr>
            <w:hyperlink w:anchor="gtbif-ex31_1.htm">
              <w:r>
                <w:rPr>
                  <w:rStyle w:val="InternetLink"/>
                  <w:rFonts w:ascii="Times New Roman" w:hAnsi="Times New Roman"/>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15" w:type="dxa"/>
            <w:tcBorders/>
            <w:tcMar>
              <w:top w:w="0" w:type="dxa"/>
              <w:left w:w="0" w:type="dxa"/>
              <w:bottom w:w="0" w:type="dxa"/>
              <w:right w:w="0" w:type="dxa"/>
            </w:tcMar>
            <w:vAlign w:val="center"/>
          </w:tcPr>
          <w:p>
            <w:pPr>
              <w:pStyle w:val="TableContents"/>
              <w:bidi w:val="0"/>
              <w:spacing w:before="0" w:after="283"/>
              <w:jc w:val="left"/>
              <w:rPr/>
            </w:pPr>
            <w:hyperlink w:anchor="gtbif-ex31_2.htm">
              <w:r>
                <w:rPr>
                  <w:rStyle w:val="InternetLink"/>
                  <w:rFonts w:ascii="Times New Roman" w:hAnsi="Times New Roman"/>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15" w:type="dxa"/>
            <w:tcBorders/>
            <w:tcMar>
              <w:top w:w="0" w:type="dxa"/>
              <w:left w:w="0" w:type="dxa"/>
              <w:bottom w:w="0" w:type="dxa"/>
              <w:right w:w="0" w:type="dxa"/>
            </w:tcMar>
            <w:vAlign w:val="center"/>
          </w:tcPr>
          <w:p>
            <w:pPr>
              <w:pStyle w:val="TableContents"/>
              <w:bidi w:val="0"/>
              <w:spacing w:before="0" w:after="283"/>
              <w:jc w:val="left"/>
              <w:rPr/>
            </w:pPr>
            <w:hyperlink w:anchor="gtbif-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15" w:type="dxa"/>
            <w:tcBorders/>
            <w:tcMar>
              <w:top w:w="0" w:type="dxa"/>
              <w:left w:w="0" w:type="dxa"/>
              <w:bottom w:w="0" w:type="dxa"/>
              <w:right w:w="0" w:type="dxa"/>
            </w:tcMar>
            <w:vAlign w:val="center"/>
          </w:tcPr>
          <w:p>
            <w:pPr>
              <w:pStyle w:val="TableContents"/>
              <w:bidi w:val="0"/>
              <w:spacing w:before="0" w:after="283"/>
              <w:jc w:val="left"/>
              <w:rPr/>
            </w:pPr>
            <w:hyperlink w:anchor="gtbif-ex32_2.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94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 Inline XBRL File)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requirements of the Securities Exchange Act of 1934, the Company has duly caused this report to be signed on its behalf by the undersigned thereunto duly authorized.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gtbif-ex31_1.htm"/>
      <w:bookmarkStart w:id="21" w:name="ksgtbif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Benjamin Kovler,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2.htm"/>
      <w:bookmarkStart w:id="23" w:name="ksgtbif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Mathew Faulkner,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4" w:name="gtbif-ex32_1.htm"/>
      <w:bookmarkStart w:id="25" w:name="ksgtbif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months ended March 31, 2025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2.htm"/>
      <w:bookmarkStart w:id="27" w:name="ksgtbif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months ended March 31, 2025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15200</Words>
  <Characters>85680</Characters>
  <CharactersWithSpaces>101061</CharactersWithSpaces>
  <Paragraphs>3889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