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40630.htm"/>
      <w:bookmarkStart w:id="1" w:name="ksgtbif2024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June 30, 2024</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100" w:after="283"/>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r>
        <w:rPr/>
        <w:t> </w:t>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Super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As of August 1, 2024 there were 211,380,808</w:t>
      </w:r>
      <w:r>
        <w:rPr>
          <w:rFonts w:ascii="Times New Roman" w:hAnsi="Times New Roman"/>
          <w:color w:val="000000"/>
          <w:sz w:val="20"/>
        </w:rPr>
        <w:t xml:space="preserve"> </w:t>
      </w:r>
      <w:r>
        <w:rPr>
          <w:rFonts w:ascii="Times New Roman" w:hAnsi="Times New Roman"/>
          <w:color w:val="000000"/>
          <w:sz w:val="16"/>
        </w:rPr>
        <w:t>shares of the registrant’s Subordinate Voting Shares, 37,683</w:t>
      </w:r>
      <w:r>
        <w:rPr>
          <w:rFonts w:ascii="Times New Roman" w:hAnsi="Times New Roman"/>
          <w:color w:val="000000"/>
          <w:sz w:val="20"/>
        </w:rPr>
        <w:t xml:space="preserve"> </w:t>
      </w:r>
      <w:r>
        <w:rPr>
          <w:rFonts w:ascii="Times New Roman" w:hAnsi="Times New Roman"/>
          <w:color w:val="000000"/>
          <w:sz w:val="16"/>
        </w:rPr>
        <w:t>shares of the registrant’s Multiple Voting Shares and 206,690</w:t>
      </w:r>
      <w:r>
        <w:rPr>
          <w:rFonts w:ascii="Times New Roman" w:hAnsi="Times New Roman"/>
          <w:color w:val="000000"/>
          <w:sz w:val="20"/>
        </w:rPr>
        <w:t xml:space="preserve"> </w:t>
      </w:r>
      <w:r>
        <w:rPr>
          <w:rFonts w:ascii="Times New Roman" w:hAnsi="Times New Roman"/>
          <w:color w:val="000000"/>
          <w:sz w:val="16"/>
        </w:rPr>
        <w:t>shares 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54"/>
        <w:gridCol w:w="8149"/>
        <w:gridCol w:w="602"/>
      </w:tblGrid>
      <w:tr>
        <w:trPr/>
        <w:tc>
          <w:tcPr>
            <w:tcW w:w="1454" w:type="dxa"/>
            <w:tcBorders/>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603" w:type="dxa"/>
            <w:gridSpan w:val="2"/>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spacing w:before="0" w:after="283"/>
              <w:ind w:left="0" w:right="0" w:hanging="240"/>
              <w:jc w:val="left"/>
              <w:rPr/>
            </w:pPr>
            <w:hyperlink w:anchor="balance_sheets">
              <w:r>
                <w:rPr>
                  <w:rStyle w:val="InternetLink"/>
                  <w:rFonts w:ascii="Times New Roman" w:hAnsi="Times New Roman"/>
                  <w:b/>
                  <w:color w:val="0000FF"/>
                  <w:sz w:val="20"/>
                  <w:u w:val="single"/>
                </w:rPr>
                <w:t>ITEM 1:</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Balance Sheets as of June 30, 2024 and December 31, 2023</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Operations for the three and six months ended June 30, 2024 and 2023</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Changes in Shareholders’ Equity for the three and six months ended June 30, 2024 and 2023</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Cash Flows for the six months ended June 30, 2024 and 2023</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Unaudited Interim Condensed Consolidated Financial Statements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1454" w:type="dxa"/>
            <w:tcBorders/>
            <w:vAlign w:val="center"/>
          </w:tcPr>
          <w:p>
            <w:pPr>
              <w:pStyle w:val="TableContents"/>
              <w:pBdr/>
              <w:bidi w:val="0"/>
              <w:spacing w:before="0" w:after="283"/>
              <w:ind w:left="0" w:right="0" w:hanging="240"/>
              <w:jc w:val="left"/>
              <w:rPr/>
            </w:pPr>
            <w:hyperlink w:anchor="item2_mda">
              <w:r>
                <w:rPr>
                  <w:rStyle w:val="InternetLink"/>
                  <w:rFonts w:ascii="Times New Roman" w:hAnsi="Times New Roman"/>
                  <w:b/>
                  <w:color w:val="0000FF"/>
                  <w:sz w:val="20"/>
                  <w:u w:val="single"/>
                </w:rPr>
                <w:t>ITEM 2:</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454" w:type="dxa"/>
            <w:tcBorders/>
            <w:vAlign w:val="center"/>
          </w:tcPr>
          <w:p>
            <w:pPr>
              <w:pStyle w:val="TableContents"/>
              <w:pBdr/>
              <w:bidi w:val="0"/>
              <w:spacing w:before="0" w:after="283"/>
              <w:ind w:left="0" w:right="0" w:hanging="240"/>
              <w:jc w:val="left"/>
              <w:rPr/>
            </w:pPr>
            <w:hyperlink w:anchor="quant_and_qual_disclosure_market_risk">
              <w:r>
                <w:rPr>
                  <w:rStyle w:val="InternetLink"/>
                  <w:rFonts w:ascii="Times New Roman" w:hAnsi="Times New Roman"/>
                  <w:b/>
                  <w:color w:val="0000FF"/>
                  <w:sz w:val="20"/>
                  <w:u w:val="single"/>
                </w:rPr>
                <w:t>ITEM 3:</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1454" w:type="dxa"/>
            <w:tcBorders/>
            <w:vAlign w:val="center"/>
          </w:tcPr>
          <w:p>
            <w:pPr>
              <w:pStyle w:val="TableContents"/>
              <w:pBdr/>
              <w:bidi w:val="0"/>
              <w:spacing w:before="0" w:after="283"/>
              <w:ind w:left="0" w:right="0" w:hanging="240"/>
              <w:jc w:val="left"/>
              <w:rPr/>
            </w:pPr>
            <w:hyperlink w:anchor="controls_and_procedures">
              <w:r>
                <w:rPr>
                  <w:rStyle w:val="InternetLink"/>
                  <w:rFonts w:ascii="Times New Roman" w:hAnsi="Times New Roman"/>
                  <w:b/>
                  <w:color w:val="0000FF"/>
                  <w:sz w:val="20"/>
                  <w:u w:val="single"/>
                </w:rPr>
                <w:t>ITEM 4:</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Controls and Procedures</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r>
        <w:trPr/>
        <w:tc>
          <w:tcPr>
            <w:tcW w:w="1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tcBorders/>
            <w:vAlign w:val="center"/>
          </w:tcPr>
          <w:p>
            <w:pPr>
              <w:pStyle w:val="TableContents"/>
              <w:bidi w:val="0"/>
              <w:spacing w:before="0" w:after="283"/>
              <w:jc w:val="center"/>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ind w:left="0" w:right="0" w:hanging="240"/>
              <w:jc w:val="left"/>
              <w:rPr>
                <w:rFonts w:ascii="Times New Roman" w:hAnsi="Times New Roman"/>
                <w:b/>
                <w:color w:val="000000"/>
                <w:sz w:val="20"/>
              </w:rPr>
            </w:pPr>
            <w:r>
              <w:rPr>
                <w:rFonts w:ascii="Times New Roman" w:hAnsi="Times New Roman"/>
                <w:b/>
                <w:color w:val="000000"/>
                <w:sz w:val="20"/>
              </w:rPr>
              <w:t>OTHER</w:t>
            </w:r>
          </w:p>
          <w:p>
            <w:pPr>
              <w:pStyle w:val="TableContents"/>
              <w:pBdr/>
              <w:bidi w:val="0"/>
              <w:spacing w:before="0" w:after="20"/>
              <w:ind w:left="0" w:right="0" w:hanging="240"/>
              <w:jc w:val="left"/>
              <w:rPr>
                <w:rFonts w:ascii="Times New Roman" w:hAnsi="Times New Roman"/>
                <w:b/>
                <w:color w:val="000000"/>
                <w:sz w:val="20"/>
              </w:rPr>
            </w:pPr>
            <w:r>
              <w:rPr>
                <w:rFonts w:ascii="Times New Roman" w:hAnsi="Times New Roman"/>
                <w:b/>
                <w:color w:val="000000"/>
                <w:sz w:val="20"/>
              </w:rPr>
              <w:t>INFORMATION</w:t>
            </w:r>
          </w:p>
        </w:tc>
        <w:tc>
          <w:tcPr>
            <w:tcW w:w="8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54" w:type="dxa"/>
            <w:tcBorders/>
            <w:vAlign w:val="center"/>
          </w:tcPr>
          <w:p>
            <w:pPr>
              <w:pStyle w:val="TableContents"/>
              <w:pBdr/>
              <w:bidi w:val="0"/>
              <w:spacing w:before="0" w:after="283"/>
              <w:ind w:left="0" w:right="0" w:hanging="240"/>
              <w:jc w:val="left"/>
              <w:rPr/>
            </w:pPr>
            <w:hyperlink w:anchor="partii_item1_legal_proceedings">
              <w:r>
                <w:rPr>
                  <w:rStyle w:val="InternetLink"/>
                  <w:rFonts w:ascii="Times New Roman" w:hAnsi="Times New Roman"/>
                  <w:b/>
                  <w:color w:val="0000FF"/>
                  <w:sz w:val="20"/>
                  <w:u w:val="single"/>
                </w:rPr>
                <w:t>ITEM 1:</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Proceedings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1454" w:type="dxa"/>
            <w:tcBorders/>
            <w:vAlign w:val="center"/>
          </w:tcPr>
          <w:p>
            <w:pPr>
              <w:pStyle w:val="TableContents"/>
              <w:pBdr/>
              <w:bidi w:val="0"/>
              <w:spacing w:before="0" w:after="283"/>
              <w:ind w:left="0" w:right="0" w:hanging="240"/>
              <w:jc w:val="left"/>
              <w:rPr/>
            </w:pPr>
            <w:hyperlink w:anchor="partii_item1a_risk_factors">
              <w:r>
                <w:rPr>
                  <w:rStyle w:val="InternetLink"/>
                  <w:rFonts w:ascii="Times New Roman" w:hAnsi="Times New Roman"/>
                  <w:b/>
                  <w:color w:val="0000FF"/>
                  <w:sz w:val="20"/>
                  <w:u w:val="single"/>
                </w:rPr>
                <w:t>ITEM 1A:</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1454" w:type="dxa"/>
            <w:tcBorders/>
            <w:vAlign w:val="center"/>
          </w:tcPr>
          <w:p>
            <w:pPr>
              <w:pStyle w:val="TableContents"/>
              <w:pBdr/>
              <w:bidi w:val="0"/>
              <w:spacing w:before="0" w:after="283"/>
              <w:ind w:left="0" w:right="0" w:hanging="240"/>
              <w:jc w:val="left"/>
              <w:rPr/>
            </w:pPr>
            <w:hyperlink w:anchor="partii_item2_sale_of_unregistered_securi">
              <w:r>
                <w:rPr>
                  <w:rStyle w:val="InternetLink"/>
                  <w:rFonts w:ascii="Times New Roman" w:hAnsi="Times New Roman"/>
                  <w:b/>
                  <w:color w:val="0000FF"/>
                  <w:sz w:val="20"/>
                  <w:u w:val="single"/>
                </w:rPr>
                <w:t>ITEM 2:</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Unregistered Sales of Equity Securities and Use of Proceeds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1454" w:type="dxa"/>
            <w:tcBorders/>
            <w:vAlign w:val="center"/>
          </w:tcPr>
          <w:p>
            <w:pPr>
              <w:pStyle w:val="TableContents"/>
              <w:pBdr/>
              <w:bidi w:val="0"/>
              <w:spacing w:before="0" w:after="283"/>
              <w:ind w:left="0" w:right="0" w:hanging="240"/>
              <w:jc w:val="left"/>
              <w:rPr/>
            </w:pPr>
            <w:hyperlink w:anchor="partii_item3_defaults_upon_senior_securi">
              <w:r>
                <w:rPr>
                  <w:rStyle w:val="InternetLink"/>
                  <w:rFonts w:ascii="Times New Roman" w:hAnsi="Times New Roman"/>
                  <w:b/>
                  <w:color w:val="0000FF"/>
                  <w:sz w:val="20"/>
                  <w:u w:val="single"/>
                </w:rPr>
                <w:t>ITEM 3:</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1454" w:type="dxa"/>
            <w:tcBorders/>
            <w:vAlign w:val="center"/>
          </w:tcPr>
          <w:p>
            <w:pPr>
              <w:pStyle w:val="TableContents"/>
              <w:pBdr/>
              <w:bidi w:val="0"/>
              <w:spacing w:before="0" w:after="283"/>
              <w:ind w:left="0" w:right="0" w:hanging="240"/>
              <w:jc w:val="left"/>
              <w:rPr/>
            </w:pPr>
            <w:hyperlink w:anchor="partii_item4_mine_safety_disclosure">
              <w:r>
                <w:rPr>
                  <w:rStyle w:val="InternetLink"/>
                  <w:rFonts w:ascii="Times New Roman" w:hAnsi="Times New Roman"/>
                  <w:b/>
                  <w:color w:val="0000FF"/>
                  <w:sz w:val="20"/>
                  <w:u w:val="single"/>
                </w:rPr>
                <w:t>ITEM 4:</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1454" w:type="dxa"/>
            <w:tcBorders/>
            <w:vAlign w:val="center"/>
          </w:tcPr>
          <w:p>
            <w:pPr>
              <w:pStyle w:val="TableContents"/>
              <w:pBdr/>
              <w:bidi w:val="0"/>
              <w:spacing w:before="0" w:after="283"/>
              <w:ind w:left="0" w:right="0" w:hanging="240"/>
              <w:jc w:val="left"/>
              <w:rPr/>
            </w:pPr>
            <w:hyperlink w:anchor="partii_item5_other_information">
              <w:r>
                <w:rPr>
                  <w:rStyle w:val="InternetLink"/>
                  <w:rFonts w:ascii="Times New Roman" w:hAnsi="Times New Roman"/>
                  <w:b/>
                  <w:color w:val="0000FF"/>
                  <w:sz w:val="20"/>
                  <w:u w:val="single"/>
                </w:rPr>
                <w:t>ITEM 5:</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Information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1454" w:type="dxa"/>
            <w:tcBorders/>
            <w:vAlign w:val="center"/>
          </w:tcPr>
          <w:p>
            <w:pPr>
              <w:pStyle w:val="TableContents"/>
              <w:pBdr/>
              <w:bidi w:val="0"/>
              <w:spacing w:before="0" w:after="283"/>
              <w:ind w:left="0" w:right="0" w:hanging="240"/>
              <w:jc w:val="left"/>
              <w:rPr/>
            </w:pPr>
            <w:hyperlink w:anchor="partii_item6_exhibits">
              <w:r>
                <w:rPr>
                  <w:rStyle w:val="InternetLink"/>
                  <w:rFonts w:ascii="Times New Roman" w:hAnsi="Times New Roman"/>
                  <w:b/>
                  <w:color w:val="0000FF"/>
                  <w:sz w:val="20"/>
                  <w:u w:val="single"/>
                </w:rPr>
                <w:t>ITEM 6:</w:t>
              </w:r>
            </w:hyperlink>
          </w:p>
        </w:tc>
        <w:tc>
          <w:tcPr>
            <w:tcW w:w="8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454"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color w:val="0000FF"/>
                  <w:sz w:val="20"/>
                  <w:u w:val="single"/>
                </w:rPr>
                <w:t>Signatures</w:t>
              </w:r>
            </w:hyperlink>
          </w:p>
        </w:tc>
        <w:tc>
          <w:tcPr>
            <w:tcW w:w="8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Quarterly Report on Form 10-Q, unless the context otherwise requires, the terms “we,” “us,” “our,” “Company,” “Corporation” or “Green Thumb” refer to Green Thumb Industries Inc. together with its wholly-owned subsidiaries.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all references to “$” or “US$” in this document refer to United States dollars, and all references to “C$” refer to Canadian dollars.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application regulatory requirements in all jurisdictions where the Company carries business; the Company faces intense competition; the Company faces competition from the illicit market as well as actual or purported Farm Bill compliant hemp products; the Company is dependent upon the popularity and consumer acceptance of its brand portfolio; the Company has limited trademark protection; cannabis businesses are subject to unfavorable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 faces an inherent risk of product liability or similar claims; the Company’s products may be subject to product recalls; the Company may face unfavorable publicity or consumer perception; and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These and other risks are further described in the “Risk Factors” section of the Company’s Annual Report on Form 10-K for the year ended December 31, 2023, and elsewhere in the Company’s filings with the SEC, which are available on the SEC’s website or at </w:t>
      </w:r>
      <w:r>
        <w:rPr>
          <w:rFonts w:ascii="Times New Roman" w:hAnsi="Times New Roman"/>
          <w:i/>
          <w:color w:val="000000"/>
          <w:sz w:val="20"/>
          <w:u w:val="single"/>
        </w:rPr>
        <w:t>https://investors.gtigrows.com</w:t>
      </w:r>
      <w:r>
        <w:rPr>
          <w:rFonts w:ascii="Times New Roman" w:hAnsi="Times New Roman"/>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spacing w:before="36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June 30, 2024 and December 31, 2023</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bookmarkStart w:id="3" w:name="balance_sheets"/>
      <w:bookmarkEnd w:id="3"/>
      <w:r>
        <w:rPr/>
        <w:t> </w:t>
      </w:r>
    </w:p>
    <w:tbl>
      <w:tblPr>
        <w:tblW w:w="9502" w:type="dxa"/>
        <w:jc w:val="left"/>
        <w:tblInd w:w="0" w:type="dxa"/>
        <w:tblLayout w:type="fixed"/>
        <w:tblCellMar>
          <w:top w:w="28" w:type="dxa"/>
          <w:left w:w="28" w:type="dxa"/>
          <w:bottom w:w="28" w:type="dxa"/>
          <w:right w:w="28" w:type="dxa"/>
        </w:tblCellMar>
      </w:tblPr>
      <w:tblGrid>
        <w:gridCol w:w="6316"/>
        <w:gridCol w:w="146"/>
        <w:gridCol w:w="196"/>
        <w:gridCol w:w="826"/>
        <w:gridCol w:w="166"/>
        <w:gridCol w:w="146"/>
        <w:gridCol w:w="210"/>
        <w:gridCol w:w="885"/>
        <w:gridCol w:w="6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(Audited)</w:t>
            </w:r>
          </w:p>
        </w:tc>
        <w:tc>
          <w:tcPr>
            <w:tcW w:w="611" w:type="dxa"/>
            <w:tcBorders/>
            <w:shd w:fill="FFFFFF" w:val="clear"/>
            <w:vAlign w:val="center"/>
          </w:tcPr>
          <w:p>
            <w:pPr>
              <w:pStyle w:val="TableContents"/>
              <w:bidi w:val="0"/>
              <w:spacing w:before="0" w:after="283"/>
              <w:jc w:val="center"/>
              <w:rPr/>
            </w:pPr>
            <w:r>
              <w:rPr/>
              <w:t> </w:t>
            </w:r>
          </w:p>
        </w:tc>
      </w:tr>
      <w:tr>
        <w:trPr/>
        <w:tc>
          <w:tcPr>
            <w:tcW w:w="6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161,634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Inventories,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112,970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342,762</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694,039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687,106</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Right of Use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238,369</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64,361</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Investments in Associates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24,942</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Note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538,678</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589,691</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1,041</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Deposits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2,490,057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LIABILITIES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Compensation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Current Portion of Notes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Income Tax Payable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126,050</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Liabilities: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249,464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Notes Payable, Net of Current Portion and Debt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305,527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Contingent Consideration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786,801</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SHAREHOLDERS' EQUITY</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Subordinate Voting Shares (Shares Authorized, Issued and Outstanding at June 30, 2024:</w:t>
              <w:br/>
              <w:t>   Unlimited, 211,129,419, and 211,129,419, respectively, at December 31, 2023:</w:t>
              <w:br/>
              <w:t>   Unlimited, 209,871,792, and 209,871,792,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Multiple Voting Shares (Shares Authorized, Issued and Outstanding at June 30, 2024:</w:t>
              <w:br/>
              <w:t>   Unlimited, 37,683</w:t>
            </w:r>
            <w:r>
              <w:rPr>
                <w:rFonts w:ascii="Times New Roman" w:hAnsi="Times New Roman"/>
                <w:color w:val="000000"/>
                <w:sz w:val="20"/>
              </w:rPr>
              <w:t> </w:t>
            </w:r>
            <w:r>
              <w:rPr>
                <w:rFonts w:ascii="Times New Roman" w:hAnsi="Times New Roman"/>
                <w:color w:val="000000"/>
                <w:sz w:val="17"/>
              </w:rPr>
              <w:t>and 37,683, respectively, at December 31, 2023:</w:t>
              <w:br/>
              <w:t>   Unlimited, 38,531</w:t>
            </w:r>
            <w:r>
              <w:rPr>
                <w:rFonts w:ascii="Times New Roman" w:hAnsi="Times New Roman"/>
                <w:color w:val="000000"/>
                <w:sz w:val="20"/>
              </w:rPr>
              <w:t> </w:t>
            </w:r>
            <w:r>
              <w:rPr>
                <w:rFonts w:ascii="Times New Roman" w:hAnsi="Times New Roman"/>
                <w:color w:val="000000"/>
                <w:sz w:val="17"/>
              </w:rPr>
              <w:t>and 38,531,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Super Voting Shares (Shares Authorized, Issued and Outstanding at June 30, 2024:</w:t>
              <w:br/>
              <w:t>   Unlimited, 206,690</w:t>
            </w:r>
            <w:r>
              <w:rPr>
                <w:rFonts w:ascii="Times New Roman" w:hAnsi="Times New Roman"/>
                <w:color w:val="000000"/>
                <w:sz w:val="20"/>
              </w:rPr>
              <w:t> </w:t>
            </w:r>
            <w:r>
              <w:rPr>
                <w:rFonts w:ascii="Times New Roman" w:hAnsi="Times New Roman"/>
                <w:color w:val="000000"/>
                <w:sz w:val="17"/>
              </w:rPr>
              <w:t>and 206,690, respectively, at December 31, 2023:</w:t>
              <w:br/>
              <w:t>   Unlimited, 216,690</w:t>
            </w:r>
            <w:r>
              <w:rPr>
                <w:rFonts w:ascii="Times New Roman" w:hAnsi="Times New Roman"/>
                <w:color w:val="000000"/>
                <w:sz w:val="20"/>
              </w:rPr>
              <w:t> </w:t>
            </w:r>
            <w:r>
              <w:rPr>
                <w:rFonts w:ascii="Times New Roman" w:hAnsi="Times New Roman"/>
                <w:color w:val="000000"/>
                <w:sz w:val="17"/>
              </w:rPr>
              <w:t>and 216,690,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1,742,784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1,703,852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Contributed (Deficit) Surplus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(31,865</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Share Issuances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Accumulated Earnings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3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Equity of Green Thumb Industries Inc.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1,753,862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1,702,878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Noncontrolling interests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SHAREHOLDERS'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1,753,956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1,703,256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2,490,057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2024 and 2023</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8"/>
        <w:gridCol w:w="211"/>
        <w:gridCol w:w="146"/>
        <w:gridCol w:w="1141"/>
        <w:gridCol w:w="166"/>
        <w:gridCol w:w="211"/>
        <w:gridCol w:w="146"/>
        <w:gridCol w:w="1141"/>
        <w:gridCol w:w="166"/>
        <w:gridCol w:w="146"/>
        <w:gridCol w:w="211"/>
        <w:gridCol w:w="146"/>
        <w:gridCol w:w="1141"/>
        <w:gridCol w:w="166"/>
        <w:gridCol w:w="211"/>
        <w:gridCol w:w="146"/>
        <w:gridCol w:w="1141"/>
        <w:gridCol w:w="611"/>
      </w:tblGrid>
      <w:tr>
        <w:trPr/>
        <w:tc>
          <w:tcPr>
            <w:tcW w:w="2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5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280,147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500,924</w:t>
            </w:r>
          </w:p>
        </w:tc>
        <w:tc>
          <w:tcPr>
            <w:tcW w:w="611" w:type="dxa"/>
            <w:tcBorders/>
            <w:shd w:fill="CFF0FC"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9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5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9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9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9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5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82,496</w:t>
            </w:r>
          </w:p>
        </w:tc>
        <w:tc>
          <w:tcPr>
            <w:tcW w:w="611" w:type="dxa"/>
            <w:tcBorders/>
            <w:shd w:fill="CFF0FC"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23,095</w:t>
            </w:r>
          </w:p>
        </w:tc>
        <w:tc>
          <w:tcPr>
            <w:tcW w:w="611" w:type="dxa"/>
            <w:tcBorders/>
            <w:shd w:fill="CFF0FC"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Green Thumb Industries Inc.</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Basic</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Diluted</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237,416,373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237,083,912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237,700,856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240,137,922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238,423,288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240,768,497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239,455,964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2024 and 2023</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4"/>
        <w:gridCol w:w="196"/>
        <w:gridCol w:w="146"/>
        <w:gridCol w:w="826"/>
        <w:gridCol w:w="146"/>
        <w:gridCol w:w="196"/>
        <w:gridCol w:w="213"/>
        <w:gridCol w:w="880"/>
        <w:gridCol w:w="166"/>
        <w:gridCol w:w="196"/>
        <w:gridCol w:w="153"/>
        <w:gridCol w:w="694"/>
        <w:gridCol w:w="166"/>
        <w:gridCol w:w="196"/>
        <w:gridCol w:w="208"/>
        <w:gridCol w:w="947"/>
        <w:gridCol w:w="166"/>
        <w:gridCol w:w="196"/>
        <w:gridCol w:w="346"/>
        <w:gridCol w:w="1035"/>
        <w:gridCol w:w="166"/>
        <w:gridCol w:w="196"/>
        <w:gridCol w:w="146"/>
        <w:gridCol w:w="826"/>
        <w:gridCol w:w="215"/>
      </w:tblGrid>
      <w:tr>
        <w:trPr/>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21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1,683,671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28,959</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1,681,146</w:t>
            </w:r>
          </w:p>
        </w:tc>
        <w:tc>
          <w:tcPr>
            <w:tcW w:w="215"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deferred shares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215"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Indemnification of deferred shares associated with post acquisition costs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2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RSUs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15"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7,381</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7,381</w:t>
            </w:r>
          </w:p>
        </w:tc>
        <w:tc>
          <w:tcPr>
            <w:tcW w:w="215"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limited liability company unit holders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1,705,816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2023</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1,663,557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23,233</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36,211</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1,665,432</w:t>
            </w:r>
          </w:p>
        </w:tc>
        <w:tc>
          <w:tcPr>
            <w:tcW w:w="215"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deferred shares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215"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Indemnification of deferred shares associated with post acquisition costs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215"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3"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13,620</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13,620</w:t>
            </w:r>
          </w:p>
        </w:tc>
        <w:tc>
          <w:tcPr>
            <w:tcW w:w="215"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limited liability company unit holders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2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1,705,816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9"/>
        <w:gridCol w:w="196"/>
        <w:gridCol w:w="826"/>
        <w:gridCol w:w="196"/>
        <w:gridCol w:w="1215"/>
        <w:gridCol w:w="196"/>
        <w:gridCol w:w="1016"/>
        <w:gridCol w:w="196"/>
        <w:gridCol w:w="1289"/>
        <w:gridCol w:w="196"/>
        <w:gridCol w:w="1381"/>
        <w:gridCol w:w="196"/>
        <w:gridCol w:w="873"/>
      </w:tblGrid>
      <w:tr>
        <w:trPr/>
        <w:tc>
          <w:tcPr>
            <w:tcW w:w="24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42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42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758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42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2024</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1,727,584</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9,258</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1,747,130</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10,043</w:t>
            </w:r>
          </w:p>
        </w:tc>
        <w:tc>
          <w:tcPr>
            <w:tcW w:w="19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(15,498)</w:t>
            </w:r>
          </w:p>
        </w:tc>
        <w:tc>
          <w:tcPr>
            <w:tcW w:w="196" w:type="dxa"/>
            <w:tcBorders/>
            <w:shd w:fill="FFFFFF" w:val="clear"/>
            <w:vAlign w:val="center"/>
          </w:tcPr>
          <w:p>
            <w:pPr>
              <w:pStyle w:val="TableContents"/>
              <w:bidi w:val="0"/>
              <w:spacing w:before="0" w:after="283"/>
              <w:jc w:val="center"/>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8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8,866</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8,866</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limited liability company unit holders</w:t>
            </w:r>
          </w:p>
        </w:tc>
        <w:tc>
          <w:tcPr>
            <w:tcW w:w="19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8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96" w:type="dxa"/>
            <w:tcBorders/>
            <w:shd w:fill="FFFFFF" w:val="clear"/>
            <w:vAlign w:val="center"/>
          </w:tcPr>
          <w:p>
            <w:pPr>
              <w:pStyle w:val="TableContents"/>
              <w:bidi w:val="0"/>
              <w:spacing w:before="0" w:after="283"/>
              <w:jc w:val="center"/>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(19,890)</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(19,890)</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20,918</w:t>
            </w:r>
          </w:p>
        </w:tc>
      </w:tr>
      <w:tr>
        <w:trPr/>
        <w:tc>
          <w:tcPr>
            <w:tcW w:w="242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1,753,956</w:t>
            </w:r>
          </w:p>
        </w:tc>
      </w:tr>
      <w:tr>
        <w:trPr/>
        <w:tc>
          <w:tcPr>
            <w:tcW w:w="242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2024</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1,703,852</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(21,818)</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1,703,256</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10,789</w:t>
            </w:r>
          </w:p>
        </w:tc>
        <w:tc>
          <w:tcPr>
            <w:tcW w:w="19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(4,851)</w:t>
            </w:r>
          </w:p>
        </w:tc>
        <w:tc>
          <w:tcPr>
            <w:tcW w:w="196" w:type="dxa"/>
            <w:tcBorders/>
            <w:shd w:fill="FFFFFF" w:val="clear"/>
            <w:vAlign w:val="center"/>
          </w:tcPr>
          <w:p>
            <w:pPr>
              <w:pStyle w:val="TableContents"/>
              <w:bidi w:val="0"/>
              <w:spacing w:before="0" w:after="283"/>
              <w:jc w:val="center"/>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8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(16,793)</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196" w:type="dxa"/>
            <w:tcBorders/>
            <w:shd w:fill="FFFFFF" w:val="clear"/>
            <w:vAlign w:val="center"/>
          </w:tcPr>
          <w:p>
            <w:pPr>
              <w:pStyle w:val="TableContents"/>
              <w:bidi w:val="0"/>
              <w:spacing w:before="0" w:after="283"/>
              <w:jc w:val="center"/>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8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limited liability company unit holders</w:t>
            </w:r>
          </w:p>
        </w:tc>
        <w:tc>
          <w:tcPr>
            <w:tcW w:w="196" w:type="dxa"/>
            <w:tcBorders/>
            <w:shd w:fill="CFF0FC" w:val="clear"/>
            <w:vAlign w:val="center"/>
          </w:tcPr>
          <w:p>
            <w:pPr>
              <w:pStyle w:val="TableContents"/>
              <w:bidi w:val="0"/>
              <w:spacing w:before="0" w:after="283"/>
              <w:jc w:val="center"/>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15"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01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28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13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96" w:type="dxa"/>
            <w:tcBorders/>
            <w:shd w:fill="CFF0FC" w:val="clear"/>
            <w:vAlign w:val="center"/>
          </w:tcPr>
          <w:p>
            <w:pPr>
              <w:pStyle w:val="TableContents"/>
              <w:bidi w:val="0"/>
              <w:spacing w:before="0" w:after="283"/>
              <w:jc w:val="center"/>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r>
      <w:tr>
        <w:trPr/>
        <w:tc>
          <w:tcPr>
            <w:tcW w:w="2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vAlign w:val="center"/>
          </w:tcPr>
          <w:p>
            <w:pPr>
              <w:pStyle w:val="TableContents"/>
              <w:bidi w:val="0"/>
              <w:spacing w:before="0" w:after="283"/>
              <w:jc w:val="center"/>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c>
          <w:tcPr>
            <w:tcW w:w="196" w:type="dxa"/>
            <w:tcBorders/>
            <w:shd w:fill="FFFFFF" w:val="clear"/>
            <w:vAlign w:val="center"/>
          </w:tcPr>
          <w:p>
            <w:pPr>
              <w:pStyle w:val="TableContents"/>
              <w:bidi w:val="0"/>
              <w:spacing w:before="0" w:after="283"/>
              <w:jc w:val="center"/>
              <w:rPr/>
            </w:pPr>
            <w:r>
              <w:rPr/>
              <w:t> </w:t>
            </w:r>
          </w:p>
        </w:tc>
        <w:tc>
          <w:tcPr>
            <w:tcW w:w="101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28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r>
      <w:tr>
        <w:trPr/>
        <w:tc>
          <w:tcPr>
            <w:tcW w:w="2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52,266</w:t>
            </w:r>
          </w:p>
        </w:tc>
      </w:tr>
      <w:tr>
        <w:trPr/>
        <w:tc>
          <w:tcPr>
            <w:tcW w:w="242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2024</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1,753,956</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2024 and 2023</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256" w:type="dxa"/>
        <w:jc w:val="left"/>
        <w:tblInd w:w="0" w:type="dxa"/>
        <w:tblLayout w:type="fixed"/>
        <w:tblCellMar>
          <w:top w:w="28" w:type="dxa"/>
          <w:left w:w="28" w:type="dxa"/>
          <w:bottom w:w="28" w:type="dxa"/>
          <w:right w:w="28" w:type="dxa"/>
        </w:tblCellMar>
      </w:tblPr>
      <w:tblGrid>
        <w:gridCol w:w="6266"/>
        <w:gridCol w:w="146"/>
        <w:gridCol w:w="204"/>
        <w:gridCol w:w="719"/>
        <w:gridCol w:w="172"/>
        <w:gridCol w:w="152"/>
        <w:gridCol w:w="204"/>
        <w:gridCol w:w="782"/>
        <w:gridCol w:w="611"/>
      </w:tblGrid>
      <w:tr>
        <w:trPr/>
        <w:tc>
          <w:tcPr>
            <w:tcW w:w="6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923"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attributable to Green Thumb Industries Inc.</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51,788</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611" w:type="dxa"/>
            <w:tcBorders/>
            <w:shd w:fill="CFF0FC" w:val="cle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55,760</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operating lease assets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24,676</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long-lived property and equipment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equity method investments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from lease modification</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(Increase) decrease in fair value of investments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settlement of contingent consideration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(15,991</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Increase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Decrease in fair value of warrants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Gain on indemnification of deferred shares associated with post acquisition costs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debt discount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4,762</w:t>
            </w:r>
          </w:p>
        </w:tc>
        <w:tc>
          <w:tcPr>
            <w:tcW w:w="611" w:type="dxa"/>
            <w:tcBorders/>
            <w:shd w:fill="CFF0FC" w:val="cle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(17,561</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(21,934</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Income tax receivable and payable, net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104,174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(34,963</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(129,392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Investments in securities and associates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equity investments and notes receivable</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(34,323</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(131,542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Distributions to limited liability company unit holders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 of Subordinate Voting Shares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taxes related to net share settlement of equity awards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(5,438</w:t>
            </w:r>
          </w:p>
        </w:tc>
        <w:tc>
          <w:tcPr>
            <w:tcW w:w="1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options and warrants</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notes payable</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repayment of notes payable</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1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(35,343</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9,858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34,508</w:t>
            </w:r>
          </w:p>
        </w:tc>
        <w:tc>
          <w:tcPr>
            <w:tcW w:w="17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196,142</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149,026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2024 and 2023</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i/>
          <w:color w:val="000000"/>
          <w:sz w:val="20"/>
        </w:rPr>
        <w:t>(Amounts Expressed in United States Dollars)</w:t>
      </w:r>
      <w:r>
        <w:rPr>
          <w:rFonts w:ascii="Times New Roman" w:hAnsi="Times New Roman"/>
          <w:color w:val="000000"/>
          <w:sz w:val="20"/>
        </w:rPr>
        <w:t xml:space="preserve"> </w:t>
      </w:r>
    </w:p>
    <w:tbl>
      <w:tblPr>
        <w:tblW w:w="8260" w:type="dxa"/>
        <w:jc w:val="left"/>
        <w:tblInd w:w="0" w:type="dxa"/>
        <w:tblLayout w:type="fixed"/>
        <w:tblCellMar>
          <w:top w:w="28" w:type="dxa"/>
          <w:left w:w="28" w:type="dxa"/>
          <w:bottom w:w="28" w:type="dxa"/>
          <w:right w:w="28" w:type="dxa"/>
        </w:tblCellMar>
      </w:tblPr>
      <w:tblGrid>
        <w:gridCol w:w="5671"/>
        <w:gridCol w:w="146"/>
        <w:gridCol w:w="222"/>
        <w:gridCol w:w="751"/>
        <w:gridCol w:w="188"/>
        <w:gridCol w:w="166"/>
        <w:gridCol w:w="222"/>
        <w:gridCol w:w="683"/>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73"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905"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73" w:type="dxa"/>
            <w:gridSpan w:val="2"/>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05"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capital expenditures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right of use asset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lease liability</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10,333</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contingent consideration</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share distributions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locations. The Company also owns and operates retail cannabis stores that include a national chain named RISE Dispensaries, and sell our products and third-party products. As of June 30, 2024, Green Thumb has revenue in fourteen markets (California, Connecticut, Florida, Illinois, Maryland, Massachusetts, Minnesota, Nevada, New Jersey, New York, Ohio, Pennsylvania, Rhode Island and Virginia), employs approximately 4,500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registered office is located at 250 Howe Street, 20</w:t>
      </w:r>
      <w:r>
        <w:rPr>
          <w:rFonts w:ascii="Times New Roman" w:hAnsi="Times New Roman"/>
          <w:color w:val="000000"/>
          <w:sz w:val="13"/>
        </w:rPr>
        <w:t>th</w:t>
      </w:r>
      <w:r>
        <w:rPr>
          <w:rFonts w:ascii="Times New Roman" w:hAnsi="Times New Roman"/>
          <w:color w:val="000000"/>
          <w:sz w:val="20"/>
        </w:rPr>
        <w:t xml:space="preserve"> Floor, Vancouver, British Columbia, V6C 3R8. The Company’s U.S. headquarters are at 325 W. Huron St., Suite 700, Chicago, IL 60654.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2023 (the “2023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(c)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Note 2 to the Company's Consolidated Financial Statements included in the 2023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June 30, 2024, the Company had 9,196,881 options, 4,665,523 restricted stock units and 2,128,022 warrants outstanding. As of June 30, 2023, the Company had 10,874,051 options, 3,453,460 restricted stock units and 3,734,555 warrants outstanding.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i/>
          <w:color w:val="000000"/>
          <w:sz w:val="20"/>
        </w:rPr>
        <w:t>(Continued)</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(d) Earnings per Share </w:t>
      </w:r>
      <w:r>
        <w:rPr>
          <w:rFonts w:ascii="Times New Roman" w:hAnsi="Times New Roman"/>
          <w:color w:val="000000"/>
          <w:sz w:val="20"/>
        </w:rPr>
        <w:t>(</w:t>
      </w:r>
      <w:r>
        <w:rPr>
          <w:rFonts w:ascii="Times New Roman" w:hAnsi="Times New Roman"/>
          <w:i/>
          <w:color w:val="000000"/>
          <w:sz w:val="20"/>
        </w:rPr>
        <w:t>Continued</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June 30, 2024, the computation of diluted earnings per share included 1,632,323 options, 971,792 restricted stock units, and 117,434 warrants. For the six months ended June 30, 2024, the computation of diluted earnings per share included 1,625,478 options, 1,939,848 restricted stock units, and 119,259 warrants. For the three months ended June 30, 2023, the computation of diluted earnings per share included 135,894 options and 287,259 restricted stock units. For the six months ended June 30, 2023, the computation of diluted earnings per share included 167,191 options and 1,587,917 restricted stock units. There were no dilutive warrants during the three and six months ended June 30, 2023 as the strike price was greater than the average stock price for the period. For the three and six months ended June 30, 2024, the weighted average number of anti-dilutive stock options excluded from the computation of diluted earnings per share were 896,810 and 978,895, respectively. For the three and six months ended June 30, 2023, the weighted average number of anti-dilutive stock options excluded from the computation of diluted earnings per share were 3,399,518 and 3,473,866,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Accounting Standards Update (“ASU”) No. 2023-07, </w:t>
      </w:r>
      <w:r>
        <w:rPr>
          <w:rFonts w:ascii="Times New Roman" w:hAnsi="Times New Roman"/>
          <w:i/>
          <w:color w:val="000000"/>
          <w:sz w:val="20"/>
        </w:rPr>
        <w:t>Segment Reporting (Topic 280) - Improvements to Reportable Segment Disclosures</w:t>
      </w:r>
      <w:r>
        <w:rPr>
          <w:rFonts w:ascii="Times New Roman" w:hAnsi="Times New Roman"/>
          <w:color w:val="000000"/>
          <w:sz w:val="20"/>
        </w:rPr>
        <w:t>, to provide enhanced segment disclosures. The standard will require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recently issued accounting standards on a quarterly basis and has determined there are no standards yet to be adopted which are relevant to the business for disclosure.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inventories include the following at June 30, 2024 and December 31, 2023: </w:t>
      </w:r>
    </w:p>
    <w:tbl>
      <w:tblPr>
        <w:tblW w:w="5495" w:type="dxa"/>
        <w:jc w:val="left"/>
        <w:tblInd w:w="0" w:type="dxa"/>
        <w:tblLayout w:type="fixed"/>
        <w:tblCellMar>
          <w:top w:w="28" w:type="dxa"/>
          <w:left w:w="28" w:type="dxa"/>
          <w:bottom w:w="28" w:type="dxa"/>
          <w:right w:w="28" w:type="dxa"/>
        </w:tblCellMar>
      </w:tblPr>
      <w:tblGrid>
        <w:gridCol w:w="2356"/>
        <w:gridCol w:w="196"/>
        <w:gridCol w:w="1156"/>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r>
      <w:tr>
        <w:trPr/>
        <w:tc>
          <w:tcPr>
            <w:tcW w:w="23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and Miscellaneous</w:t>
            </w:r>
          </w:p>
        </w:tc>
        <w:tc>
          <w:tcPr>
            <w:tcW w:w="196" w:type="dxa"/>
            <w:tcBorders/>
            <w:shd w:fill="FFFFFF" w:val="clear"/>
            <w:vAlign w:val="center"/>
          </w:tcPr>
          <w:p>
            <w:pPr>
              <w:pStyle w:val="TableContents"/>
              <w:bidi w:val="0"/>
              <w:spacing w:before="0" w:after="283"/>
              <w:jc w:val="center"/>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11,021</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10,661</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96" w:type="dxa"/>
            <w:tcBorders/>
            <w:shd w:fill="CFF0FC" w:val="clear"/>
            <w:vAlign w:val="center"/>
          </w:tcPr>
          <w:p>
            <w:pPr>
              <w:pStyle w:val="TableContents"/>
              <w:bidi w:val="0"/>
              <w:spacing w:before="0" w:after="283"/>
              <w:jc w:val="center"/>
              <w:rPr/>
            </w:pPr>
            <w:r>
              <w:rPr/>
              <w:t> </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51,219</w:t>
            </w:r>
          </w:p>
        </w:tc>
        <w:tc>
          <w:tcPr>
            <w:tcW w:w="196" w:type="dxa"/>
            <w:tcBorders/>
            <w:shd w:fill="CFF0FC" w:val="clear"/>
            <w:vAlign w:val="center"/>
          </w:tcPr>
          <w:p>
            <w:pPr>
              <w:pStyle w:val="TableContents"/>
              <w:bidi w:val="0"/>
              <w:spacing w:before="0" w:after="283"/>
              <w:jc w:val="center"/>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47,029</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96" w:type="dxa"/>
            <w:tcBorders/>
            <w:shd w:fill="FFFFFF" w:val="clear"/>
            <w:vAlign w:val="center"/>
          </w:tcPr>
          <w:p>
            <w:pPr>
              <w:pStyle w:val="TableContents"/>
              <w:bidi w:val="0"/>
              <w:spacing w:before="0" w:after="283"/>
              <w:jc w:val="center"/>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70,320</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57,631</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Obsolete Inventory</w:t>
            </w:r>
          </w:p>
        </w:tc>
        <w:tc>
          <w:tcPr>
            <w:tcW w:w="196" w:type="dxa"/>
            <w:tcBorders/>
            <w:shd w:fill="CFF0FC" w:val="cle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r>
      <w:tr>
        <w:trPr/>
        <w:tc>
          <w:tcPr>
            <w:tcW w:w="235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130,530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112,970</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2024 and December 31, 2023, property and equipment consisted of the following: </w:t>
      </w:r>
    </w:p>
    <w:p>
      <w:pPr>
        <w:pStyle w:val="TextBody"/>
        <w:bidi w:val="0"/>
        <w:jc w:val="left"/>
        <w:rPr/>
      </w:pPr>
      <w:r>
        <w:rPr/>
        <w:t> </w:t>
      </w:r>
    </w:p>
    <w:tbl>
      <w:tblPr>
        <w:tblW w:w="5900" w:type="dxa"/>
        <w:jc w:val="left"/>
        <w:tblInd w:w="0" w:type="dxa"/>
        <w:tblLayout w:type="fixed"/>
        <w:tblCellMar>
          <w:top w:w="28" w:type="dxa"/>
          <w:left w:w="28" w:type="dxa"/>
          <w:bottom w:w="28" w:type="dxa"/>
          <w:right w:w="28" w:type="dxa"/>
        </w:tblCellMar>
      </w:tblPr>
      <w:tblGrid>
        <w:gridCol w:w="2761"/>
        <w:gridCol w:w="196"/>
        <w:gridCol w:w="1156"/>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r>
      <w:tr>
        <w:trPr/>
        <w:tc>
          <w:tcPr>
            <w:tcW w:w="27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 and Improvements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354,195</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353,912</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Computers and Furniture</w:t>
            </w:r>
          </w:p>
        </w:tc>
        <w:tc>
          <w:tcPr>
            <w:tcW w:w="19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182,041</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171,522</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222,073</w:t>
            </w:r>
          </w:p>
        </w:tc>
        <w:tc>
          <w:tcPr>
            <w:tcW w:w="19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200,232</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Improvements</w:t>
            </w:r>
          </w:p>
        </w:tc>
        <w:tc>
          <w:tcPr>
            <w:tcW w:w="19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Interest</w:t>
            </w:r>
          </w:p>
        </w:tc>
        <w:tc>
          <w:tcPr>
            <w:tcW w:w="196" w:type="dxa"/>
            <w:tcBorders/>
            <w:shd w:fill="CFF0FC" w:val="cle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30,817</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791,080</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757,529</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96" w:type="dxa"/>
            <w:tcBorders/>
            <w:shd w:fill="CFF0FC" w:val="cle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(127,290)</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633,912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630,239</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9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33,725</w:t>
            </w:r>
          </w:p>
        </w:tc>
        <w:tc>
          <w:tcPr>
            <w:tcW w:w="19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33,725</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Under Construction</w:t>
            </w:r>
          </w:p>
        </w:tc>
        <w:tc>
          <w:tcPr>
            <w:tcW w:w="196" w:type="dxa"/>
            <w:tcBorders/>
            <w:shd w:fill="FFFFFF" w:val="cle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23,142</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694,039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687,106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under construction represent costs associated with construction projects on cultivation and production facilities and retail stores as well as costs associated with internal-use software not yet placed in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three and six months ended June 30, 2024 totaled $15,412 thousand and $30,516 thousand, respectively, of which $9,930 thousand and $19,723 thousand, respectively, is included in cost of goods sold. Depreciation expense for the three and six months ended June 30, 2023 totaled $11,490 thousand and $22,381 thousand respectively, of which $7,694 thousand and $15,050 thousand, respectively, is included in cost of goods sold.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2024 and December 31, 2023, intangible assets consisted of the following: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95"/>
        <w:gridCol w:w="196"/>
        <w:gridCol w:w="1233"/>
        <w:gridCol w:w="196"/>
        <w:gridCol w:w="1490"/>
        <w:gridCol w:w="196"/>
        <w:gridCol w:w="920"/>
        <w:gridCol w:w="196"/>
        <w:gridCol w:w="1233"/>
        <w:gridCol w:w="196"/>
        <w:gridCol w:w="1490"/>
        <w:gridCol w:w="196"/>
        <w:gridCol w:w="968"/>
      </w:tblGrid>
      <w:tr>
        <w:trPr/>
        <w:tc>
          <w:tcPr>
            <w:tcW w:w="1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40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40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Licenses and Permits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179,813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480,903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157,764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502,952</w:t>
            </w:r>
          </w:p>
        </w:tc>
      </w:tr>
      <w:tr>
        <w:trPr/>
        <w:tc>
          <w:tcPr>
            <w:tcW w:w="16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96" w:type="dxa"/>
            <w:tcBorders/>
            <w:shd w:fill="FFFFFF" w:val="clear"/>
            <w:vAlign w:val="center"/>
          </w:tcPr>
          <w:p>
            <w:pPr>
              <w:pStyle w:val="TableContents"/>
              <w:bidi w:val="0"/>
              <w:spacing w:before="0" w:after="283"/>
              <w:jc w:val="center"/>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96"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6"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26,765</w:t>
            </w:r>
          </w:p>
        </w:tc>
        <w:tc>
          <w:tcPr>
            <w:tcW w:w="196" w:type="dxa"/>
            <w:tcBorders/>
            <w:shd w:fill="FFFFFF" w:val="clear"/>
            <w:vAlign w:val="center"/>
          </w:tcPr>
          <w:p>
            <w:pPr>
              <w:pStyle w:val="TableContents"/>
              <w:bidi w:val="0"/>
              <w:spacing w:before="0" w:after="283"/>
              <w:jc w:val="center"/>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96"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w:t>
            </w:r>
          </w:p>
        </w:tc>
        <w:tc>
          <w:tcPr>
            <w:tcW w:w="196"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28,133</w:t>
            </w:r>
          </w:p>
        </w:tc>
      </w:tr>
      <w:tr>
        <w:trPr/>
        <w:tc>
          <w:tcPr>
            <w:tcW w:w="16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96" w:type="dxa"/>
            <w:tcBorders/>
            <w:shd w:fill="CFF0FC" w:val="clear"/>
            <w:vAlign w:val="center"/>
          </w:tcPr>
          <w:p>
            <w:pPr>
              <w:pStyle w:val="TableContents"/>
              <w:bidi w:val="0"/>
              <w:spacing w:before="0" w:after="283"/>
              <w:jc w:val="center"/>
              <w:rPr/>
            </w:pPr>
            <w:r>
              <w:rPr/>
              <w:t> </w:t>
            </w:r>
          </w:p>
        </w:tc>
        <w:tc>
          <w:tcPr>
            <w:tcW w:w="12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shd w:fill="CFF0FC" w:val="clear"/>
            <w:vAlign w:val="center"/>
          </w:tcPr>
          <w:p>
            <w:pPr>
              <w:pStyle w:val="TableContents"/>
              <w:bidi w:val="0"/>
              <w:spacing w:before="0" w:after="283"/>
              <w:jc w:val="center"/>
              <w:rPr/>
            </w:pPr>
            <w:r>
              <w:rPr/>
              <w:t> </w:t>
            </w:r>
          </w:p>
        </w:tc>
        <w:tc>
          <w:tcPr>
            <w:tcW w:w="14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18,672</w:t>
            </w:r>
          </w:p>
        </w:tc>
        <w:tc>
          <w:tcPr>
            <w:tcW w:w="196" w:type="dxa"/>
            <w:tcBorders/>
            <w:shd w:fill="CFF0FC" w:val="clear"/>
            <w:vAlign w:val="center"/>
          </w:tcPr>
          <w:p>
            <w:pPr>
              <w:pStyle w:val="TableContents"/>
              <w:bidi w:val="0"/>
              <w:spacing w:before="0" w:after="283"/>
              <w:jc w:val="center"/>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5,766</w:t>
            </w:r>
          </w:p>
        </w:tc>
        <w:tc>
          <w:tcPr>
            <w:tcW w:w="196" w:type="dxa"/>
            <w:tcBorders/>
            <w:shd w:fill="CFF0FC" w:val="clear"/>
            <w:vAlign w:val="center"/>
          </w:tcPr>
          <w:p>
            <w:pPr>
              <w:pStyle w:val="TableContents"/>
              <w:bidi w:val="0"/>
              <w:spacing w:before="0" w:after="283"/>
              <w:jc w:val="center"/>
              <w:rPr/>
            </w:pPr>
            <w:r>
              <w:rPr/>
              <w:t> </w:t>
            </w:r>
          </w:p>
        </w:tc>
        <w:tc>
          <w:tcPr>
            <w:tcW w:w="12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shd w:fill="CFF0FC" w:val="clear"/>
            <w:vAlign w:val="center"/>
          </w:tcPr>
          <w:p>
            <w:pPr>
              <w:pStyle w:val="TableContents"/>
              <w:bidi w:val="0"/>
              <w:spacing w:before="0" w:after="283"/>
              <w:jc w:val="center"/>
              <w:rPr/>
            </w:pPr>
            <w:r>
              <w:rPr/>
              <w:t> </w:t>
            </w:r>
          </w:p>
        </w:tc>
        <w:tc>
          <w:tcPr>
            <w:tcW w:w="14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16,927</w:t>
            </w:r>
          </w:p>
        </w:tc>
        <w:tc>
          <w:tcPr>
            <w:tcW w:w="196" w:type="dxa"/>
            <w:tcBorders/>
            <w:shd w:fill="CFF0FC" w:val="clear"/>
            <w:vAlign w:val="center"/>
          </w:tcPr>
          <w:p>
            <w:pPr>
              <w:pStyle w:val="TableContents"/>
              <w:bidi w:val="0"/>
              <w:spacing w:before="0" w:after="283"/>
              <w:jc w:val="center"/>
              <w:rPr/>
            </w:pPr>
            <w:r>
              <w:rPr/>
              <w:t> </w:t>
            </w:r>
          </w:p>
        </w:tc>
        <w:tc>
          <w:tcPr>
            <w:tcW w:w="9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7,511</w:t>
            </w:r>
          </w:p>
        </w:tc>
      </w:tr>
      <w:tr>
        <w:trPr/>
        <w:tc>
          <w:tcPr>
            <w:tcW w:w="16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Non-Competition Agreements</w:t>
            </w:r>
          </w:p>
        </w:tc>
        <w:tc>
          <w:tcPr>
            <w:tcW w:w="196" w:type="dxa"/>
            <w:tcBorders/>
            <w:shd w:fill="FFFFFF" w:val="cle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r>
      <w:tr>
        <w:trPr/>
        <w:tc>
          <w:tcPr>
            <w:tcW w:w="16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729,230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215,796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513,434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729,230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190,552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538,678</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amortization expense for the three and six months ended June 30, 2024 of $12,573 thousand and $25,244 thousand, respectively. The Company recorded amortization expense for the three and six months ended June 30, 2023 of $12,744 thousand and $25,354 thousand, respectively. As of June 30, 2024 and December 31, 2023, intangible assets are carried net of accumulated impairment losses of $31,131 thousand as of each period then 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outlines the estimated annual amortization expense related to intangible assets as of June 30, 2024: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25,148</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96" w:type="dxa"/>
            <w:tcBorders/>
            <w:shd w:fill="FFFFFF" w:val="cle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50,294</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vAlign w:val="center"/>
          </w:tcPr>
          <w:p>
            <w:pPr>
              <w:pStyle w:val="TableContents"/>
              <w:bidi w:val="0"/>
              <w:spacing w:before="0" w:after="283"/>
              <w:jc w:val="center"/>
              <w:rPr/>
            </w:pPr>
            <w:r>
              <w:rPr/>
              <w:t> </w:t>
            </w:r>
          </w:p>
        </w:tc>
        <w:tc>
          <w:tcPr>
            <w:tcW w:w="11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47,332</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46,803</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vAlign w:val="center"/>
          </w:tcPr>
          <w:p>
            <w:pPr>
              <w:pStyle w:val="TableContents"/>
              <w:bidi w:val="0"/>
              <w:spacing w:before="0" w:after="283"/>
              <w:jc w:val="center"/>
              <w:rPr/>
            </w:pPr>
            <w:r>
              <w:rPr/>
              <w:t> </w:t>
            </w:r>
          </w:p>
        </w:tc>
        <w:tc>
          <w:tcPr>
            <w:tcW w:w="11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46,803</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 and Thereafter</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297,054</w:t>
            </w:r>
          </w:p>
        </w:tc>
      </w:tr>
      <w:tr>
        <w:trPr/>
        <w:tc>
          <w:tcPr>
            <w:tcW w:w="207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513,434</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As of June 30, 2024, the weighted average amortization period remaining for intangible assets was 10.91 years. </w:t>
      </w:r>
    </w:p>
    <w:p>
      <w:pPr>
        <w:pStyle w:val="TextBody"/>
        <w:bidi w:val="0"/>
        <w:spacing w:before="360" w:after="283"/>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2024 and December 31, 2023 the balances of goodwill, by segment, consisted of the following: </w:t>
      </w:r>
    </w:p>
    <w:p>
      <w:pPr>
        <w:pStyle w:val="TextBody"/>
        <w:bidi w:val="0"/>
        <w:spacing w:before="120" w:after="283"/>
        <w:jc w:val="left"/>
        <w:rPr/>
      </w:pPr>
      <w:r>
        <w:rPr/>
        <w:t> </w:t>
      </w:r>
    </w:p>
    <w:tbl>
      <w:tblPr>
        <w:tblW w:w="5165" w:type="dxa"/>
        <w:jc w:val="left"/>
        <w:tblInd w:w="0" w:type="dxa"/>
        <w:tblLayout w:type="fixed"/>
        <w:tblCellMar>
          <w:top w:w="28" w:type="dxa"/>
          <w:left w:w="28" w:type="dxa"/>
          <w:bottom w:w="28" w:type="dxa"/>
          <w:right w:w="28" w:type="dxa"/>
        </w:tblCellMar>
      </w:tblPr>
      <w:tblGrid>
        <w:gridCol w:w="2101"/>
        <w:gridCol w:w="196"/>
        <w:gridCol w:w="1126"/>
        <w:gridCol w:w="196"/>
        <w:gridCol w:w="1546"/>
      </w:tblGrid>
      <w:tr>
        <w:trPr/>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10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Packaged Goods</w:t>
            </w:r>
          </w:p>
        </w:tc>
        <w:tc>
          <w:tcPr>
            <w:tcW w:w="196"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c>
          <w:tcPr>
            <w:tcW w:w="19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r>
      <w:tr>
        <w:trPr/>
        <w:tc>
          <w:tcPr>
            <w:tcW w:w="21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recognized net of accumulated impairment losses of $57,372 thousand as of June 30, 2024 and December 31, 2023. During the three and six months ended June 30, 2024 and 2023, there were no goodwill impairment charges recognized by the Company in the unaudited interim condensed consolidated statements of operations.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and December 31, 2023, the Company held various equity interests in cannabis-related companies as well as investments in note(s) receivable instruments that had a combined fair value of $61,412 thousand and $64,361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investments during the six months ended June 30, 2024 and year ended December 31, 2023: </w:t>
      </w:r>
    </w:p>
    <w:p>
      <w:pPr>
        <w:pStyle w:val="TextBody"/>
        <w:bidi w:val="0"/>
        <w:jc w:val="left"/>
        <w:rPr/>
      </w:pPr>
      <w:r>
        <w:rPr/>
        <w:t> </w:t>
      </w:r>
    </w:p>
    <w:tbl>
      <w:tblPr>
        <w:tblW w:w="5345" w:type="dxa"/>
        <w:jc w:val="left"/>
        <w:tblInd w:w="0" w:type="dxa"/>
        <w:tblLayout w:type="fixed"/>
        <w:tblCellMar>
          <w:top w:w="28" w:type="dxa"/>
          <w:left w:w="28" w:type="dxa"/>
          <w:bottom w:w="28" w:type="dxa"/>
          <w:right w:w="28" w:type="dxa"/>
        </w:tblCellMar>
      </w:tblPr>
      <w:tblGrid>
        <w:gridCol w:w="1876"/>
        <w:gridCol w:w="211"/>
        <w:gridCol w:w="1276"/>
        <w:gridCol w:w="211"/>
        <w:gridCol w:w="1771"/>
      </w:tblGrid>
      <w:tr>
        <w:trPr/>
        <w:tc>
          <w:tcPr>
            <w:tcW w:w="1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r>
      <w:tr>
        <w:trPr/>
        <w:tc>
          <w:tcPr>
            <w:tcW w:w="187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64,361</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74,169</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211" w:type="dxa"/>
            <w:tcBorders/>
            <w:shd w:fill="FFFFFF" w:val="clear"/>
            <w:vAlign w:val="center"/>
          </w:tcPr>
          <w:p>
            <w:pPr>
              <w:pStyle w:val="TableContents"/>
              <w:bidi w:val="0"/>
              <w:spacing w:before="0" w:after="283"/>
              <w:jc w:val="center"/>
              <w:rPr/>
            </w:pPr>
            <w:r>
              <w:rPr/>
              <w:t> </w:t>
            </w:r>
          </w:p>
        </w:tc>
        <w:tc>
          <w:tcPr>
            <w:tcW w:w="1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vAlign w:val="center"/>
          </w:tcPr>
          <w:p>
            <w:pPr>
              <w:pStyle w:val="TableContents"/>
              <w:bidi w:val="0"/>
              <w:spacing w:before="0" w:after="283"/>
              <w:jc w:val="center"/>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211" w:type="dxa"/>
            <w:tcBorders/>
            <w:shd w:fill="CFF0FC" w:val="clear"/>
            <w:vAlign w:val="center"/>
          </w:tcPr>
          <w:p>
            <w:pPr>
              <w:pStyle w:val="TableContents"/>
              <w:bidi w:val="0"/>
              <w:spacing w:before="0" w:after="283"/>
              <w:jc w:val="center"/>
              <w:rPr/>
            </w:pPr>
            <w:r>
              <w:rPr/>
              <w:t> </w:t>
            </w:r>
          </w:p>
        </w:tc>
        <w:tc>
          <w:tcPr>
            <w:tcW w:w="1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w:t>
            </w:r>
          </w:p>
        </w:tc>
        <w:tc>
          <w:tcPr>
            <w:tcW w:w="211" w:type="dxa"/>
            <w:tcBorders/>
            <w:shd w:fill="FFFFFF" w:val="clear"/>
            <w:vAlign w:val="center"/>
          </w:tcPr>
          <w:p>
            <w:pPr>
              <w:pStyle w:val="TableContents"/>
              <w:bidi w:val="0"/>
              <w:spacing w:before="0" w:after="283"/>
              <w:jc w:val="center"/>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shd w:fill="FFFFFF" w:val="clear"/>
            <w:vAlign w:val="center"/>
          </w:tcPr>
          <w:p>
            <w:pPr>
              <w:pStyle w:val="TableContents"/>
              <w:bidi w:val="0"/>
              <w:spacing w:before="0" w:after="283"/>
              <w:jc w:val="center"/>
              <w:rPr/>
            </w:pPr>
            <w:r>
              <w:rPr/>
              <w:t> </w:t>
            </w:r>
          </w:p>
        </w:tc>
        <w:tc>
          <w:tcPr>
            <w:tcW w:w="17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(17,460)</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and other</w:t>
            </w:r>
          </w:p>
        </w:tc>
        <w:tc>
          <w:tcPr>
            <w:tcW w:w="211" w:type="dxa"/>
            <w:tcBorders/>
            <w:shd w:fill="CFF0FC" w:val="clear"/>
            <w:vAlign w:val="center"/>
          </w:tcPr>
          <w:p>
            <w:pPr>
              <w:pStyle w:val="TableContents"/>
              <w:bidi w:val="0"/>
              <w:spacing w:before="0" w:after="283"/>
              <w:jc w:val="center"/>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64,361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fair value associated with the Company's equity investments and notes receivable instruments recorded during the three and six months ended June 30, 2024 and 2023.</w:t>
      </w:r>
    </w:p>
    <w:p>
      <w:pPr>
        <w:pStyle w:val="TextBody"/>
        <w:bidi w:val="0"/>
        <w:jc w:val="left"/>
        <w:rPr/>
      </w:pPr>
      <w:r>
        <w:rPr/>
        <w:t> </w:t>
      </w:r>
    </w:p>
    <w:tbl>
      <w:tblPr>
        <w:tblW w:w="8545" w:type="dxa"/>
        <w:jc w:val="left"/>
        <w:tblInd w:w="0" w:type="dxa"/>
        <w:tblLayout w:type="fixed"/>
        <w:tblCellMar>
          <w:top w:w="28" w:type="dxa"/>
          <w:left w:w="28" w:type="dxa"/>
          <w:bottom w:w="28" w:type="dxa"/>
          <w:right w:w="28" w:type="dxa"/>
        </w:tblCellMar>
      </w:tblPr>
      <w:tblGrid>
        <w:gridCol w:w="3676"/>
        <w:gridCol w:w="346"/>
        <w:gridCol w:w="876"/>
        <w:gridCol w:w="346"/>
        <w:gridCol w:w="876"/>
        <w:gridCol w:w="146"/>
        <w:gridCol w:w="291"/>
        <w:gridCol w:w="692"/>
        <w:gridCol w:w="291"/>
        <w:gridCol w:w="1005"/>
      </w:tblGrid>
      <w:tr>
        <w:trPr/>
        <w:tc>
          <w:tcPr>
            <w:tcW w:w="3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pPr>
            <w:r>
              <w:rPr/>
              <w:t> </w:t>
            </w:r>
          </w:p>
        </w:tc>
        <w:tc>
          <w:tcPr>
            <w:tcW w:w="24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367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3676" w:type="dxa"/>
            <w:tcBorders/>
            <w:shd w:fill="FFFFFF" w:val="clear"/>
            <w:vAlign w:val="center"/>
          </w:tcPr>
          <w:p>
            <w:pPr>
              <w:pStyle w:val="TableContents"/>
              <w:bidi w:val="0"/>
              <w:spacing w:before="0" w:after="283"/>
              <w:jc w:val="left"/>
              <w:rPr/>
            </w:pPr>
            <w:r>
              <w:rPr/>
              <w:t> </w:t>
            </w:r>
          </w:p>
        </w:tc>
        <w:tc>
          <w:tcPr>
            <w:tcW w:w="48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34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34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Notes Receivable Instruments</w:t>
            </w:r>
          </w:p>
        </w:tc>
        <w:tc>
          <w:tcPr>
            <w:tcW w:w="3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vAlign w:val="center"/>
          </w:tcPr>
          <w:p>
            <w:pPr>
              <w:pStyle w:val="TableContents"/>
              <w:bidi w:val="0"/>
              <w:spacing w:before="0" w:after="283"/>
              <w:jc w:val="center"/>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center"/>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CFF0FC" w:val="clear"/>
            <w:vAlign w:val="center"/>
          </w:tcPr>
          <w:p>
            <w:pPr>
              <w:pStyle w:val="TableContents"/>
              <w:bidi w:val="0"/>
              <w:spacing w:before="0" w:after="283"/>
              <w:jc w:val="center"/>
              <w:rPr/>
            </w:pPr>
            <w:r>
              <w:rPr/>
              <w:t> </w:t>
            </w:r>
          </w:p>
        </w:tc>
        <w:tc>
          <w:tcPr>
            <w:tcW w:w="1005" w:type="dxa"/>
            <w:tcBorders/>
            <w:shd w:fill="CFF0FC" w:val="clear"/>
            <w:vAlign w:val="center"/>
          </w:tcPr>
          <w:p>
            <w:pPr>
              <w:pStyle w:val="TableContents"/>
              <w:bidi w:val="0"/>
              <w:spacing w:before="0" w:after="283"/>
              <w:jc w:val="right"/>
              <w:rPr>
                <w:color w:val="000000"/>
              </w:rPr>
            </w:pPr>
            <w:r>
              <w:rPr>
                <w:color w:val="00000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on Notes Receivable Instruments</w:t>
            </w:r>
          </w:p>
        </w:tc>
        <w:tc>
          <w:tcPr>
            <w:tcW w:w="346" w:type="dxa"/>
            <w:tcBorders/>
            <w:shd w:fill="FFFFFF" w:val="clear"/>
            <w:vAlign w:val="center"/>
          </w:tcPr>
          <w:p>
            <w:pPr>
              <w:pStyle w:val="TableContents"/>
              <w:bidi w:val="0"/>
              <w:spacing w:before="0" w:after="283"/>
              <w:jc w:val="center"/>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center"/>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fair value gains (losses)</w:t>
            </w:r>
          </w:p>
        </w:tc>
        <w:tc>
          <w:tcPr>
            <w:tcW w:w="34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(928)</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and December 31, 2023, the Company held equity investments in publicly traded entities which have readily determinable fair values, which are classified as Level 1 investments of $507 thousand and $2,001 thousand, respectively. During the three and six months ended June 30, 2024, the Company recorded (losses) gains on the change in fair value of such investments of $(481) thousand and $158 thousand, respectively, within other income (expense) on the unaudited interim condensed consolidated statement of operations. During the three and six months ended June 30, 2023, the Company recorded net losses on the change in fair value of such investments of $655 thousand and $1,134 thousand, respectively, within other income (expense) on the unaudited interim condensed consolidated statement of operations. During the six months ended June 30, 2024 and 2023, the Company received proceeds from the sale of such investments of $1,652 thousand and $31 thousand,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and December 31, 2023, the Company held equity investments in privately held entities that did not have readily determinable fair values, which are classified as Level 3 investments, of $25,953 thousand as of each period end. For the three and six months ended June 30, 2024 and 2023, there were no gains or losses on the change in fair value of such investments. There were no sales of these investments during these periods.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investments are classified as trading securities and are included within investments on the Company's unaudited interim 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See Note 13 - Fair Value Measurements for additional details.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 Equity Investments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(losses) gains associated with the Company's equity investments recorded during the three and six months ended June 30, 2024 were $(253) thousand and $319 thousand, respectively. Unrealized (losses) gains associated with the Company's equity investments recorded during the three and six months ended June 30, 2023 were $(653) thousand and $1,996 thousand,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and December 31, 2023, the Company held note receivable instruments, which were classified as a Level 1 investment as they represent public debt of a publicly traded entity, and had a fair value of $24,188 thousand and $22,214 thousand, respectively. During the three and six months ended June 30, 2024, the Company recorded fair value adjustments of $9 thousand on these instruments. There were no gains (losses) recognized on these investments during the three and six months ended June 30, 2023. The notes receivable had a stated interest rate of 13% and a maturity date of April 29, 2025. The notes did not contain any conversion features.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and December 31, 2023, the Company held note receivable instruments, which were classified as Level 3 investments as they represent loans provided to privately held entities that do not have readily determinable fair values. The note receivable instruments had a combined fair value of $10,764 thousand and $14,193 thousand, respectively, with stated interest ranging between 2.7% - 10% and terms between twelve months to five years. The combined fair value of these notes receivable instruments includes the initial investment cost and combined contractual accrued interest of $84 thousand and $167 thousand for the three and six months ended June 30, 2024, respectively, and $78 thousand and $206 thousand for the three and six months ended June 30, 2023, respectively. The accrued interest is recorded within interest income on the unaudited interim condensed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9, 2024, one of the Company's privately held note receivable instruments matured. As a result, the Company received the principal amount of $4,000 thousand along with the accrued interest of $605 thousand on such date.</w:t>
      </w:r>
    </w:p>
    <w:p>
      <w:pPr>
        <w:pStyle w:val="TextBody"/>
        <w:bidi w:val="0"/>
        <w:jc w:val="left"/>
        <w:rPr>
          <w:rFonts w:ascii="Times New Roman" w:hAnsi="Times New Roman"/>
          <w:color w:val="000000"/>
          <w:sz w:val="20"/>
        </w:rPr>
      </w:pPr>
      <w:r>
        <w:rPr>
          <w:rFonts w:ascii="Times New Roman" w:hAnsi="Times New Roman"/>
          <w:color w:val="000000"/>
          <w:sz w:val="20"/>
        </w:rPr>
        <w:t>These notes receivable instruments are classified as trading securities and are included within investments on the Company's unaudited interim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13 - Fair Value Measurements for additional details.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b/>
          <w:color w:val="000000"/>
          <w:sz w:val="20"/>
        </w:rPr>
      </w:pPr>
      <w:r>
        <w:rPr>
          <w:rFonts w:ascii="Times New Roman" w:hAnsi="Times New Roman"/>
          <w:b/>
          <w:color w:val="000000"/>
          <w:sz w:val="20"/>
        </w:rPr>
        <w:t>6.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operating leases for its retail stores, processing and cultivation facilities and corporate office spaces. Operating lease right-of-use assets and operating lease liabilities are recognized based on the present value of future minimum lease payments over the lease term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three and six months ended June 30, 2024, the Company recorded operating lease expense of $12,425 thousand and $24,676 thousand, respectively compared to operating lease expense of $12,146 thousand and $24,368 thousand for three and six months ended June 30, 2023,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information related to operating leases as of June 30, 2024 and December 31, 2023 were as follows: </w:t>
      </w:r>
    </w:p>
    <w:p>
      <w:pPr>
        <w:pStyle w:val="TextBody"/>
        <w:bidi w:val="0"/>
        <w:spacing w:before="120" w:after="283"/>
        <w:jc w:val="left"/>
        <w:rPr/>
      </w:pPr>
      <w:r>
        <w:rPr/>
        <w:t> </w:t>
      </w:r>
    </w:p>
    <w:tbl>
      <w:tblPr>
        <w:tblW w:w="6340" w:type="dxa"/>
        <w:jc w:val="left"/>
        <w:tblInd w:w="0" w:type="dxa"/>
        <w:tblLayout w:type="fixed"/>
        <w:tblCellMar>
          <w:top w:w="28" w:type="dxa"/>
          <w:left w:w="28" w:type="dxa"/>
          <w:bottom w:w="28" w:type="dxa"/>
          <w:right w:w="28" w:type="dxa"/>
        </w:tblCellMar>
      </w:tblPr>
      <w:tblGrid>
        <w:gridCol w:w="3376"/>
        <w:gridCol w:w="146"/>
        <w:gridCol w:w="112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shd w:fill="CFF0FC" w:val="clear"/>
            <w:vAlign w:val="center"/>
          </w:tcPr>
          <w:p>
            <w:pPr>
              <w:pStyle w:val="TableContents"/>
              <w:bidi w:val="0"/>
              <w:spacing w:before="0" w:after="283"/>
              <w:jc w:val="right"/>
              <w:rPr/>
            </w:pPr>
            <w:r>
              <w:rPr/>
              <w:t> </w:t>
            </w:r>
          </w:p>
        </w:tc>
        <w:tc>
          <w:tcPr>
            <w:tcW w:w="15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w:t>
            </w:r>
          </w:p>
        </w:tc>
        <w:tc>
          <w:tcPr>
            <w:tcW w:w="146" w:type="dxa"/>
            <w:tcBorders/>
            <w:shd w:fill="FFFFFF" w:val="clear"/>
            <w:vAlign w:val="center"/>
          </w:tcPr>
          <w:p>
            <w:pPr>
              <w:pStyle w:val="TableContents"/>
              <w:bidi w:val="0"/>
              <w:spacing w:before="0" w:after="283"/>
              <w:jc w:val="righ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Maturities of lease liabilities for operating leases as of June 30, 2024 were as follows: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2431"/>
        <w:gridCol w:w="196"/>
        <w:gridCol w:w="991"/>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43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Remainder of 2024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22,626</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22,918</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9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44,893</w:t>
            </w:r>
          </w:p>
        </w:tc>
        <w:tc>
          <w:tcPr>
            <w:tcW w:w="196"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19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45,485</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CFF0FC" w:val="clear"/>
            <w:vAlign w:val="center"/>
          </w:tcPr>
          <w:p>
            <w:pPr>
              <w:pStyle w:val="TableContents"/>
              <w:bidi w:val="0"/>
              <w:spacing w:before="0" w:after="283"/>
              <w:jc w:val="center"/>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45,102</w:t>
            </w:r>
          </w:p>
        </w:tc>
        <w:tc>
          <w:tcPr>
            <w:tcW w:w="196" w:type="dxa"/>
            <w:tcBorders/>
            <w:shd w:fill="CFF0FC" w:val="clear"/>
            <w:vAlign w:val="center"/>
          </w:tcPr>
          <w:p>
            <w:pPr>
              <w:pStyle w:val="TableContents"/>
              <w:bidi w:val="0"/>
              <w:spacing w:before="0" w:after="283"/>
              <w:jc w:val="center"/>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96" w:type="dxa"/>
            <w:tcBorders/>
            <w:shd w:fill="CFF0FC" w:val="clear"/>
            <w:vAlign w:val="center"/>
          </w:tcPr>
          <w:p>
            <w:pPr>
              <w:pStyle w:val="TableContents"/>
              <w:bidi w:val="0"/>
              <w:spacing w:before="0" w:after="283"/>
              <w:jc w:val="center"/>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45,705</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45,622</w:t>
            </w:r>
          </w:p>
        </w:tc>
        <w:tc>
          <w:tcPr>
            <w:tcW w:w="196"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9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46,194</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CFF0FC" w:val="clear"/>
            <w:vAlign w:val="center"/>
          </w:tcPr>
          <w:p>
            <w:pPr>
              <w:pStyle w:val="TableContents"/>
              <w:bidi w:val="0"/>
              <w:spacing w:before="0" w:after="283"/>
              <w:jc w:val="center"/>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44,898</w:t>
            </w:r>
          </w:p>
        </w:tc>
        <w:tc>
          <w:tcPr>
            <w:tcW w:w="196" w:type="dxa"/>
            <w:tcBorders/>
            <w:shd w:fill="CFF0FC" w:val="clear"/>
            <w:vAlign w:val="center"/>
          </w:tcPr>
          <w:p>
            <w:pPr>
              <w:pStyle w:val="TableContents"/>
              <w:bidi w:val="0"/>
              <w:spacing w:before="0" w:after="283"/>
              <w:jc w:val="center"/>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96" w:type="dxa"/>
            <w:tcBorders/>
            <w:shd w:fill="CFF0FC" w:val="clear"/>
            <w:vAlign w:val="center"/>
          </w:tcPr>
          <w:p>
            <w:pPr>
              <w:pStyle w:val="TableContents"/>
              <w:bidi w:val="0"/>
              <w:spacing w:before="0" w:after="283"/>
              <w:jc w:val="center"/>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45,262</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 and Thereafter</w:t>
            </w:r>
          </w:p>
        </w:tc>
        <w:tc>
          <w:tcPr>
            <w:tcW w:w="196" w:type="dxa"/>
            <w:tcBorders/>
            <w:shd w:fill="FFFFFF" w:val="cle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331,258</w:t>
            </w:r>
          </w:p>
        </w:tc>
      </w:tr>
      <w:tr>
        <w:trPr/>
        <w:tc>
          <w:tcPr>
            <w:tcW w:w="24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96" w:type="dxa"/>
            <w:tcBorders/>
            <w:shd w:fill="CFF0FC" w:val="clear"/>
            <w:vAlign w:val="center"/>
          </w:tcPr>
          <w:p>
            <w:pPr>
              <w:pStyle w:val="TableContents"/>
              <w:bidi w:val="0"/>
              <w:spacing w:before="0" w:after="283"/>
              <w:jc w:val="center"/>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533,035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536,822</w:t>
            </w:r>
          </w:p>
        </w:tc>
      </w:tr>
      <w:tr>
        <w:trPr/>
        <w:tc>
          <w:tcPr>
            <w:tcW w:w="2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96" w:type="dxa"/>
            <w:tcBorders/>
            <w:shd w:fill="FFFFFF" w:val="cle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(262,938)</w:t>
            </w:r>
          </w:p>
        </w:tc>
      </w:tr>
      <w:tr>
        <w:trPr/>
        <w:tc>
          <w:tcPr>
            <w:tcW w:w="243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Lease Liability</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271,328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273,884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leasing arrangements that are related party transactions, including for certain facilities in Maryland, Massachusetts and Nevada. Wendy Berger, a former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Chief Executive Officer of the Company (through KP Capital, LLC), and Anthony Georgiadis, the President and a director of the Company (through Three One Four Holdings, LLC). The terms of these leases range from 7 years to 15 years. For the three and six months ended June 30, 2024, the Company recorded lease expense of $166 thousand and $305 thousand, respectively, compared to lease expense of $137 thousand and $276 thousand for the three and six months ended June 30, 2023, respectively, associated with these leasing arrangements.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NOTES PAYABLE</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2024 and December 31, 2023, notes payable consisted of the following: </w:t>
      </w:r>
    </w:p>
    <w:tbl>
      <w:tblPr>
        <w:tblW w:w="6425" w:type="dxa"/>
        <w:jc w:val="left"/>
        <w:tblInd w:w="0" w:type="dxa"/>
        <w:tblLayout w:type="fixed"/>
        <w:tblCellMar>
          <w:top w:w="28" w:type="dxa"/>
          <w:left w:w="28" w:type="dxa"/>
          <w:bottom w:w="28" w:type="dxa"/>
          <w:right w:w="28" w:type="dxa"/>
        </w:tblCellMar>
      </w:tblPr>
      <w:tblGrid>
        <w:gridCol w:w="3286"/>
        <w:gridCol w:w="196"/>
        <w:gridCol w:w="1156"/>
        <w:gridCol w:w="196"/>
        <w:gridCol w:w="159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r>
      <w:tr>
        <w:trPr/>
        <w:tc>
          <w:tcPr>
            <w:tcW w:w="328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2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Charitable contributions</w:t>
            </w:r>
            <w:r>
              <w:rPr>
                <w:rFonts w:ascii="Times New Roman" w:hAnsi="Times New Roman"/>
                <w:color w:val="000000"/>
                <w:sz w:val="12"/>
              </w:rPr>
              <w:t>1</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r>
      <w:tr>
        <w:trPr/>
        <w:tc>
          <w:tcPr>
            <w:tcW w:w="328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Private placement debt dated April 30, 2021</w:t>
            </w:r>
            <w:r>
              <w:rPr>
                <w:rFonts w:ascii="Times New Roman" w:hAnsi="Times New Roman"/>
                <w:color w:val="000000"/>
                <w:sz w:val="12"/>
              </w:rPr>
              <w:t>2</w:t>
            </w:r>
          </w:p>
        </w:tc>
        <w:tc>
          <w:tcPr>
            <w:tcW w:w="196" w:type="dxa"/>
            <w:tcBorders/>
            <w:shd w:fill="FFFFFF" w:val="clear"/>
            <w:vAlign w:val="center"/>
          </w:tcPr>
          <w:p>
            <w:pPr>
              <w:pStyle w:val="TableContents"/>
              <w:bidi w:val="0"/>
              <w:spacing w:before="0" w:after="283"/>
              <w:jc w:val="center"/>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224,435</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221,680</w:t>
            </w:r>
          </w:p>
        </w:tc>
      </w:tr>
      <w:tr>
        <w:trPr/>
        <w:tc>
          <w:tcPr>
            <w:tcW w:w="32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Mortgage notes</w:t>
            </w:r>
            <w:r>
              <w:rPr>
                <w:rFonts w:ascii="Times New Roman" w:hAnsi="Times New Roman"/>
                <w:color w:val="000000"/>
                <w:sz w:val="12"/>
              </w:rPr>
              <w:t>3</w:t>
            </w:r>
          </w:p>
        </w:tc>
        <w:tc>
          <w:tcPr>
            <w:tcW w:w="196" w:type="dxa"/>
            <w:tcBorders/>
            <w:shd w:fill="CFF0FC" w:val="cle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86,492</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FFFFFF" w:val="clear"/>
            <w:vAlign w:val="center"/>
          </w:tcPr>
          <w:p>
            <w:pPr>
              <w:pStyle w:val="TableContents"/>
              <w:bidi w:val="0"/>
              <w:spacing w:before="0" w:after="283"/>
              <w:jc w:val="center"/>
              <w:rPr/>
            </w:pPr>
            <w:r>
              <w:rPr/>
              <w:t> </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309,743</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308,523</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notes payable</w:t>
            </w:r>
          </w:p>
        </w:tc>
        <w:tc>
          <w:tcPr>
            <w:tcW w:w="196" w:type="dxa"/>
            <w:tcBorders/>
            <w:shd w:fill="CFF0FC" w:val="cle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(227,265)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82,478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305,527</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In connection with acquisitions completed in 2017 and 2019, the Company committed to provide charitable contributions of $50</w:t>
      </w:r>
      <w:r>
        <w:rPr>
          <w:rFonts w:ascii="Times New Roman" w:hAnsi="Times New Roman"/>
          <w:color w:val="000000"/>
          <w:sz w:val="20"/>
        </w:rPr>
        <w:t xml:space="preserve"> </w:t>
      </w:r>
      <w:r>
        <w:rPr>
          <w:rFonts w:ascii="Times New Roman" w:hAnsi="Times New Roman"/>
          <w:color w:val="000000"/>
          <w:sz w:val="18"/>
        </w:rPr>
        <w:t>thousand per quarter through October 2024</w:t>
      </w:r>
      <w:r>
        <w:rPr>
          <w:rFonts w:ascii="Times New Roman" w:hAnsi="Times New Roman"/>
          <w:color w:val="000000"/>
          <w:sz w:val="20"/>
        </w:rPr>
        <w:t xml:space="preserve"> </w:t>
      </w:r>
      <w:r>
        <w:rPr>
          <w:rFonts w:ascii="Times New Roman" w:hAnsi="Times New Roman"/>
          <w:color w:val="000000"/>
          <w:sz w:val="18"/>
        </w:rPr>
        <w:t>and $250</w:t>
      </w:r>
      <w:r>
        <w:rPr>
          <w:rFonts w:ascii="Times New Roman" w:hAnsi="Times New Roman"/>
          <w:color w:val="000000"/>
          <w:sz w:val="20"/>
        </w:rPr>
        <w:t xml:space="preserve"> </w:t>
      </w:r>
      <w:r>
        <w:rPr>
          <w:rFonts w:ascii="Times New Roman" w:hAnsi="Times New Roman"/>
          <w:color w:val="000000"/>
          <w:sz w:val="18"/>
        </w:rPr>
        <w:t>thousand per year through May 2024, respectively. The net present value of these contributions has been recorded as a liability with interest rates ranging between 2.17%</w:t>
      </w:r>
      <w:r>
        <w:rPr>
          <w:rFonts w:ascii="Times New Roman" w:hAnsi="Times New Roman"/>
          <w:color w:val="000000"/>
          <w:sz w:val="20"/>
        </w:rPr>
        <w:t xml:space="preserve"> </w:t>
      </w:r>
      <w:r>
        <w:rPr>
          <w:rFonts w:ascii="Times New Roman" w:hAnsi="Times New Roman"/>
          <w:color w:val="000000"/>
          <w:sz w:val="18"/>
        </w:rPr>
        <w:t>- 7.00%.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2</w:t>
      </w:r>
      <w:r>
        <w:rPr>
          <w:rFonts w:ascii="Times New Roman" w:hAnsi="Times New Roman"/>
          <w:color w:val="000000"/>
          <w:sz w:val="20"/>
        </w:rPr>
        <w:t xml:space="preserve"> </w:t>
      </w:r>
      <w:r>
        <w:rPr>
          <w:rFonts w:ascii="Times New Roman" w:hAnsi="Times New Roman"/>
          <w:color w:val="000000"/>
          <w:sz w:val="18"/>
        </w:rPr>
        <w:t>The April 30, 2021 private placement debt, as amended on October 21, 2021 (the “April 30, 2021 Notes”), were issued in an aggregate amount of $249,934</w:t>
      </w:r>
      <w:r>
        <w:rPr>
          <w:rFonts w:ascii="Times New Roman" w:hAnsi="Times New Roman"/>
          <w:color w:val="000000"/>
          <w:sz w:val="20"/>
        </w:rPr>
        <w:t xml:space="preserve"> </w:t>
      </w:r>
      <w:r>
        <w:rPr>
          <w:rFonts w:ascii="Times New Roman" w:hAnsi="Times New Roman"/>
          <w:color w:val="000000"/>
          <w:sz w:val="18"/>
        </w:rPr>
        <w:t>thousand with an interest rate of 7%, maturing on April 30, 2025. The outstanding principal balance of the April 30, 2021 Notes was $224,435</w:t>
      </w:r>
      <w:r>
        <w:rPr>
          <w:rFonts w:ascii="Times New Roman" w:hAnsi="Times New Roman"/>
          <w:color w:val="000000"/>
          <w:sz w:val="20"/>
        </w:rPr>
        <w:t xml:space="preserve"> </w:t>
      </w:r>
      <w:r>
        <w:rPr>
          <w:rFonts w:ascii="Times New Roman" w:hAnsi="Times New Roman"/>
          <w:color w:val="000000"/>
          <w:sz w:val="18"/>
        </w:rPr>
        <w:t>thousand as of June 30, 2024 and December 31, 2023. The April 30, 2021 Notes were recorded net of debt discount which was fully amortized as of June 30, 2024, and had a carrying value of $2,755</w:t>
      </w:r>
      <w:r>
        <w:rPr>
          <w:rFonts w:ascii="Times New Roman" w:hAnsi="Times New Roman"/>
          <w:color w:val="000000"/>
          <w:sz w:val="20"/>
        </w:rPr>
        <w:t xml:space="preserve"> </w:t>
      </w:r>
      <w:r>
        <w:rPr>
          <w:rFonts w:ascii="Times New Roman" w:hAnsi="Times New Roman"/>
          <w:color w:val="000000"/>
          <w:sz w:val="18"/>
        </w:rPr>
        <w:t>thousand as of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3</w:t>
      </w:r>
      <w:r>
        <w:rPr>
          <w:rFonts w:ascii="Times New Roman" w:hAnsi="Times New Roman"/>
          <w:color w:val="000000"/>
          <w:sz w:val="20"/>
        </w:rPr>
        <w:t xml:space="preserve"> </w:t>
      </w:r>
      <w:r>
        <w:rPr>
          <w:rFonts w:ascii="Times New Roman" w:hAnsi="Times New Roman"/>
          <w:color w:val="000000"/>
          <w:sz w:val="18"/>
        </w:rPr>
        <w:t>The Company has issued various mortgage notes at an aggregate value of $88,785</w:t>
      </w:r>
      <w:r>
        <w:rPr>
          <w:rFonts w:ascii="Times New Roman" w:hAnsi="Times New Roman"/>
          <w:color w:val="000000"/>
          <w:sz w:val="20"/>
        </w:rPr>
        <w:t xml:space="preserve"> </w:t>
      </w:r>
      <w:r>
        <w:rPr>
          <w:rFonts w:ascii="Times New Roman" w:hAnsi="Times New Roman"/>
          <w:color w:val="000000"/>
          <w:sz w:val="18"/>
        </w:rPr>
        <w:t>thousand in connection with various operating properties as of June 30, 2024 and December 31, 2023. The mortgage notes were issued at a discount, the carrying value of which was $671</w:t>
      </w:r>
      <w:r>
        <w:rPr>
          <w:rFonts w:ascii="Times New Roman" w:hAnsi="Times New Roman"/>
          <w:color w:val="000000"/>
          <w:sz w:val="20"/>
        </w:rPr>
        <w:t xml:space="preserve"> </w:t>
      </w:r>
      <w:r>
        <w:rPr>
          <w:rFonts w:ascii="Times New Roman" w:hAnsi="Times New Roman"/>
          <w:color w:val="000000"/>
          <w:sz w:val="18"/>
        </w:rPr>
        <w:t>thousand and $725</w:t>
      </w:r>
      <w:r>
        <w:rPr>
          <w:rFonts w:ascii="Times New Roman" w:hAnsi="Times New Roman"/>
          <w:color w:val="000000"/>
          <w:sz w:val="20"/>
        </w:rPr>
        <w:t xml:space="preserve"> </w:t>
      </w:r>
      <w:r>
        <w:rPr>
          <w:rFonts w:ascii="Times New Roman" w:hAnsi="Times New Roman"/>
          <w:color w:val="000000"/>
          <w:sz w:val="18"/>
        </w:rPr>
        <w:t>thousand, and are presented net of principal payments of $2,854</w:t>
      </w:r>
      <w:r>
        <w:rPr>
          <w:rFonts w:ascii="Times New Roman" w:hAnsi="Times New Roman"/>
          <w:color w:val="000000"/>
          <w:sz w:val="20"/>
        </w:rPr>
        <w:t xml:space="preserve"> </w:t>
      </w:r>
      <w:r>
        <w:rPr>
          <w:rFonts w:ascii="Times New Roman" w:hAnsi="Times New Roman"/>
          <w:color w:val="000000"/>
          <w:sz w:val="18"/>
        </w:rPr>
        <w:t>thousand and $1,568</w:t>
      </w:r>
      <w:r>
        <w:rPr>
          <w:rFonts w:ascii="Times New Roman" w:hAnsi="Times New Roman"/>
          <w:color w:val="000000"/>
          <w:sz w:val="20"/>
        </w:rPr>
        <w:t xml:space="preserve"> </w:t>
      </w:r>
      <w:r>
        <w:rPr>
          <w:rFonts w:ascii="Times New Roman" w:hAnsi="Times New Roman"/>
          <w:color w:val="000000"/>
          <w:sz w:val="18"/>
        </w:rPr>
        <w:t>thousand as of June 30, 2024 and December 31, 2023, respectively. These mortgage notes mature between August 20, 2025</w:t>
      </w:r>
      <w:r>
        <w:rPr>
          <w:rFonts w:ascii="Times New Roman" w:hAnsi="Times New Roman"/>
          <w:color w:val="000000"/>
          <w:sz w:val="20"/>
        </w:rPr>
        <w:t xml:space="preserve"> </w:t>
      </w:r>
      <w:r>
        <w:rPr>
          <w:rFonts w:ascii="Times New Roman" w:hAnsi="Times New Roman"/>
          <w:color w:val="000000"/>
          <w:sz w:val="18"/>
        </w:rPr>
        <w:t>and June 5, 2035</w:t>
      </w:r>
      <w:r>
        <w:rPr>
          <w:rFonts w:ascii="Times New Roman" w:hAnsi="Times New Roman"/>
          <w:color w:val="000000"/>
          <w:sz w:val="20"/>
        </w:rPr>
        <w:t xml:space="preserve"> </w:t>
      </w:r>
      <w:r>
        <w:rPr>
          <w:rFonts w:ascii="Times New Roman" w:hAnsi="Times New Roman"/>
          <w:color w:val="000000"/>
          <w:sz w:val="18"/>
        </w:rPr>
        <w:t>with interest rates ranging between 5.00%</w:t>
      </w:r>
      <w:r>
        <w:rPr>
          <w:rFonts w:ascii="Times New Roman" w:hAnsi="Times New Roman"/>
          <w:color w:val="000000"/>
          <w:sz w:val="20"/>
        </w:rPr>
        <w:t xml:space="preserve"> </w:t>
      </w:r>
      <w:r>
        <w:rPr>
          <w:rFonts w:ascii="Times New Roman" w:hAnsi="Times New Roman"/>
          <w:color w:val="000000"/>
          <w:sz w:val="18"/>
        </w:rPr>
        <w:t>and 7.77%.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April 30, 2021 Private Placement 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 Company reclassified the April 30, 2021 Notes to current portion of notes payable on the unaudited interim condensed consolidated balance sheets due to its approaching maturity. The Company is actively evaluating potential partners to refinance the April 30, 2021 Notes. While the exact amount of capital required for the refinancing has not yet been determined, the Company possesses the ability to fully repay the April 30, 2021 Notes if necessary. The Company remains confident in its ability to secure acceptable financing terms or utilize its cash reserves to settle the obligation.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WARRANTS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the terms of the Company’s issuance of the April 30, 2021 Notes, as well as other financing arrangements, the Company issued warrants, which allow the holders to purchase Subordinate Voting Shares at an exercise price determined at the time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number of warrants outstanding as of June 30, 2024 and December 31,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7"/>
        <w:gridCol w:w="1058"/>
        <w:gridCol w:w="250"/>
        <w:gridCol w:w="1432"/>
        <w:gridCol w:w="146"/>
        <w:gridCol w:w="1771"/>
        <w:gridCol w:w="146"/>
        <w:gridCol w:w="1014"/>
        <w:gridCol w:w="196"/>
        <w:gridCol w:w="1473"/>
        <w:gridCol w:w="1422"/>
      </w:tblGrid>
      <w:tr>
        <w:trPr/>
        <w:tc>
          <w:tcPr>
            <w:tcW w:w="12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297" w:type="dxa"/>
            <w:tcBorders/>
            <w:shd w:fill="FFFFFF" w:val="clear"/>
            <w:vAlign w:val="center"/>
          </w:tcPr>
          <w:p>
            <w:pPr>
              <w:pStyle w:val="TableContents"/>
              <w:bidi w:val="0"/>
              <w:spacing w:before="0" w:after="283"/>
              <w:jc w:val="left"/>
              <w:rPr/>
            </w:pPr>
            <w:r>
              <w:rPr/>
              <w:t> </w:t>
            </w:r>
          </w:p>
        </w:tc>
        <w:tc>
          <w:tcPr>
            <w:tcW w:w="465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Classified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0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Classified</w:t>
            </w:r>
          </w:p>
        </w:tc>
      </w:tr>
      <w:tr>
        <w:trPr/>
        <w:tc>
          <w:tcPr>
            <w:tcW w:w="1297" w:type="dxa"/>
            <w:tcBorders/>
            <w:shd w:fill="FFFFFF" w:val="cle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(USD)</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br/>
              <w:t>Remaining Contractual Life</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10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1,997,208</w:t>
            </w:r>
          </w:p>
        </w:tc>
        <w:tc>
          <w:tcPr>
            <w:tcW w:w="2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w:t>
            </w:r>
          </w:p>
        </w:tc>
        <w:tc>
          <w:tcPr>
            <w:tcW w:w="14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46" w:type="dxa"/>
            <w:tcBorders/>
            <w:shd w:fill="CFF0FC" w:val="clear"/>
            <w:vAlign w:val="center"/>
          </w:tcPr>
          <w:p>
            <w:pPr>
              <w:pStyle w:val="TableContents"/>
              <w:bidi w:val="0"/>
              <w:spacing w:before="0" w:after="283"/>
              <w:jc w:val="right"/>
              <w:rPr/>
            </w:pPr>
            <w:r>
              <w:rPr/>
              <w:t> </w:t>
            </w:r>
          </w:p>
        </w:tc>
        <w:tc>
          <w:tcPr>
            <w:tcW w:w="17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1,737,347</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w:t>
            </w:r>
          </w:p>
        </w:tc>
        <w:tc>
          <w:tcPr>
            <w:tcW w:w="14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r>
      <w:tr>
        <w:trPr/>
        <w:tc>
          <w:tcPr>
            <w:tcW w:w="129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Expired</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(1,606,533)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29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390,675</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w:t>
            </w:r>
          </w:p>
        </w:tc>
        <w:tc>
          <w:tcPr>
            <w:tcW w:w="1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1,737,347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w:t>
            </w:r>
          </w:p>
        </w:tc>
        <w:tc>
          <w:tcPr>
            <w:tcW w:w="1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Liability Classified Warrants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fair value of the liability classified warrants at June 30, 2024 and December 31,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4"/>
        <w:gridCol w:w="919"/>
        <w:gridCol w:w="146"/>
        <w:gridCol w:w="1739"/>
        <w:gridCol w:w="196"/>
        <w:gridCol w:w="1045"/>
        <w:gridCol w:w="196"/>
        <w:gridCol w:w="1430"/>
        <w:gridCol w:w="196"/>
        <w:gridCol w:w="754"/>
      </w:tblGrid>
      <w:tr>
        <w:trPr/>
        <w:tc>
          <w:tcPr>
            <w:tcW w:w="358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r>
      <w:tr>
        <w:trPr/>
        <w:tc>
          <w:tcPr>
            <w:tcW w:w="3584"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Warrant Liability</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Strike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r>
      <w:tr>
        <w:trPr/>
        <w:tc>
          <w:tcPr>
            <w:tcW w:w="358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36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Placement Financing Warrants Issued May 2019</w:t>
            </w:r>
          </w:p>
        </w:tc>
        <w:tc>
          <w:tcPr>
            <w:tcW w:w="919" w:type="dxa"/>
            <w:tcBorders/>
            <w:shd w:fill="CFF0FC" w:val="clear"/>
            <w:vAlign w:val="center"/>
          </w:tcPr>
          <w:p>
            <w:pPr>
              <w:pStyle w:val="TableContents"/>
              <w:bidi w:val="0"/>
              <w:spacing w:before="0" w:after="283"/>
              <w:jc w:val="left"/>
              <w:rPr/>
            </w:pPr>
            <w:r>
              <w:rPr>
                <w:color w:val="000000"/>
              </w:rPr>
              <w:t> </w:t>
            </w:r>
            <w:r>
              <w:rPr>
                <w:rFonts w:ascii="Times New Roman" w:hAnsi="Times New Roman"/>
                <w:color w:val="000000"/>
                <w:sz w:val="18"/>
              </w:rPr>
              <w:t>C$19.39</w:t>
            </w:r>
          </w:p>
        </w:tc>
        <w:tc>
          <w:tcPr>
            <w:tcW w:w="146" w:type="dxa"/>
            <w:tcBorders/>
            <w:shd w:fill="CFF0FC" w:val="clear"/>
            <w:vAlign w:val="center"/>
          </w:tcPr>
          <w:p>
            <w:pPr>
              <w:pStyle w:val="TableContents"/>
              <w:bidi w:val="0"/>
              <w:spacing w:before="0" w:after="283"/>
              <w:jc w:val="left"/>
              <w:rPr/>
            </w:pPr>
            <w:r>
              <w:rPr/>
              <w:t> </w:t>
            </w:r>
          </w:p>
        </w:tc>
        <w:tc>
          <w:tcPr>
            <w:tcW w:w="173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5"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w:t>
            </w:r>
          </w:p>
        </w:tc>
      </w:tr>
      <w:tr>
        <w:trPr/>
        <w:tc>
          <w:tcPr>
            <w:tcW w:w="35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Modification Warrants Issued November 2019</w:t>
            </w:r>
          </w:p>
        </w:tc>
        <w:tc>
          <w:tcPr>
            <w:tcW w:w="919"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18"/>
              </w:rPr>
              <w:t>C$12.04</w:t>
            </w:r>
          </w:p>
        </w:tc>
        <w:tc>
          <w:tcPr>
            <w:tcW w:w="14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316,947</w:t>
            </w:r>
          </w:p>
        </w:tc>
        <w:tc>
          <w:tcPr>
            <w:tcW w:w="196" w:type="dxa"/>
            <w:tcBorders/>
            <w:shd w:fill="FFFFFF" w:val="clear"/>
            <w:vAlign w:val="center"/>
          </w:tcPr>
          <w:p>
            <w:pPr>
              <w:pStyle w:val="TableContents"/>
              <w:bidi w:val="0"/>
              <w:spacing w:before="0" w:after="283"/>
              <w:jc w:val="center"/>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w:t>
            </w:r>
          </w:p>
        </w:tc>
        <w:tc>
          <w:tcPr>
            <w:tcW w:w="196"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196" w:type="dxa"/>
            <w:tcBorders/>
            <w:shd w:fill="FFFFFF" w:val="clear"/>
            <w:vAlign w:val="center"/>
          </w:tcPr>
          <w:p>
            <w:pPr>
              <w:pStyle w:val="TableContents"/>
              <w:bidi w:val="0"/>
              <w:spacing w:before="0" w:after="283"/>
              <w:jc w:val="center"/>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r>
      <w:tr>
        <w:trPr/>
        <w:tc>
          <w:tcPr>
            <w:tcW w:w="358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Modification Warrants Issued May 2020</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C$14.03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73,728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r>
      <w:tr>
        <w:trPr/>
        <w:tc>
          <w:tcPr>
            <w:tcW w:w="358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Totals</w:t>
            </w:r>
          </w:p>
        </w:tc>
        <w:tc>
          <w:tcPr>
            <w:tcW w:w="9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390,675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3,117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2024 and 2023, the Company recorded gains of $3,641 thousand and $1,534 thousand, and $621 thousand and $2,263 thousand, respectively, on the change in the fair value of the warrant liability within other income (expense) on the unaudited interim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significant assumptions used in determining the fair value of the warrant liability as of each reporting date (see Note 13 - Fair Value Measurements for additional details): </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936"/>
        <w:gridCol w:w="1276"/>
        <w:gridCol w:w="146"/>
        <w:gridCol w:w="1411"/>
      </w:tblGrid>
      <w:tr>
        <w:trPr/>
        <w:tc>
          <w:tcPr>
            <w:tcW w:w="19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r>
      <w:tr>
        <w:trPr/>
        <w:tc>
          <w:tcPr>
            <w:tcW w:w="1936"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Significant Assumptions</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w:t>
            </w:r>
          </w:p>
        </w:tc>
        <w:tc>
          <w:tcPr>
            <w:tcW w:w="12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74.81%-79.97%</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61.76% - 74.31%</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Remaining Term</w:t>
            </w:r>
          </w:p>
        </w:tc>
        <w:tc>
          <w:tcPr>
            <w:tcW w:w="12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0.36-0.89</w:t>
            </w:r>
            <w:r>
              <w:rPr>
                <w:rFonts w:ascii="Times New Roman" w:hAnsi="Times New Roman"/>
                <w:color w:val="000000"/>
                <w:sz w:val="20"/>
              </w:rPr>
              <w:t> </w:t>
            </w:r>
            <w:r>
              <w:rPr>
                <w:rFonts w:ascii="Times New Roman" w:hAnsi="Times New Roman"/>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141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0.39-1.39</w:t>
            </w:r>
            <w:r>
              <w:rPr>
                <w:rFonts w:ascii="Times New Roman" w:hAnsi="Times New Roman"/>
                <w:color w:val="000000"/>
                <w:sz w:val="20"/>
              </w:rPr>
              <w:t> </w:t>
            </w:r>
            <w:r>
              <w:rPr>
                <w:rFonts w:ascii="Times New Roman" w:hAnsi="Times New Roman"/>
                <w:color w:val="000000"/>
                <w:sz w:val="18"/>
              </w:rPr>
              <w:t>years</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 Free Rate</w:t>
            </w:r>
          </w:p>
        </w:tc>
        <w:tc>
          <w:tcPr>
            <w:tcW w:w="127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4.02%</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3.91%</w:t>
            </w:r>
          </w:p>
        </w:tc>
      </w:tr>
    </w:tbl>
    <w:p>
      <w:pPr>
        <w:pStyle w:val="TextBody"/>
        <w:bidi w:val="0"/>
        <w:spacing w:before="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8. WARRANTS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Equity Classified Warrants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equity classified warrants were recorded at fair value at each respective date of issuance. Equity classified warrants are not remeasured at fair value on a recurring basis and are carried at their issuance date fair value. The following table summarizes the carrying amounts of the Company's equity classified warrants at June 30, 2024 and December 31, 2023: </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4351"/>
        <w:gridCol w:w="991"/>
        <w:gridCol w:w="146"/>
        <w:gridCol w:w="1081"/>
        <w:gridCol w:w="196"/>
        <w:gridCol w:w="751"/>
        <w:gridCol w:w="196"/>
        <w:gridCol w:w="1186"/>
      </w:tblGrid>
      <w:tr>
        <w:trPr/>
        <w:tc>
          <w:tcPr>
            <w:tcW w:w="43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1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Issuance Date Fair Value</w:t>
            </w:r>
          </w:p>
        </w:tc>
      </w:tr>
      <w:tr>
        <w:trPr/>
        <w:tc>
          <w:tcPr>
            <w:tcW w:w="435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w:t>
            </w:r>
          </w:p>
        </w:tc>
        <w:tc>
          <w:tcPr>
            <w:tcW w:w="19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96" w:type="dxa"/>
            <w:tcBorders/>
            <w:shd w:fill="FFFFFF" w:val="clear"/>
            <w:vAlign w:val="center"/>
          </w:tcPr>
          <w:p>
            <w:pPr>
              <w:pStyle w:val="TableContents"/>
              <w:bidi w:val="0"/>
              <w:spacing w:before="0" w:after="283"/>
              <w:jc w:val="center"/>
              <w:rPr/>
            </w:pPr>
            <w:r>
              <w:rPr/>
              <w:t> </w:t>
            </w:r>
          </w:p>
        </w:tc>
        <w:tc>
          <w:tcPr>
            <w:tcW w:w="118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r>
      <w:tr>
        <w:trPr/>
        <w:tc>
          <w:tcPr>
            <w:tcW w:w="4351"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Warrants Included in Contributed Surplus</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Strike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435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1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Warrants Issued June 2020</w:t>
            </w:r>
          </w:p>
        </w:tc>
        <w:tc>
          <w:tcPr>
            <w:tcW w:w="99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$9.10</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Placement Refinance Warrants Issued April 2021</w:t>
            </w:r>
          </w:p>
        </w:tc>
        <w:tc>
          <w:tcPr>
            <w:tcW w:w="9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$32.68</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1,459,044</w:t>
            </w:r>
          </w:p>
        </w:tc>
        <w:tc>
          <w:tcPr>
            <w:tcW w:w="196" w:type="dxa"/>
            <w:tcBorders/>
            <w:shd w:fill="FFFFFF" w:val="clear"/>
            <w:vAlign w:val="center"/>
          </w:tcPr>
          <w:p>
            <w:pPr>
              <w:pStyle w:val="TableContents"/>
              <w:bidi w:val="0"/>
              <w:spacing w:before="0" w:after="283"/>
              <w:jc w:val="center"/>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22,259</w:t>
            </w:r>
          </w:p>
        </w:tc>
        <w:tc>
          <w:tcPr>
            <w:tcW w:w="196" w:type="dxa"/>
            <w:tcBorders/>
            <w:shd w:fill="FFFFFF" w:val="clear"/>
            <w:vAlign w:val="center"/>
          </w:tcPr>
          <w:p>
            <w:pPr>
              <w:pStyle w:val="TableContents"/>
              <w:bidi w:val="0"/>
              <w:spacing w:before="0" w:after="283"/>
              <w:jc w:val="center"/>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22,259</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Placement Refinance Warrants Issued October 2021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243,303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r>
      <w:tr>
        <w:trPr/>
        <w:tc>
          <w:tcPr>
            <w:tcW w:w="43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Totals</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1,737,347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25,056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equity warrants were valued as of the date of issuance using a Black Scholes Option Pricing model. The following table summarizes the significant assumptions used in determining the fair value of the warrants as of each respective issuance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9"/>
        <w:gridCol w:w="3173"/>
        <w:gridCol w:w="146"/>
        <w:gridCol w:w="3173"/>
        <w:gridCol w:w="146"/>
        <w:gridCol w:w="1658"/>
      </w:tblGrid>
      <w:tr>
        <w:trPr/>
        <w:tc>
          <w:tcPr>
            <w:tcW w:w="1909"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909"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Significant Assumptions</w:t>
            </w:r>
          </w:p>
        </w:tc>
        <w:tc>
          <w:tcPr>
            <w:tcW w:w="3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Private Placement Refinancing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Private Placement Refinancing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 Warrants</w:t>
            </w:r>
          </w:p>
        </w:tc>
      </w:tr>
      <w:tr>
        <w:trPr/>
        <w:tc>
          <w:tcPr>
            <w:tcW w:w="190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of Issuance</w:t>
            </w:r>
          </w:p>
        </w:tc>
        <w:tc>
          <w:tcPr>
            <w:tcW w:w="317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October 15, 2021</w:t>
            </w:r>
          </w:p>
        </w:tc>
        <w:tc>
          <w:tcPr>
            <w:tcW w:w="146" w:type="dxa"/>
            <w:tcBorders/>
            <w:shd w:fill="FFFFFF" w:val="clear"/>
            <w:vAlign w:val="center"/>
          </w:tcPr>
          <w:p>
            <w:pPr>
              <w:pStyle w:val="TableContents"/>
              <w:bidi w:val="0"/>
              <w:spacing w:before="0" w:after="283"/>
              <w:jc w:val="left"/>
              <w:rPr/>
            </w:pPr>
            <w:r>
              <w:rPr/>
              <w:t> </w:t>
            </w:r>
          </w:p>
        </w:tc>
        <w:tc>
          <w:tcPr>
            <w:tcW w:w="317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30, 2021</w:t>
            </w:r>
          </w:p>
        </w:tc>
        <w:tc>
          <w:tcPr>
            <w:tcW w:w="146" w:type="dxa"/>
            <w:tcBorders/>
            <w:shd w:fill="FFFFFF" w:val="clear"/>
            <w:vAlign w:val="center"/>
          </w:tcPr>
          <w:p>
            <w:pPr>
              <w:pStyle w:val="TableContents"/>
              <w:bidi w:val="0"/>
              <w:spacing w:before="0" w:after="283"/>
              <w:jc w:val="center"/>
              <w:rPr/>
            </w:pPr>
            <w:r>
              <w:rPr/>
              <w:t> </w:t>
            </w:r>
          </w:p>
        </w:tc>
        <w:tc>
          <w:tcPr>
            <w:tcW w:w="1658"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5, 2020</w:t>
            </w:r>
          </w:p>
        </w:tc>
      </w:tr>
      <w:tr>
        <w:trPr/>
        <w:tc>
          <w:tcPr>
            <w:tcW w:w="19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w:t>
            </w:r>
          </w:p>
        </w:tc>
        <w:tc>
          <w:tcPr>
            <w:tcW w:w="317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w:t>
            </w:r>
          </w:p>
        </w:tc>
        <w:tc>
          <w:tcPr>
            <w:tcW w:w="146" w:type="dxa"/>
            <w:tcBorders/>
            <w:shd w:fill="CFF0FC" w:val="clear"/>
            <w:vAlign w:val="center"/>
          </w:tcPr>
          <w:p>
            <w:pPr>
              <w:pStyle w:val="TableContents"/>
              <w:bidi w:val="0"/>
              <w:spacing w:before="0" w:after="283"/>
              <w:jc w:val="center"/>
              <w:rPr/>
            </w:pPr>
            <w:r>
              <w:rPr/>
              <w:t> </w:t>
            </w:r>
          </w:p>
        </w:tc>
        <w:tc>
          <w:tcPr>
            <w:tcW w:w="317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73%</w:t>
            </w:r>
          </w:p>
        </w:tc>
        <w:tc>
          <w:tcPr>
            <w:tcW w:w="146" w:type="dxa"/>
            <w:tcBorders/>
            <w:shd w:fill="CFF0FC" w:val="clear"/>
            <w:vAlign w:val="center"/>
          </w:tcPr>
          <w:p>
            <w:pPr>
              <w:pStyle w:val="TableContents"/>
              <w:bidi w:val="0"/>
              <w:spacing w:before="0" w:after="283"/>
              <w:jc w:val="center"/>
              <w:rPr/>
            </w:pPr>
            <w:r>
              <w:rPr/>
              <w:t> </w:t>
            </w:r>
          </w:p>
        </w:tc>
        <w:tc>
          <w:tcPr>
            <w:tcW w:w="1658"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w:t>
            </w:r>
          </w:p>
        </w:tc>
      </w:tr>
      <w:tr>
        <w:trPr/>
        <w:tc>
          <w:tcPr>
            <w:tcW w:w="190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Term</w:t>
            </w:r>
          </w:p>
        </w:tc>
        <w:tc>
          <w:tcPr>
            <w:tcW w:w="317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w:t>
            </w:r>
            <w:r>
              <w:rPr>
                <w:rFonts w:ascii="Times New Roman" w:hAnsi="Times New Roman"/>
                <w:color w:val="000000"/>
                <w:sz w:val="20"/>
              </w:rPr>
              <w:t> </w:t>
            </w:r>
            <w:r>
              <w:rPr>
                <w:rFonts w:ascii="Times New Roman" w:hAnsi="Times New Roman"/>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317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w:t>
            </w:r>
            <w:r>
              <w:rPr>
                <w:rFonts w:ascii="Times New Roman" w:hAnsi="Times New Roman"/>
                <w:color w:val="000000"/>
                <w:sz w:val="20"/>
              </w:rPr>
              <w:t> </w:t>
            </w:r>
            <w:r>
              <w:rPr>
                <w:rFonts w:ascii="Times New Roman" w:hAnsi="Times New Roman"/>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165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w:t>
            </w:r>
            <w:r>
              <w:rPr>
                <w:rFonts w:ascii="Times New Roman" w:hAnsi="Times New Roman"/>
                <w:color w:val="000000"/>
                <w:sz w:val="20"/>
              </w:rPr>
              <w:t> </w:t>
            </w:r>
            <w:r>
              <w:rPr>
                <w:rFonts w:ascii="Times New Roman" w:hAnsi="Times New Roman"/>
                <w:color w:val="000000"/>
                <w:sz w:val="18"/>
              </w:rPr>
              <w:t>years</w:t>
            </w:r>
          </w:p>
        </w:tc>
      </w:tr>
      <w:tr>
        <w:trPr/>
        <w:tc>
          <w:tcPr>
            <w:tcW w:w="19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 Free Rate</w:t>
            </w:r>
          </w:p>
        </w:tc>
        <w:tc>
          <w:tcPr>
            <w:tcW w:w="317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1.12%</w:t>
            </w:r>
          </w:p>
        </w:tc>
        <w:tc>
          <w:tcPr>
            <w:tcW w:w="146" w:type="dxa"/>
            <w:tcBorders/>
            <w:shd w:fill="CFF0FC" w:val="clear"/>
            <w:vAlign w:val="center"/>
          </w:tcPr>
          <w:p>
            <w:pPr>
              <w:pStyle w:val="TableContents"/>
              <w:bidi w:val="0"/>
              <w:spacing w:before="0" w:after="283"/>
              <w:jc w:val="center"/>
              <w:rPr/>
            </w:pPr>
            <w:r>
              <w:rPr/>
              <w:t> </w:t>
            </w:r>
          </w:p>
        </w:tc>
        <w:tc>
          <w:tcPr>
            <w:tcW w:w="317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0.74%</w:t>
            </w:r>
          </w:p>
        </w:tc>
        <w:tc>
          <w:tcPr>
            <w:tcW w:w="146" w:type="dxa"/>
            <w:tcBorders/>
            <w:shd w:fill="CFF0FC" w:val="clear"/>
            <w:vAlign w:val="center"/>
          </w:tcPr>
          <w:p>
            <w:pPr>
              <w:pStyle w:val="TableContents"/>
              <w:bidi w:val="0"/>
              <w:spacing w:before="0" w:after="283"/>
              <w:jc w:val="center"/>
              <w:rPr/>
            </w:pPr>
            <w:r>
              <w:rPr/>
              <w:t> </w:t>
            </w:r>
          </w:p>
        </w:tc>
        <w:tc>
          <w:tcPr>
            <w:tcW w:w="1658"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SHARE CAPITAL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(“ASC”) 740,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following classes of share capital, with each class having no par value: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Multiple Voting Share is entitled to 100 votes per share at shareholder meetings of the Company and is exchangeable for 100 Subordinate Voting Shares. The Company is authorized to issue an unlimited number of Multiple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amounts of the issued and outstanding shares by class is as follows: </w:t>
      </w:r>
    </w:p>
    <w:p>
      <w:pPr>
        <w:pStyle w:val="TextBody"/>
        <w:bidi w:val="0"/>
        <w:spacing w:before="120" w:after="283"/>
        <w:jc w:val="left"/>
        <w:rPr/>
      </w:pPr>
      <w:r>
        <w:rPr/>
        <w:t> </w:t>
      </w:r>
    </w:p>
    <w:tbl>
      <w:tblPr>
        <w:tblW w:w="6727" w:type="dxa"/>
        <w:jc w:val="left"/>
        <w:tblInd w:w="0" w:type="dxa"/>
        <w:tblLayout w:type="fixed"/>
        <w:tblCellMar>
          <w:top w:w="28" w:type="dxa"/>
          <w:left w:w="28" w:type="dxa"/>
          <w:bottom w:w="28" w:type="dxa"/>
          <w:right w:w="28" w:type="dxa"/>
        </w:tblCellMar>
      </w:tblPr>
      <w:tblGrid>
        <w:gridCol w:w="3601"/>
        <w:gridCol w:w="146"/>
        <w:gridCol w:w="1141"/>
        <w:gridCol w:w="146"/>
        <w:gridCol w:w="706"/>
        <w:gridCol w:w="146"/>
        <w:gridCol w:w="84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36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2024</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209,871,792</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38,531</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216,690</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of contingent consideration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options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843,387</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shares upon vesting of RSUs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804,440</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r>
      <w:tr>
        <w:trPr/>
        <w:tc>
          <w:tcPr>
            <w:tcW w:w="3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Subordinate Voting Shares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(2,725,000)</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r>
      <w:tr>
        <w:trPr/>
        <w:tc>
          <w:tcPr>
            <w:tcW w:w="3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of shares</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r>
      <w:tr>
        <w:trPr/>
        <w:tc>
          <w:tcPr>
            <w:tcW w:w="36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2024</w:t>
            </w:r>
          </w:p>
        </w:tc>
        <w:tc>
          <w:tcPr>
            <w:tcW w:w="146" w:type="dxa"/>
            <w:tcBorders/>
            <w:shd w:fill="CFF0FC" w:val="cle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211,129,419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206,690</w:t>
            </w:r>
          </w:p>
        </w:tc>
      </w:tr>
    </w:tbl>
    <w:p>
      <w:pPr>
        <w:pStyle w:val="TextBody"/>
        <w:bidi w:val="0"/>
        <w:spacing w:before="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Distribution of Contingent Consideration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Dharma Pharmaceuticals, LLC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Company's 2021 acquisition of Dharma Pharmaceuticals, LLC (“Dharma”), the purchase agreement included contingent consideration of up to $65,000 thousand in Subordinate Voting Shares of Green Thumb, dependent upon 1) the successful opening of five retail stores in the Virginia area within the first three years following the signing of the agreement (“Retail Stores Milestone”) and 2) the legal sale of adult-use cannabis in a retail store on or before January 1, 2025 (the “Recreational Sales Milestone”). The Retail Stores Milestone was fully achieved prior to expiration and settled in previous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9, 2024, the Company and the former owners of Dharma agreed to amend the conditions of the Recreational Sales Milestone (the “Amended Agreement”). Under the Amended Agreement, the former owners waived their right to the Recreational Sales Milestone in exchange for the delivery of 1,250,000 Subordinate Voting Shares. On February 15, 2024, the Company recorded a gain of $15,991 thousand, representing the settlement of the Recreational Sales Milestone and distributed the shares to the former owners of Dharma, which had a fair market value of $17,259 thousand, which was based on the value of the shares as traded on the Canadian Securities Exchange on the date of distribution. The gain was recorded within sales general and administrative expenses on the unaudited interim condensed consolidated statement of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(ii) Repurchase of 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5, 2023, the Company's Board of Directors authorized the repurchase of up to 5%, or 10,486,951 of its Subordinate Voting Shares over a 12-month period at an aggregate cost of up to $50,000 thousand. On February 28, 2024, the Company's Board of Directors authorized an increase in its share repurchase program of $50,000 thousand. During the six months ended June 30, 2024, the Company repurchased 2,725,000 Subordinate Voting Shares at an average price of $12.27 per share, bringing the total remaining repurchase ability to approximately $26,700 thousand through September 10, 2024.</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the Company established the Green Thumb Industries Inc. 2018 Stock and Incentive Plan, which was amended by Amendment No. 1 and Amendment No. 2 thereto (as amended, the “Plan”). The maximum number of Restricted Stock Units (“RSUs”) and options outstanding under the Plan at any time shall not exceed 10% of the then issued and outstanding shares on an as-converted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 and RSU awards generally vest over three years, and options typically have a life of five to ten years. Option grants under the Plan are determined by the Compensation Committee of the Company’s Board of Directors with the option price set at no less than 100% of the fair market value of a share on the date of grant.</w:t>
      </w:r>
    </w:p>
    <w:p>
      <w:pPr>
        <w:pStyle w:val="TextBody"/>
        <w:bidi w:val="0"/>
        <w:spacing w:before="12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 Stock-Based Compensation</w:t>
      </w:r>
      <w:r>
        <w:rPr>
          <w:rFonts w:ascii="Times New Roman" w:hAnsi="Times New Roman"/>
          <w:color w:val="000000"/>
          <w:sz w:val="20"/>
        </w:rPr>
        <w:t xml:space="preserve"> </w:t>
      </w:r>
      <w:r>
        <w:rPr>
          <w:rFonts w:ascii="Times New Roman" w:hAnsi="Times New Roman"/>
          <w:i/>
          <w:color w:val="000000"/>
          <w:sz w:val="20"/>
        </w:rPr>
        <w:t>(Continued)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is summarized as follows: </w:t>
      </w:r>
    </w:p>
    <w:tbl>
      <w:tblPr>
        <w:tblW w:w="10205" w:type="dxa"/>
        <w:jc w:val="left"/>
        <w:tblInd w:w="0" w:type="dxa"/>
        <w:tblLayout w:type="fixed"/>
        <w:tblCellMar>
          <w:top w:w="28" w:type="dxa"/>
          <w:left w:w="28" w:type="dxa"/>
          <w:bottom w:w="28" w:type="dxa"/>
          <w:right w:w="28" w:type="dxa"/>
        </w:tblCellMar>
      </w:tblPr>
      <w:tblGrid>
        <w:gridCol w:w="2784"/>
        <w:gridCol w:w="1403"/>
        <w:gridCol w:w="2484"/>
        <w:gridCol w:w="3534"/>
      </w:tblGrid>
      <w:tr>
        <w:trPr/>
        <w:tc>
          <w:tcPr>
            <w:tcW w:w="27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27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10,071,467</w:t>
            </w:r>
          </w:p>
        </w:tc>
        <w:tc>
          <w:tcPr>
            <w:tcW w:w="24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35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r>
      <w:tr>
        <w:trPr/>
        <w:tc>
          <w:tcPr>
            <w:tcW w:w="27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797,289</w:t>
            </w:r>
          </w:p>
        </w:tc>
        <w:tc>
          <w:tcPr>
            <w:tcW w:w="24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534" w:type="dxa"/>
            <w:tcBorders/>
            <w:shd w:fill="FFFFFF" w:val="clear"/>
            <w:vAlign w:val="center"/>
          </w:tcPr>
          <w:p>
            <w:pPr>
              <w:pStyle w:val="TableContents"/>
              <w:bidi w:val="0"/>
              <w:spacing w:before="0" w:after="283"/>
              <w:jc w:val="right"/>
              <w:rPr/>
            </w:pPr>
            <w:r>
              <w:rPr/>
              <w:t> </w:t>
            </w:r>
          </w:p>
        </w:tc>
      </w:tr>
      <w:tr>
        <w:trPr/>
        <w:tc>
          <w:tcPr>
            <w:tcW w:w="27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(843,387)</w:t>
            </w:r>
          </w:p>
        </w:tc>
        <w:tc>
          <w:tcPr>
            <w:tcW w:w="24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3534" w:type="dxa"/>
            <w:tcBorders/>
            <w:shd w:fill="CFF0FC" w:val="clear"/>
            <w:vAlign w:val="center"/>
          </w:tcPr>
          <w:p>
            <w:pPr>
              <w:pStyle w:val="TableContents"/>
              <w:bidi w:val="0"/>
              <w:spacing w:before="0" w:after="283"/>
              <w:jc w:val="right"/>
              <w:rPr/>
            </w:pPr>
            <w:r>
              <w:rPr/>
              <w:t> </w:t>
            </w:r>
          </w:p>
        </w:tc>
      </w:tr>
      <w:tr>
        <w:trPr/>
        <w:tc>
          <w:tcPr>
            <w:tcW w:w="27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(828,488)</w:t>
            </w:r>
          </w:p>
        </w:tc>
        <w:tc>
          <w:tcPr>
            <w:tcW w:w="2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9,196,881</w:t>
            </w:r>
          </w:p>
        </w:tc>
        <w:tc>
          <w:tcPr>
            <w:tcW w:w="24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5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r>
      <w:tr>
        <w:trPr/>
        <w:tc>
          <w:tcPr>
            <w:tcW w:w="27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2024</w:t>
            </w:r>
          </w:p>
        </w:tc>
        <w:tc>
          <w:tcPr>
            <w:tcW w:w="14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4,214,462</w:t>
            </w:r>
          </w:p>
        </w:tc>
        <w:tc>
          <w:tcPr>
            <w:tcW w:w="24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5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used the Black-Scholes option pricing model to estimate the fair value of the options granted during the six months ended June 30, 2024 and the year ended December 31, 2023, using the following ranges of assumptions: </w:t>
      </w:r>
    </w:p>
    <w:tbl>
      <w:tblPr>
        <w:tblW w:w="4818" w:type="dxa"/>
        <w:jc w:val="left"/>
        <w:tblInd w:w="0" w:type="dxa"/>
        <w:tblLayout w:type="fixed"/>
        <w:tblCellMar>
          <w:top w:w="28" w:type="dxa"/>
          <w:left w:w="28" w:type="dxa"/>
          <w:bottom w:w="28" w:type="dxa"/>
          <w:right w:w="28" w:type="dxa"/>
        </w:tblCellMar>
      </w:tblPr>
      <w:tblGrid>
        <w:gridCol w:w="2131"/>
        <w:gridCol w:w="133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35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131" w:type="dxa"/>
            <w:tcBorders/>
            <w:shd w:fill="FFFFFF" w:val="cle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 - 3.92%</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 - 4.32%</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3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w:t>
            </w:r>
          </w:p>
        </w:tc>
        <w:tc>
          <w:tcPr>
            <w:tcW w:w="13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4.46 - 4.5 years</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718, the Company has made an accounting policy choice to account for forfeitures when they occur.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number of unvested RSU awards as of June 30, 2024 and December 31, 2023 and the changes during the six months ended June 30, 2024: </w:t>
      </w:r>
    </w:p>
    <w:tbl>
      <w:tblPr>
        <w:tblW w:w="8250" w:type="dxa"/>
        <w:jc w:val="left"/>
        <w:tblInd w:w="0" w:type="dxa"/>
        <w:tblLayout w:type="fixed"/>
        <w:tblCellMar>
          <w:top w:w="28" w:type="dxa"/>
          <w:left w:w="28" w:type="dxa"/>
          <w:bottom w:w="28" w:type="dxa"/>
          <w:right w:w="28" w:type="dxa"/>
        </w:tblCellMar>
      </w:tblPr>
      <w:tblGrid>
        <w:gridCol w:w="3271"/>
        <w:gridCol w:w="146"/>
        <w:gridCol w:w="1411"/>
        <w:gridCol w:w="211"/>
        <w:gridCol w:w="3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2023</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3,620,638</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2,458,964</w:t>
            </w:r>
          </w:p>
        </w:tc>
        <w:tc>
          <w:tcPr>
            <w:tcW w:w="211" w:type="dxa"/>
            <w:tcBorders/>
            <w:shd w:fill="FFFFFF" w:val="clear"/>
            <w:vAlign w:val="center"/>
          </w:tcPr>
          <w:p>
            <w:pPr>
              <w:pStyle w:val="TableContents"/>
              <w:bidi w:val="0"/>
              <w:spacing w:before="0" w:after="283"/>
              <w:jc w:val="center"/>
              <w:rPr/>
            </w:pPr>
            <w:r>
              <w:rPr/>
              <w:t> </w:t>
            </w:r>
          </w:p>
        </w:tc>
        <w:tc>
          <w:tcPr>
            <w:tcW w:w="3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(609,639)</w:t>
            </w:r>
          </w:p>
        </w:tc>
        <w:tc>
          <w:tcPr>
            <w:tcW w:w="211" w:type="dxa"/>
            <w:tcBorders/>
            <w:shd w:fill="CFF0FC" w:val="clear"/>
            <w:vAlign w:val="center"/>
          </w:tcPr>
          <w:p>
            <w:pPr>
              <w:pStyle w:val="TableContents"/>
              <w:bidi w:val="0"/>
              <w:spacing w:before="0" w:after="283"/>
              <w:jc w:val="center"/>
              <w:rPr/>
            </w:pPr>
            <w:r>
              <w:rPr/>
              <w:t> </w:t>
            </w:r>
          </w:p>
        </w:tc>
        <w:tc>
          <w:tcPr>
            <w:tcW w:w="3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2024</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4,665,523</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stock-based compensation expense for the three and six months ended June 30, 2024 and 2023 was as follows: </w:t>
      </w:r>
    </w:p>
    <w:tbl>
      <w:tblPr>
        <w:tblW w:w="8372" w:type="dxa"/>
        <w:jc w:val="left"/>
        <w:tblInd w:w="0" w:type="dxa"/>
        <w:tblLayout w:type="fixed"/>
        <w:tblCellMar>
          <w:top w:w="28" w:type="dxa"/>
          <w:left w:w="28" w:type="dxa"/>
          <w:bottom w:w="28" w:type="dxa"/>
          <w:right w:w="28" w:type="dxa"/>
        </w:tblCellMar>
      </w:tblPr>
      <w:tblGrid>
        <w:gridCol w:w="3571"/>
        <w:gridCol w:w="211"/>
        <w:gridCol w:w="956"/>
        <w:gridCol w:w="353"/>
        <w:gridCol w:w="956"/>
        <w:gridCol w:w="211"/>
        <w:gridCol w:w="889"/>
        <w:gridCol w:w="277"/>
        <w:gridCol w:w="948"/>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expense</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35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27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Based Compensation Expense</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$63,591 thousand of total unrecognized expense related to stock-based compensation awards is expected to be recognized over a weighted-average period of 2.21 years.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10.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income tax expense and effective tax rates for the three and six months ended June 30, 2024 and 2023: </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2446"/>
        <w:gridCol w:w="211"/>
        <w:gridCol w:w="980"/>
        <w:gridCol w:w="305"/>
        <w:gridCol w:w="980"/>
        <w:gridCol w:w="211"/>
        <w:gridCol w:w="964"/>
        <w:gridCol w:w="260"/>
        <w:gridCol w:w="890"/>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52,817</w:t>
            </w:r>
          </w:p>
        </w:tc>
        <w:tc>
          <w:tcPr>
            <w:tcW w:w="3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39,455</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c>
          <w:tcPr>
            <w:tcW w:w="26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82,496</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31,899</w:t>
            </w:r>
          </w:p>
        </w:tc>
        <w:tc>
          <w:tcPr>
            <w:tcW w:w="3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25,765</w:t>
            </w:r>
          </w:p>
        </w:tc>
        <w:tc>
          <w:tcPr>
            <w:tcW w:w="211"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64,048</w:t>
            </w:r>
          </w:p>
        </w:tc>
        <w:tc>
          <w:tcPr>
            <w:tcW w:w="260" w:type="dxa"/>
            <w:tcBorders/>
            <w:shd w:fill="FFFFFF" w:val="clear"/>
            <w:vAlign w:val="center"/>
          </w:tcPr>
          <w:p>
            <w:pPr>
              <w:pStyle w:val="TableContents"/>
              <w:bidi w:val="0"/>
              <w:spacing w:before="0" w:after="283"/>
              <w:jc w:val="center"/>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59,401</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0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1" w:type="dxa"/>
            <w:tcBorders/>
            <w:shd w:fill="CFF0FC" w:val="clear"/>
            <w:vAlign w:val="center"/>
          </w:tcPr>
          <w:p>
            <w:pPr>
              <w:pStyle w:val="TableContents"/>
              <w:bidi w:val="0"/>
              <w:spacing w:before="0" w:after="283"/>
              <w:jc w:val="center"/>
              <w:rPr/>
            </w:pPr>
            <w:r>
              <w:rPr/>
              <w:t> </w:t>
            </w:r>
          </w:p>
        </w:tc>
        <w:tc>
          <w:tcPr>
            <w:tcW w:w="9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60" w:type="dxa"/>
            <w:tcBorders/>
            <w:shd w:fill="CFF0FC" w:val="clear"/>
            <w:vAlign w:val="center"/>
          </w:tcPr>
          <w:p>
            <w:pPr>
              <w:pStyle w:val="TableContents"/>
              <w:bidi w:val="0"/>
              <w:spacing w:before="0" w:after="283"/>
              <w:jc w:val="center"/>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rates for the three months ended June 30, 2024 and 2023 were based on the Company’s forecasted annualized effective tax rates and were adjusted for discrete items that occurred within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Taxes paid during the six months ended June 30, 2024 and 2023 were $52,904 thousand and $52,134 thousand,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11.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and 2023 other income (expense) was comprised of the following: </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3301"/>
        <w:gridCol w:w="196"/>
        <w:gridCol w:w="962"/>
        <w:gridCol w:w="369"/>
        <w:gridCol w:w="934"/>
        <w:gridCol w:w="146"/>
        <w:gridCol w:w="196"/>
        <w:gridCol w:w="888"/>
        <w:gridCol w:w="275"/>
        <w:gridCol w:w="951"/>
      </w:tblGrid>
      <w:tr>
        <w:trPr/>
        <w:tc>
          <w:tcPr>
            <w:tcW w:w="3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30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30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equity investments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369"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7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warrants issued</w:t>
            </w:r>
          </w:p>
        </w:tc>
        <w:tc>
          <w:tcPr>
            <w:tcW w:w="196" w:type="dxa"/>
            <w:tcBorders/>
            <w:shd w:fill="FFFFFF" w:val="clear"/>
            <w:vAlign w:val="center"/>
          </w:tcPr>
          <w:p>
            <w:pPr>
              <w:pStyle w:val="TableContents"/>
              <w:bidi w:val="0"/>
              <w:spacing w:before="0" w:after="283"/>
              <w:jc w:val="center"/>
              <w:rPr/>
            </w:pPr>
            <w:r>
              <w:rPr/>
              <w:t> </w:t>
            </w:r>
          </w:p>
        </w:tc>
        <w:tc>
          <w:tcPr>
            <w:tcW w:w="9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w:t>
            </w:r>
          </w:p>
        </w:tc>
        <w:tc>
          <w:tcPr>
            <w:tcW w:w="369" w:type="dxa"/>
            <w:tcBorders/>
            <w:shd w:fill="FFFFFF" w:val="clear"/>
            <w:vAlign w:val="center"/>
          </w:tcPr>
          <w:p>
            <w:pPr>
              <w:pStyle w:val="TableContents"/>
              <w:bidi w:val="0"/>
              <w:spacing w:before="0" w:after="283"/>
              <w:jc w:val="center"/>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275" w:type="dxa"/>
            <w:tcBorders/>
            <w:shd w:fill="FFFFFF" w:val="clear"/>
            <w:vAlign w:val="center"/>
          </w:tcPr>
          <w:p>
            <w:pPr>
              <w:pStyle w:val="TableContents"/>
              <w:bidi w:val="0"/>
              <w:spacing w:before="0" w:after="283"/>
              <w:jc w:val="center"/>
              <w:rPr/>
            </w:pPr>
            <w:r>
              <w:rPr/>
              <w:t> </w:t>
            </w:r>
          </w:p>
        </w:tc>
        <w:tc>
          <w:tcPr>
            <w:tcW w:w="9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equity method investments</w:t>
            </w:r>
          </w:p>
        </w:tc>
        <w:tc>
          <w:tcPr>
            <w:tcW w:w="196" w:type="dxa"/>
            <w:tcBorders/>
            <w:shd w:fill="CFF0FC" w:val="clear"/>
            <w:vAlign w:val="center"/>
          </w:tcPr>
          <w:p>
            <w:pPr>
              <w:pStyle w:val="TableContents"/>
              <w:bidi w:val="0"/>
              <w:spacing w:before="0" w:after="283"/>
              <w:jc w:val="center"/>
              <w:rPr/>
            </w:pPr>
            <w:r>
              <w:rPr/>
              <w:t> </w:t>
            </w:r>
          </w:p>
        </w:tc>
        <w:tc>
          <w:tcPr>
            <w:tcW w:w="9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369" w:type="dxa"/>
            <w:tcBorders/>
            <w:shd w:fill="CFF0FC" w:val="clear"/>
            <w:vAlign w:val="center"/>
          </w:tcPr>
          <w:p>
            <w:pPr>
              <w:pStyle w:val="TableContents"/>
              <w:bidi w:val="0"/>
              <w:spacing w:before="0" w:after="283"/>
              <w:jc w:val="center"/>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275" w:type="dxa"/>
            <w:tcBorders/>
            <w:shd w:fill="CFF0FC" w:val="clear"/>
            <w:vAlign w:val="center"/>
          </w:tcPr>
          <w:p>
            <w:pPr>
              <w:pStyle w:val="TableContents"/>
              <w:bidi w:val="0"/>
              <w:spacing w:before="0" w:after="283"/>
              <w:jc w:val="center"/>
              <w:rPr/>
            </w:pPr>
            <w:r>
              <w:rPr/>
              <w:t> </w:t>
            </w:r>
          </w:p>
        </w:tc>
        <w:tc>
          <w:tcPr>
            <w:tcW w:w="9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shd w:fill="FFFFFF" w:val="cle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r>
      <w:tr>
        <w:trPr/>
        <w:tc>
          <w:tcPr>
            <w:tcW w:w="33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2,464</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701</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654</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Claims and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Subsequent to June 30, 2024, the Company received Findings of Fact and Conclusions of Law from an October 30, 2019 complaint filed against Green Thumb (“Defendant”) alleging Defendant breached a commercial property lease with ineffective termination. The court ruled in favor of Plaintiff in the amount of $7,307 thousand, representing unpaid rent. In addition, the court found Defendant liable for attorney fees, which have yet to be determined. As of June 30, 2024, the Company accrued the amount of probable loss that can reasonably be estimated within accrued liabilities on the unaudited interim condensed consolidated balance sheets. No final Order of Judgment has been entered in the case and the Company has reserved all rights and intends to contest the findings, including an appeal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matter discussed above, as of June 30, 2024 and December 31, 2023,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pStyle w:val="TextBody"/>
        <w:bidi w:val="0"/>
        <w:spacing w:before="120" w:after="283"/>
        <w:jc w:val="left"/>
        <w:rPr>
          <w:rFonts w:ascii="Times New Roman" w:hAnsi="Times New Roman"/>
          <w:sz w:val="20"/>
        </w:rPr>
      </w:pPr>
      <w:r>
        <w:rPr>
          <w:rFonts w:ascii="Times New Roman" w:hAnsi="Times New Roman"/>
          <w:b/>
          <w:color w:val="000000"/>
          <w:sz w:val="20"/>
        </w:rPr>
        <w:t>(c) Construction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Company held approximately $5,400 thousand of open construction commitments to contractors on work being performed.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that are observable for the asset or liability, either directly or indirectly;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for the asset or liability that are not based on observable market data.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investments, accounts payable and accrued liabilities, notes payable, warrant liability, and contingent consideration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was not practicable to estimate the fair value of the Company's long-term notes payable, which consist of charitable contributions, private placement debt and mortgage notes, since there were no quoted market prices or active trading markets. The carrying amount of notes payable at June 30, 2024 and December 31, 2023 was $309,743 thousand and $308,523 thousand, respectively, which includes $227,265 thousand and $2,996 thousand, respectively, of short-term debt due within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2024</w:t>
            </w:r>
          </w:p>
        </w:tc>
      </w:tr>
      <w:tr>
        <w:trPr/>
        <w:tc>
          <w:tcPr>
            <w:tcW w:w="2056" w:type="dxa"/>
            <w:tcBorders/>
            <w:shd w:fill="FFFFFF" w:val="clear"/>
            <w:vAlign w:val="center"/>
          </w:tcPr>
          <w:p>
            <w:pPr>
              <w:pStyle w:val="TableContents"/>
              <w:bidi w:val="0"/>
              <w:spacing w:before="0" w:after="283"/>
              <w:jc w:val="left"/>
              <w:rPr/>
            </w:pPr>
            <w:r>
              <w:rPr/>
              <w:t> </w:t>
            </w:r>
          </w:p>
        </w:tc>
        <w:tc>
          <w:tcPr>
            <w:tcW w:w="3503"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196,142</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196,142</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24,695</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36,717</w:t>
            </w:r>
          </w:p>
        </w:tc>
        <w:tc>
          <w:tcPr>
            <w:tcW w:w="19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61,412</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CFF0FC" w:val="cle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r>
      <w:tr>
        <w:trPr/>
        <w:tc>
          <w:tcPr>
            <w:tcW w:w="20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220,837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35,134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255,971</w:t>
            </w:r>
          </w:p>
        </w:tc>
      </w:tr>
    </w:tbl>
    <w:p>
      <w:pPr>
        <w:pStyle w:val="TextBody"/>
        <w:bidi w:val="0"/>
        <w:jc w:val="left"/>
        <w:rPr/>
      </w:pPr>
      <w:r>
        <w:rPr/>
        <w:t> </w:t>
      </w:r>
    </w:p>
    <w:tbl>
      <w:tblPr>
        <w:tblW w:w="6144" w:type="dxa"/>
        <w:jc w:val="left"/>
        <w:tblInd w:w="0" w:type="dxa"/>
        <w:tblLayout w:type="fixed"/>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r>
      <w:tr>
        <w:trPr/>
        <w:tc>
          <w:tcPr>
            <w:tcW w:w="2536" w:type="dxa"/>
            <w:tcBorders/>
            <w:shd w:fill="FFFFFF" w:val="clear"/>
            <w:vAlign w:val="center"/>
          </w:tcPr>
          <w:p>
            <w:pPr>
              <w:pStyle w:val="TableContents"/>
              <w:bidi w:val="0"/>
              <w:spacing w:before="0" w:after="283"/>
              <w:jc w:val="left"/>
              <w:rPr/>
            </w:pPr>
            <w:r>
              <w:rPr/>
              <w:t> </w:t>
            </w:r>
          </w:p>
        </w:tc>
        <w:tc>
          <w:tcPr>
            <w:tcW w:w="3608"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161,634</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40,146</w:t>
            </w:r>
          </w:p>
        </w:tc>
        <w:tc>
          <w:tcPr>
            <w:tcW w:w="19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64,361</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Payable</w:t>
            </w:r>
          </w:p>
        </w:tc>
        <w:tc>
          <w:tcPr>
            <w:tcW w:w="196" w:type="dxa"/>
            <w:tcBorders/>
            <w:shd w:fill="CFF0FC" w:val="clear"/>
            <w:vAlign w:val="center"/>
          </w:tcPr>
          <w:p>
            <w:pPr>
              <w:pStyle w:val="TableContents"/>
              <w:bidi w:val="0"/>
              <w:spacing w:before="0" w:after="283"/>
              <w:jc w:val="center"/>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(33,250)</w:t>
            </w:r>
          </w:p>
        </w:tc>
        <w:tc>
          <w:tcPr>
            <w:tcW w:w="19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(33,250)</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w:t>
            </w:r>
          </w:p>
        </w:tc>
      </w:tr>
      <w:tr>
        <w:trPr/>
        <w:tc>
          <w:tcPr>
            <w:tcW w:w="253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185,849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3,779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189,628</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CODM does not review total assets or net income (loss) by segments; therefore, such information is not presented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below table presents revenues by type for the three and six months ended June 30, 2024 and 2023: </w:t>
      </w:r>
    </w:p>
    <w:p>
      <w:pPr>
        <w:pStyle w:val="TextBody"/>
        <w:bidi w:val="0"/>
        <w:spacing w:before="240" w:after="283"/>
        <w:jc w:val="left"/>
        <w:rPr/>
      </w:pPr>
      <w:r>
        <w:rPr/>
        <w:t> </w:t>
      </w:r>
    </w:p>
    <w:tbl>
      <w:tblPr>
        <w:tblW w:w="8894" w:type="dxa"/>
        <w:jc w:val="left"/>
        <w:tblInd w:w="0" w:type="dxa"/>
        <w:tblLayout w:type="fixed"/>
        <w:tblCellMar>
          <w:top w:w="28" w:type="dxa"/>
          <w:left w:w="28" w:type="dxa"/>
          <w:bottom w:w="28" w:type="dxa"/>
          <w:right w:w="28" w:type="dxa"/>
        </w:tblCellMar>
      </w:tblPr>
      <w:tblGrid>
        <w:gridCol w:w="3271"/>
        <w:gridCol w:w="211"/>
        <w:gridCol w:w="1159"/>
        <w:gridCol w:w="307"/>
        <w:gridCol w:w="1159"/>
        <w:gridCol w:w="146"/>
        <w:gridCol w:w="211"/>
        <w:gridCol w:w="1064"/>
        <w:gridCol w:w="249"/>
        <w:gridCol w:w="1117"/>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Revenues, Net of Discounts</w:t>
            </w:r>
          </w:p>
        </w:tc>
        <w:tc>
          <w:tcPr>
            <w:tcW w:w="211"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center"/>
              <w:rPr/>
            </w:pPr>
            <w:r>
              <w:rPr/>
              <w:t> </w:t>
            </w:r>
          </w:p>
        </w:tc>
        <w:tc>
          <w:tcPr>
            <w:tcW w:w="1117" w:type="dxa"/>
            <w:tcBorders/>
            <w:shd w:fill="CFF0FC" w:val="clear"/>
            <w:vAlign w:val="center"/>
          </w:tcPr>
          <w:p>
            <w:pPr>
              <w:pStyle w:val="TableContents"/>
              <w:bidi w:val="0"/>
              <w:spacing w:before="0" w:after="283"/>
              <w:jc w:val="righ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204,656</w:t>
            </w:r>
          </w:p>
        </w:tc>
        <w:tc>
          <w:tcPr>
            <w:tcW w:w="30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188,044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408,434</w:t>
            </w:r>
          </w:p>
        </w:tc>
        <w:tc>
          <w:tcPr>
            <w:tcW w:w="2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376,922</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156,323</w:t>
            </w:r>
          </w:p>
        </w:tc>
        <w:tc>
          <w:tcPr>
            <w:tcW w:w="307"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306,235</w:t>
            </w:r>
          </w:p>
        </w:tc>
        <w:tc>
          <w:tcPr>
            <w:tcW w:w="249" w:type="dxa"/>
            <w:tcBorders/>
            <w:shd w:fill="CFF0FC" w:val="clear"/>
            <w:vAlign w:val="center"/>
          </w:tcPr>
          <w:p>
            <w:pPr>
              <w:pStyle w:val="TableContents"/>
              <w:bidi w:val="0"/>
              <w:spacing w:before="0" w:after="283"/>
              <w:jc w:val="center"/>
              <w:rPr/>
            </w:pPr>
            <w:r>
              <w:rPr/>
              <w:t> </w:t>
            </w:r>
          </w:p>
        </w:tc>
        <w:tc>
          <w:tcPr>
            <w:tcW w:w="11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261,671</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(80,832)</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(137,669)</w:t>
            </w:r>
          </w:p>
        </w:tc>
      </w:tr>
      <w:tr>
        <w:trPr/>
        <w:tc>
          <w:tcPr>
            <w:tcW w:w="3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280,147</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555,953</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500,924</w:t>
            </w:r>
          </w:p>
        </w:tc>
      </w:tr>
      <w:tr>
        <w:trPr/>
        <w:tc>
          <w:tcPr>
            <w:tcW w:w="3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Depreciation and Amortization</w:t>
            </w:r>
          </w:p>
        </w:tc>
        <w:tc>
          <w:tcPr>
            <w:tcW w:w="211" w:type="dxa"/>
            <w:tcBorders/>
            <w:shd w:fill="FFFFFF" w:val="clear"/>
            <w:vAlign w:val="center"/>
          </w:tcPr>
          <w:p>
            <w:pPr>
              <w:pStyle w:val="TableContents"/>
              <w:bidi w:val="0"/>
              <w:spacing w:before="0" w:after="283"/>
              <w:jc w:val="center"/>
              <w:rPr/>
            </w:pPr>
            <w:r>
              <w:rPr/>
              <w:t> </w:t>
            </w:r>
          </w:p>
        </w:tc>
        <w:tc>
          <w:tcPr>
            <w:tcW w:w="1159"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center"/>
              <w:rPr/>
            </w:pPr>
            <w:r>
              <w:rPr/>
              <w:t> </w:t>
            </w:r>
          </w:p>
        </w:tc>
        <w:tc>
          <w:tcPr>
            <w:tcW w:w="115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center"/>
              <w:rPr/>
            </w:pPr>
            <w:r>
              <w:rPr/>
              <w:t> </w:t>
            </w:r>
          </w:p>
        </w:tc>
        <w:tc>
          <w:tcPr>
            <w:tcW w:w="1117" w:type="dxa"/>
            <w:tcBorders/>
            <w:shd w:fill="FFFFFF" w:val="clear"/>
            <w:vAlign w:val="center"/>
          </w:tcPr>
          <w:p>
            <w:pPr>
              <w:pStyle w:val="TableContents"/>
              <w:bidi w:val="0"/>
              <w:spacing w:before="0" w:after="283"/>
              <w:jc w:val="righ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w:t>
            </w:r>
          </w:p>
        </w:tc>
        <w:tc>
          <w:tcPr>
            <w:tcW w:w="30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c>
          <w:tcPr>
            <w:tcW w:w="2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17,941</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vAlign w:val="center"/>
          </w:tcPr>
          <w:p>
            <w:pPr>
              <w:pStyle w:val="TableContents"/>
              <w:bidi w:val="0"/>
              <w:spacing w:before="0" w:after="283"/>
              <w:jc w:val="center"/>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w:t>
            </w:r>
          </w:p>
        </w:tc>
        <w:tc>
          <w:tcPr>
            <w:tcW w:w="307" w:type="dxa"/>
            <w:tcBorders/>
            <w:shd w:fill="FFFFFF" w:val="clear"/>
            <w:vAlign w:val="center"/>
          </w:tcPr>
          <w:p>
            <w:pPr>
              <w:pStyle w:val="TableContents"/>
              <w:bidi w:val="0"/>
              <w:spacing w:before="0" w:after="283"/>
              <w:jc w:val="center"/>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center"/>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35,077</w:t>
            </w:r>
          </w:p>
        </w:tc>
        <w:tc>
          <w:tcPr>
            <w:tcW w:w="249" w:type="dxa"/>
            <w:tcBorders/>
            <w:shd w:fill="FFFFFF" w:val="clear"/>
            <w:vAlign w:val="center"/>
          </w:tcPr>
          <w:p>
            <w:pPr>
              <w:pStyle w:val="TableContents"/>
              <w:bidi w:val="0"/>
              <w:spacing w:before="0" w:after="283"/>
              <w:jc w:val="center"/>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29,794</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27,985</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55,760</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47,735</w:t>
            </w:r>
          </w:p>
        </w:tc>
      </w:tr>
      <w:tr>
        <w:trPr/>
        <w:tc>
          <w:tcPr>
            <w:tcW w:w="3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Income Taxes</w:t>
            </w:r>
          </w:p>
        </w:tc>
        <w:tc>
          <w:tcPr>
            <w:tcW w:w="211"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center"/>
              <w:rPr/>
            </w:pPr>
            <w:r>
              <w:rPr/>
              <w:t> </w:t>
            </w:r>
          </w:p>
        </w:tc>
        <w:tc>
          <w:tcPr>
            <w:tcW w:w="1117" w:type="dxa"/>
            <w:tcBorders/>
            <w:shd w:fill="CFF0FC" w:val="clear"/>
            <w:vAlign w:val="center"/>
          </w:tcPr>
          <w:p>
            <w:pPr>
              <w:pStyle w:val="TableContents"/>
              <w:bidi w:val="0"/>
              <w:spacing w:before="0" w:after="283"/>
              <w:jc w:val="righ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w:t>
            </w:r>
          </w:p>
        </w:tc>
        <w:tc>
          <w:tcPr>
            <w:tcW w:w="30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33,969</w:t>
            </w:r>
          </w:p>
        </w:tc>
        <w:tc>
          <w:tcPr>
            <w:tcW w:w="2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307" w:type="dxa"/>
            <w:tcBorders/>
            <w:shd w:fill="CFF0FC" w:val="clear"/>
            <w:vAlign w:val="center"/>
          </w:tcPr>
          <w:p>
            <w:pPr>
              <w:pStyle w:val="TableContents"/>
              <w:bidi w:val="0"/>
              <w:spacing w:before="0" w:after="283"/>
              <w:jc w:val="center"/>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30,079</w:t>
            </w:r>
          </w:p>
        </w:tc>
        <w:tc>
          <w:tcPr>
            <w:tcW w:w="249" w:type="dxa"/>
            <w:tcBorders/>
            <w:shd w:fill="CFF0FC" w:val="clear"/>
            <w:vAlign w:val="center"/>
          </w:tcPr>
          <w:p>
            <w:pPr>
              <w:pStyle w:val="TableContents"/>
              <w:bidi w:val="0"/>
              <w:spacing w:before="0" w:after="283"/>
              <w:jc w:val="center"/>
              <w:rPr/>
            </w:pPr>
            <w:r>
              <w:rPr/>
              <w:t> </w:t>
            </w:r>
          </w:p>
        </w:tc>
        <w:tc>
          <w:tcPr>
            <w:tcW w:w="11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27,062</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Income Taxes</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31,899</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64,048</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59,401</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assigned to the Retail segment as of June 30, 2024 and December 31, 2023 was $273,802 thousand, respectively. Intangible assets, net assigned to the Retail segment as of June 30, 2024 and December 31, 2023 was $266,423 thousand and $278,492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assigned to the Consumer Packaged Goods segment as of June 30, 2024 and December 31, 2023 was $315,889 thousand, respectively. Intangible assets, net assigned to the Consumer Packaged Goods segment as of June 30, 2024 and December 31, 2023 was $247,011 thousand and $260,186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management_discussion_and_analysis"/>
      <w:bookmarkStart w:id="9" w:name="item2_mda"/>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 discussion and analysis (“MD&amp;A”) of the financial condition and results of operations of Green Thumb Industries Inc. (the “Company” or “Green Thumb”) is for the three and six months ended June 30, 2024 and 2023. It is supplemental to, and should be read in conjunction with, the Company’s unaudited interim condensed consolidated financial statements as of June 30, 2024 and the consolidated financial statements for the year ended December 31, 2023 included in the Company’s Annual Report on Form 10-K for the year ended December 31, 2023 filed with the U.S. Securities and Exchange Commission (“SEC”) on February 29, 2024 (the “2023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2023 Form 10-K.” As a result of many factors, the Company’s actual results may differ materially from those anticipated in these forward-looking statements and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Established in 2014 and headquartered in Chicago, Illinois, Green Thumb, a national cannabis consumer packaged goods company and retailer, promotes well-being through the power of cannabis while being committed to community and sustainable, profitable growth. As of June 30, 2024, Green Thumb has operations in fourteen U.S. markets, employs approximately 4,500 people and serves millions of patients and customers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product categories are individually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 owns and operates a national cannabis retail chain called RISE Dispensaries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The income from Green Thumb’s Retail business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fourteen of the states in which we operate. As of June 30, 2024, the Company had 94 open and operating Retail locations. The Company’s new store opening plans will remain fluid depending on market conditions, obtaining local licensing, construction and other permissions and subject to the Company’s capital allocation plans.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selected consolidated financial results for the periods, and as of the dates, indicated. The (i) unaudited interim condensed consolidated statements of operations for the three and six months ended June 30, 2024 and 2023 and (ii) unaudited interim condensed consolidated balance sheets as of June 30, 2024 and December 31, 2023 have been derived from, and should be read in conjunction with, the unaudited interim condensed consolidated financial statements and accompanying notes presented in Item 1 of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 </w:t>
      </w:r>
    </w:p>
    <w:tbl>
      <w:tblPr>
        <w:tblW w:w="10205" w:type="dxa"/>
        <w:jc w:val="left"/>
        <w:tblInd w:w="0" w:type="dxa"/>
        <w:tblLayout w:type="fixed"/>
        <w:tblCellMar>
          <w:top w:w="28" w:type="dxa"/>
          <w:left w:w="28" w:type="dxa"/>
          <w:bottom w:w="28" w:type="dxa"/>
          <w:right w:w="28" w:type="dxa"/>
        </w:tblCellMar>
      </w:tblPr>
      <w:tblGrid>
        <w:gridCol w:w="2595"/>
        <w:gridCol w:w="196"/>
        <w:gridCol w:w="1014"/>
        <w:gridCol w:w="197"/>
        <w:gridCol w:w="1014"/>
        <w:gridCol w:w="146"/>
        <w:gridCol w:w="196"/>
        <w:gridCol w:w="1006"/>
        <w:gridCol w:w="196"/>
        <w:gridCol w:w="1006"/>
        <w:gridCol w:w="146"/>
        <w:gridCol w:w="196"/>
        <w:gridCol w:w="601"/>
        <w:gridCol w:w="410"/>
        <w:gridCol w:w="196"/>
        <w:gridCol w:w="610"/>
        <w:gridCol w:w="480"/>
      </w:tblGrid>
      <w:tr>
        <w:trPr/>
        <w:tc>
          <w:tcPr>
            <w:tcW w:w="2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2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595"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5"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477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2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 Net of Discounts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280,147</w:t>
            </w:r>
          </w:p>
        </w:tc>
        <w:tc>
          <w:tcPr>
            <w:tcW w:w="19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252,388</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555,953</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500,924</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27,759</w:t>
            </w:r>
          </w:p>
        </w:tc>
        <w:tc>
          <w:tcPr>
            <w:tcW w:w="4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55,029</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(129,627)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9,581</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96"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150,520</w:t>
            </w:r>
          </w:p>
        </w:tc>
        <w:tc>
          <w:tcPr>
            <w:tcW w:w="197"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125,280</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295,449</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250,001</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25,240</w:t>
            </w:r>
          </w:p>
        </w:tc>
        <w:tc>
          <w:tcPr>
            <w:tcW w:w="4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96" w:type="dxa"/>
            <w:tcBorders/>
            <w:shd w:fill="CFF0FC" w:val="clear"/>
            <w:vAlign w:val="center"/>
          </w:tcPr>
          <w:p>
            <w:pPr>
              <w:pStyle w:val="TableContents"/>
              <w:bidi w:val="0"/>
              <w:spacing w:before="0" w:after="283"/>
              <w:jc w:val="center"/>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45,448</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r>
      <w:tr>
        <w:trPr/>
        <w:tc>
          <w:tcPr>
            <w:tcW w:w="259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vAlign w:val="center"/>
          </w:tcPr>
          <w:p>
            <w:pPr>
              <w:pStyle w:val="TableContents"/>
              <w:bidi w:val="0"/>
              <w:spacing w:before="0" w:after="283"/>
              <w:jc w:val="center"/>
              <w:rPr/>
            </w:pPr>
            <w:r>
              <w:rPr/>
              <w:t> </w:t>
            </w:r>
          </w:p>
        </w:tc>
        <w:tc>
          <w:tcPr>
            <w:tcW w:w="1014"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center"/>
              <w:rPr/>
            </w:pPr>
            <w:r>
              <w:rPr/>
              <w:t> </w:t>
            </w:r>
          </w:p>
        </w:tc>
        <w:tc>
          <w:tcPr>
            <w:tcW w:w="10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right"/>
              <w:rPr/>
            </w:pPr>
            <w:r>
              <w:rPr/>
              <w:t> </w:t>
            </w:r>
          </w:p>
        </w:tc>
        <w:tc>
          <w:tcPr>
            <w:tcW w:w="410"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10" w:type="dxa"/>
            <w:tcBorders/>
            <w:shd w:fill="FFFFFF" w:val="clear"/>
            <w:vAlign w:val="center"/>
          </w:tcPr>
          <w:p>
            <w:pPr>
              <w:pStyle w:val="TableContents"/>
              <w:bidi w:val="0"/>
              <w:spacing w:before="0" w:after="283"/>
              <w:jc w:val="right"/>
              <w:rPr/>
            </w:pPr>
            <w:r>
              <w:rPr/>
              <w:t> </w:t>
            </w:r>
          </w:p>
        </w:tc>
        <w:tc>
          <w:tcPr>
            <w:tcW w:w="480" w:type="dxa"/>
            <w:tcBorders/>
            <w:shd w:fill="FFFFFF" w:val="clear"/>
            <w:vAlign w:val="center"/>
          </w:tcPr>
          <w:p>
            <w:pPr>
              <w:pStyle w:val="TableContents"/>
              <w:bidi w:val="0"/>
              <w:spacing w:before="0" w:after="283"/>
              <w:jc w:val="right"/>
              <w:rPr/>
            </w:pPr>
            <w:r>
              <w:rPr/>
              <w:t> </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97"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84,217</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170,758</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164,736</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96" w:type="dxa"/>
            <w:tcBorders/>
            <w:shd w:fill="FFFFFF" w:val="clear"/>
            <w:vAlign w:val="center"/>
          </w:tcPr>
          <w:p>
            <w:pPr>
              <w:pStyle w:val="TableContents"/>
              <w:bidi w:val="0"/>
              <w:spacing w:before="0" w:after="283"/>
              <w:jc w:val="center"/>
              <w:rPr/>
            </w:pPr>
            <w:r>
              <w:rPr/>
              <w:t> </w:t>
            </w:r>
          </w:p>
        </w:tc>
        <w:tc>
          <w:tcPr>
            <w:tcW w:w="10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170,758</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4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96"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54,020</w:t>
            </w:r>
          </w:p>
        </w:tc>
        <w:tc>
          <w:tcPr>
            <w:tcW w:w="197"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41,063</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124,691</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85,265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12,957</w:t>
            </w:r>
          </w:p>
        </w:tc>
        <w:tc>
          <w:tcPr>
            <w:tcW w:w="4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96" w:type="dxa"/>
            <w:tcBorders/>
            <w:shd w:fill="CFF0FC" w:val="clear"/>
            <w:vAlign w:val="center"/>
          </w:tcPr>
          <w:p>
            <w:pPr>
              <w:pStyle w:val="TableContents"/>
              <w:bidi w:val="0"/>
              <w:spacing w:before="0" w:after="283"/>
              <w:jc w:val="center"/>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39,426</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(5,608)</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 And Non-Controlling Interest</w:t>
            </w:r>
          </w:p>
        </w:tc>
        <w:tc>
          <w:tcPr>
            <w:tcW w:w="196"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52,817</w:t>
            </w:r>
          </w:p>
        </w:tc>
        <w:tc>
          <w:tcPr>
            <w:tcW w:w="197"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39,455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116,314</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82,496</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13,362</w:t>
            </w:r>
          </w:p>
        </w:tc>
        <w:tc>
          <w:tcPr>
            <w:tcW w:w="4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96" w:type="dxa"/>
            <w:tcBorders/>
            <w:shd w:fill="CFF0FC" w:val="clear"/>
            <w:vAlign w:val="center"/>
          </w:tcPr>
          <w:p>
            <w:pPr>
              <w:pStyle w:val="TableContents"/>
              <w:bidi w:val="0"/>
              <w:spacing w:before="0" w:after="283"/>
              <w:jc w:val="center"/>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33,818</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6,134</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Before Non-Controlling Interest</w:t>
            </w:r>
          </w:p>
        </w:tc>
        <w:tc>
          <w:tcPr>
            <w:tcW w:w="196"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20,918</w:t>
            </w:r>
          </w:p>
        </w:tc>
        <w:tc>
          <w:tcPr>
            <w:tcW w:w="197" w:type="dxa"/>
            <w:tcBorders/>
            <w:shd w:fill="CFF0FC" w:val="clear"/>
            <w:vAlign w:val="center"/>
          </w:tcPr>
          <w:p>
            <w:pPr>
              <w:pStyle w:val="TableContents"/>
              <w:bidi w:val="0"/>
              <w:spacing w:before="0" w:after="283"/>
              <w:jc w:val="center"/>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13,690</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52,266</w:t>
            </w:r>
          </w:p>
        </w:tc>
        <w:tc>
          <w:tcPr>
            <w:tcW w:w="196" w:type="dxa"/>
            <w:tcBorders/>
            <w:shd w:fill="CFF0FC" w:val="clear"/>
            <w:vAlign w:val="center"/>
          </w:tcPr>
          <w:p>
            <w:pPr>
              <w:pStyle w:val="TableContents"/>
              <w:bidi w:val="0"/>
              <w:spacing w:before="0" w:after="283"/>
              <w:jc w:val="center"/>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7,228</w:t>
            </w:r>
          </w:p>
        </w:tc>
        <w:tc>
          <w:tcPr>
            <w:tcW w:w="4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96" w:type="dxa"/>
            <w:tcBorders/>
            <w:shd w:fill="CFF0FC" w:val="clear"/>
            <w:vAlign w:val="center"/>
          </w:tcPr>
          <w:p>
            <w:pPr>
              <w:pStyle w:val="TableContents"/>
              <w:bidi w:val="0"/>
              <w:spacing w:before="0" w:after="283"/>
              <w:jc w:val="center"/>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29,171</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Green Thumb Industries Inc.</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7,312</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29,249</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Basic</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Diluted</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r>
      <w:tr>
        <w:trPr/>
        <w:tc>
          <w:tcPr>
            <w:tcW w:w="25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w:t>
            </w:r>
          </w:p>
        </w:tc>
        <w:tc>
          <w:tcPr>
            <w:tcW w:w="196" w:type="dxa"/>
            <w:tcBorders/>
            <w:shd w:fill="FFFFFF" w:val="clear"/>
            <w:vAlign w:val="center"/>
          </w:tcPr>
          <w:p>
            <w:pPr>
              <w:pStyle w:val="TableContents"/>
              <w:bidi w:val="0"/>
              <w:spacing w:before="0" w:after="283"/>
              <w:jc w:val="center"/>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237,416,373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238,000,135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237,083,912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237,700,856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center"/>
              <w:rPr/>
            </w:pPr>
            <w:r>
              <w:rPr/>
              <w:t> </w:t>
            </w:r>
          </w:p>
        </w:tc>
        <w:tc>
          <w:tcPr>
            <w:tcW w:w="410"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610"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r>
      <w:tr>
        <w:trPr/>
        <w:tc>
          <w:tcPr>
            <w:tcW w:w="25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Diluted</w:t>
            </w:r>
          </w:p>
        </w:tc>
        <w:tc>
          <w:tcPr>
            <w:tcW w:w="196" w:type="dxa"/>
            <w:tcBorders/>
            <w:shd w:fill="CFF0FC" w:val="clear"/>
            <w:vAlign w:val="center"/>
          </w:tcPr>
          <w:p>
            <w:pPr>
              <w:pStyle w:val="TableContents"/>
              <w:bidi w:val="0"/>
              <w:spacing w:before="0" w:after="283"/>
              <w:jc w:val="center"/>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240,137,922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238,423,288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240,768,497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239,455,964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01"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1666"/>
        <w:gridCol w:w="196"/>
        <w:gridCol w:w="1156"/>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r>
      <w:tr>
        <w:trPr/>
        <w:tc>
          <w:tcPr>
            <w:tcW w:w="16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2,540,554</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2,490,057</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416,019</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660,751</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June 30, 2024 Compared to the Three Months Ended June 30, 2023</w:t>
      </w:r>
    </w:p>
    <w:p>
      <w:pPr>
        <w:pStyle w:val="TextBody"/>
        <w:bidi w:val="0"/>
        <w:spacing w:before="120" w:after="283"/>
        <w:jc w:val="left"/>
        <w:rPr>
          <w:rFonts w:ascii="Times New Roman" w:hAnsi="Times New Roman"/>
          <w:sz w:val="20"/>
        </w:rPr>
      </w:pPr>
      <w:r>
        <w:rPr>
          <w:rFonts w:ascii="Times New Roman" w:hAnsi="Times New Roman"/>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three months ended June 30, 2024 was $280,147 thousand, up 11% from $252,388 thousand for the three months ended June 30, 2023. Key performance drivers for the period included (i) the legalization of adult-use sales in Maryland, which began on July 1, 2023, and (ii) revenue generated from new retail stores.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94 Retail stores during the quarter compared to 83 in the same quarter of the prior year. Retail revenues made up 73% of total revenues during the three months ended June 30, 2024 as compared to 75% during the three months ended June 30, 2023. Since June 30, 2023, the Company opened ten new Retail stores in Florida, one new Retail store in Nevada, and one new Retail store in New York. The Company also disposed of one Retail store in Massachusetts.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Consumer Packaged Goods revenues made up 27% of total revenues during the three months ended June 30, 2024 as compared to 25% during the three months ended June 30, 2023.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three months ended June 30, 2024 was $129,627 thousand, up 2% from $127,108 thousand for the three months ended June 30, 2023, driven by increased demand stemming from the launch of adult-use sales in Maryland, as well as increased sales volume at the Company's newly opened Retail locations.</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for the three months ended June 30, 2024 was $150,520 thousand, representing a gross margin on the sale of branded cannabis flower and processed and packaged products including concentrates, edibles, topicals and other cannabis products, of 54%. This is compared to gross profit for the three months ended June 30, 2023 of $125,280 thousand, or a 50% gross margin. The increase in gross profit (dollars) was directly attributable to the revenue increase as described above. The increase in gross margin (percent) was primarily driven by an increase in Retail sales of Green Thumb-produced products. </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expenses for the three months ended June 30, 2024 were $96,500 thousand, or 34% of revenues, net of discounts, an increase of $12,283 thousand compared to the same period in the prior year. Total expenses for the three months ended June 30, 2023 were $84,217 thousand or 33% of revenues, net of discounts. The increase in total expenses was attributable to increased expenses associated with the launch of adult-use sales in Maryland, increased expenses associated with the opening of new Retail stores as described above, as well as an increase in payroll expenses, stemming from annual wage increases that took effect during the current quarter.</w:t>
      </w:r>
    </w:p>
    <w:p>
      <w:pPr>
        <w:pStyle w:val="TextBody"/>
        <w:bidi w:val="0"/>
        <w:spacing w:before="360" w:after="283"/>
        <w:jc w:val="left"/>
        <w:rPr>
          <w:rFonts w:ascii="Times New Roman" w:hAnsi="Times New Roman"/>
          <w:sz w:val="20"/>
        </w:rPr>
      </w:pPr>
      <w:r>
        <w:rPr>
          <w:rFonts w:ascii="Times New Roman" w:hAnsi="Times New Roman"/>
          <w:i/>
          <w:color w:val="000000"/>
          <w:sz w:val="20"/>
        </w:rPr>
        <w:t>Total 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other income (expense) for the three months ended June 30, 2024 was $(1,203) thousand, a favorable change of $(405) thousand, primarily due to a favorable fair value adjustments on the Company's warrant liability during the three months ended June 30, 2024, as compared to the three months ended June 30, 2023, and offset by a decrease in capitalized interest for the three months ended June 30, 2024, as compared to the three months ended June 30, 2023. </w:t>
      </w:r>
    </w:p>
    <w:p>
      <w:pPr>
        <w:pStyle w:val="TextBody"/>
        <w:bidi w:val="0"/>
        <w:spacing w:before="360" w:after="283"/>
        <w:jc w:val="left"/>
        <w:rPr>
          <w:rFonts w:ascii="Times New Roman" w:hAnsi="Times New Roman"/>
          <w:sz w:val="20"/>
        </w:rPr>
      </w:pPr>
      <w:r>
        <w:rPr>
          <w:rFonts w:ascii="Times New Roman" w:hAnsi="Times New Roman"/>
          <w:i/>
          <w:color w:val="000000"/>
          <w:sz w:val="20"/>
        </w:rPr>
        <w:t>Income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provision for income taxes and non-controlling interest for the three months ended June 30, 2024 was $52,817 thousand, an increase of $13,362 thousand compared to the three months ended June 30,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presented under the heading “Non-GAAP Measures” below, after adjusting for non-cash equity incentive compensation of $8,866 thousand and $7,381 thousand in the three months ended June 30, 2024 and 2023, respectively, and other nonoperating expenses of $2,925 thousand and $3,138 thousand in three months ended June 30, 2024 and 2023, respectively, adjusted earnings before interest, depreciation, and amortization (“Adjusted EBITDA”) was $93,796 thousand and $75,816 thousand,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three months ended June 30, 2024, federal and state income tax expense totaled $31,899 thousand compared to expense of $25,765 thousand</w:t>
      </w:r>
      <w:r>
        <w:rPr>
          <w:rFonts w:ascii="Times New Roman" w:hAnsi="Times New Roman"/>
          <w:color w:val="FF0000"/>
          <w:sz w:val="20"/>
        </w:rPr>
        <w:t xml:space="preserve"> </w:t>
      </w:r>
      <w:r>
        <w:rPr>
          <w:rFonts w:ascii="Times New Roman" w:hAnsi="Times New Roman"/>
          <w:color w:val="000000"/>
          <w:sz w:val="20"/>
        </w:rPr>
        <w:t xml:space="preserve">for the three months ended June 30, 2023.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2024 Compared to the Six Months Ended June 30, 2023</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net of Discounts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six months ended June 30, 2024 was $555,953 thousand, an increase of 11% from $500,924 for the six months ended June 30, 2023. The increase in revenue was largely due to legalization of adult-use sales in Maryland, which began on July 1, 2023, continued growth in existing markets, as well as revenue generated from new retail stores opened in the current period, partially offset by price compression.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generated revenue from 94 retail stores during the period compared to 83 in the same period of the prior year. Since June 30, 2023, the Company opened ten new Retail stores in Florida, one new Retail store in Nevada, and one new Retail store in New York. The Company also disposed of one Retail store in Massachusetts.</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goods sold are derived from retail purchases made by the Company from its third-party licensed producers operating within our state markets and costs related to the internal cultivation and production of cannabis. Cost of goods sold for the six months ended June 30, 2024 was $260,504 thousand, an increase of 4% from $250,923 thousand for the six months ended June 30, 2023, driven by increased volume from the launch of adult-use sales in Maryland as described above, and new retail store openings since June 30, 2023 in Florida, Nevada and New York.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for the six months ended June 30, 2024 was $295,449 thousand, representing a gross margin on the sale of branded cannabis flower and processed and packaged products including concentrates, edibles, topicals and other cannabis products, of 53%. This is compared to gross profit for the six months ended June 30, 2023 of $250,001 thousand or a 50% gross margin. The increase in gross profit (dollars) was directly attributable to the revenue increase as described above, while the increase in gross margin (percent) was primarily driven by an increase in Retail sales of Green Thumb-produced products.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six months ended June 30, 2024 were $170,758 thousand or 31% of revenues, net of discounts, resulting in an increase of $6,022 thousand over the same period in the prior year. Total expenses for the six months ended June 30, 2023 were $164,736 thousand or 33% of revenues, net of discounts. The increase in total expenses was attributable to increased costs associated with the launch of adult-use sales in Maryland, new Retail store openings as described above, and increased payroll costs, stemming from annual wage increases that took effect during the current quarter. The increase in total expenses was partially offset by favorable fair value adjustments associated with the Company's contingent consideration arrangements recorded during the six months ended June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Income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(expense) for the six months ended June 30, 2024 was $(8,377) thousand, an increase of $5,608 thousand over the same period in the prior year, primarily due to a decrease in capitalized interest during the six months ended June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Income Before Provision for Income Taxes and Non-Controlling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before provision for income taxes and non-controlling interest for the six months ended June 30, 2024 was $116,314 thousand, an increase of $33,818 thousand compared to the six months ended June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presented under the heading “Non-GAAP Measures” below, after adjusting for non-cash equity incentive compensation of $15,356 thousand and $13,620 thousand, and other nonoperating (income) expenses, of $(11,463) thousand and $5,430 thousand in the six months ended June 30, 2024 and 2023, respectively, Adjusted EBITDA was $184,344 thousand and $152,050 thousand, respectively.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six months ended June 30, 2024, federal and state income tax expense totaled $64,048 thousand compared to expense of $59,401 thousand for the six months ended June 30, 2023.</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revenues, net of discounts by segment for the three and six months ended June 30, 2024 and 2023: </w:t>
      </w:r>
    </w:p>
    <w:p>
      <w:pPr>
        <w:pStyle w:val="TextBody"/>
        <w:bidi w:val="0"/>
        <w:spacing w:before="120" w:after="283"/>
        <w:jc w:val="left"/>
        <w:rPr/>
      </w:pPr>
      <w:r>
        <w:rPr/>
        <w:t> </w:t>
      </w:r>
    </w:p>
    <w:tbl>
      <w:tblPr>
        <w:tblW w:w="6723" w:type="dxa"/>
        <w:jc w:val="left"/>
        <w:tblInd w:w="0" w:type="dxa"/>
        <w:tblLayout w:type="fixed"/>
        <w:tblCellMar>
          <w:top w:w="28" w:type="dxa"/>
          <w:left w:w="28" w:type="dxa"/>
          <w:bottom w:w="28" w:type="dxa"/>
          <w:right w:w="28" w:type="dxa"/>
        </w:tblCellMar>
      </w:tblPr>
      <w:tblGrid>
        <w:gridCol w:w="2506"/>
        <w:gridCol w:w="196"/>
        <w:gridCol w:w="997"/>
        <w:gridCol w:w="271"/>
        <w:gridCol w:w="997"/>
        <w:gridCol w:w="196"/>
        <w:gridCol w:w="855"/>
        <w:gridCol w:w="705"/>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204,656</w:t>
            </w:r>
          </w:p>
        </w:tc>
        <w:tc>
          <w:tcPr>
            <w:tcW w:w="27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188,044</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16,612</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CFF0FC" w:val="clear"/>
            <w:vAlign w:val="center"/>
          </w:tcPr>
          <w:p>
            <w:pPr>
              <w:pStyle w:val="TableContents"/>
              <w:bidi w:val="0"/>
              <w:spacing w:before="0" w:after="283"/>
              <w:jc w:val="center"/>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156,323</w:t>
            </w:r>
          </w:p>
        </w:tc>
        <w:tc>
          <w:tcPr>
            <w:tcW w:w="271" w:type="dxa"/>
            <w:tcBorders/>
            <w:shd w:fill="CFF0FC" w:val="clear"/>
            <w:vAlign w:val="center"/>
          </w:tcPr>
          <w:p>
            <w:pPr>
              <w:pStyle w:val="TableContents"/>
              <w:bidi w:val="0"/>
              <w:spacing w:before="0" w:after="283"/>
              <w:jc w:val="center"/>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136,054</w:t>
            </w:r>
          </w:p>
        </w:tc>
        <w:tc>
          <w:tcPr>
            <w:tcW w:w="196" w:type="dxa"/>
            <w:tcBorders/>
            <w:shd w:fill="CFF0FC" w:val="clear"/>
            <w:vAlign w:val="center"/>
          </w:tcPr>
          <w:p>
            <w:pPr>
              <w:pStyle w:val="TableContents"/>
              <w:bidi w:val="0"/>
              <w:spacing w:before="0" w:after="283"/>
              <w:jc w:val="center"/>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20,269</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FFFFFF" w:val="cle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9,122</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r>
      <w:tr>
        <w:trPr/>
        <w:tc>
          <w:tcPr>
            <w:tcW w:w="250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280,147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252,388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27,759</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r>
    </w:tbl>
    <w:p>
      <w:pPr>
        <w:pStyle w:val="TextBody"/>
        <w:bidi w:val="0"/>
        <w:spacing w:before="360" w:after="283"/>
        <w:jc w:val="left"/>
        <w:rPr/>
      </w:pPr>
      <w:r>
        <w:rPr/>
        <w:t> </w:t>
      </w:r>
    </w:p>
    <w:tbl>
      <w:tblPr>
        <w:tblW w:w="6527" w:type="dxa"/>
        <w:jc w:val="left"/>
        <w:tblInd w:w="0" w:type="dxa"/>
        <w:tblLayout w:type="fixed"/>
        <w:tblCellMar>
          <w:top w:w="28" w:type="dxa"/>
          <w:left w:w="28" w:type="dxa"/>
          <w:bottom w:w="28" w:type="dxa"/>
          <w:right w:w="28" w:type="dxa"/>
        </w:tblCellMar>
      </w:tblPr>
      <w:tblGrid>
        <w:gridCol w:w="2506"/>
        <w:gridCol w:w="196"/>
        <w:gridCol w:w="923"/>
        <w:gridCol w:w="223"/>
        <w:gridCol w:w="923"/>
        <w:gridCol w:w="196"/>
        <w:gridCol w:w="754"/>
        <w:gridCol w:w="806"/>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06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shd w:fill="FFFFFF" w:val="cle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408,434</w:t>
            </w:r>
          </w:p>
        </w:tc>
        <w:tc>
          <w:tcPr>
            <w:tcW w:w="22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376,922</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31,512</w:t>
            </w:r>
          </w:p>
        </w:tc>
        <w:tc>
          <w:tcPr>
            <w:tcW w:w="8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FFFFFF" w:val="clear"/>
            <w:vAlign w:val="center"/>
          </w:tcPr>
          <w:p>
            <w:pPr>
              <w:pStyle w:val="TableContents"/>
              <w:bidi w:val="0"/>
              <w:spacing w:before="0" w:after="283"/>
              <w:jc w:val="center"/>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306,235</w:t>
            </w:r>
          </w:p>
        </w:tc>
        <w:tc>
          <w:tcPr>
            <w:tcW w:w="223" w:type="dxa"/>
            <w:tcBorders/>
            <w:shd w:fill="FFFFFF" w:val="clear"/>
            <w:vAlign w:val="center"/>
          </w:tcPr>
          <w:p>
            <w:pPr>
              <w:pStyle w:val="TableContents"/>
              <w:bidi w:val="0"/>
              <w:spacing w:before="0" w:after="283"/>
              <w:jc w:val="center"/>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261,671</w:t>
            </w:r>
          </w:p>
        </w:tc>
        <w:tc>
          <w:tcPr>
            <w:tcW w:w="196" w:type="dxa"/>
            <w:tcBorders/>
            <w:shd w:fill="FFFFFF" w:val="clear"/>
            <w:vAlign w:val="center"/>
          </w:tcPr>
          <w:p>
            <w:pPr>
              <w:pStyle w:val="TableContents"/>
              <w:bidi w:val="0"/>
              <w:spacing w:before="0" w:after="283"/>
              <w:jc w:val="center"/>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44,564</w:t>
            </w:r>
          </w:p>
        </w:tc>
        <w:tc>
          <w:tcPr>
            <w:tcW w:w="8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CFF0FC" w:val="cle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(158,716)</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(137,669)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21,047</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555,953</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500,924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55,029</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June 30, 2024 Compared with the Three Months Ended June 30,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net of discounts, for the Retail segment were $204,656 thousand, an increase of $16,612 thousand or 9%, compared to the three months ended June 30, 2023. The increase in Retail revenues, net of discounts, was primarily driven by: (i) the legalization of adult-use sales in Maryland, which began on July 1, 2023, and (ii) revenue generated from new Retail store openings as described above, partially offset by price compression.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net of discounts, for the Consumer Packaged Goods Segment were $156,323 thousand, an increase of $20,269 thousand or 15%, compared to the three months ended June 30, 2023. The increase in Consumer Packaged Goods revenues, net of discounts, was primarily driven by the legalization of adult-use sales in Maryland, which began on July 1, 2023, as well as increased production associated with the completion of various construction projects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Intersegment eliminations associated with the Consumer Packaged Goods Segment were $(80,832) thousand, an increase of $9,122 thousand or 13% compared to the three months ended June 30, 2023. The increase in intersegment eliminations was driven by increased intercompany sales, primarily to Company-owned Retail stores in Maryland, New York and Pennsylvania. Consumer Packaged Goods revenues, net of intersegment eliminations, made up 27% of total revenues during the three months ended June 30, 2024 as compared to 25% during the three months ended June 30,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vertically integrated nature of the business, the Company reviews its revenue at the Retail and Consumer Packaged Goods level while reviewing its operating results on a consolidated basis.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2024 Compared with the Six Months Ended June 30, 2023</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Retail segment were $408,434, an increase of $31,512 or 8%, compared to the six months ended June 30, 2023. The increase in Retail revenues, net of discounts, was primarily driven by: (i) the legalization of adult-use sales in Maryland, which began on July 1, 2023, and (ii) revenue generated from new Retail store openings as described above, partially offset by price compression.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Consumer Packaged Goods Segment were $306,235 thousand, an increase of $44,564 thousand or 17%, compared to the six months ended June 30, 2023. The increase in Consumer Packaged Goods revenues was primarily driven by the legalization of adult-use sales in Maryland, which began on July 1, 2023, as well as increased production associated with the completion of various construction projects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Intersegment eliminations associated with the Consumer Packaged Goods Segment were $158,716 thousand, an increase of $21,047 thousand or 15% compared to the six months ended June 30, 2023. The increase in intersegment eliminations was driven by increased intercompany sales to Company-owned retail stores primarily in Maryland, Pennsylvania, New York and New Jersey. Consumer Packaged Goods revenues, net of intersegment eliminations, made up 27% of total revenues during the six months ended June 30, 2024 as compared to 25% during the six months ended June 30,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revenue from two revenue streams: a Consumer Packaged Goods business in which it manufactures, sells and distributes its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permitted by state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2024, revenue was contributed from Retail and Consumer Packaged Goods sales across California, Connecticut, Florida, Illinois, Maryland, Massachusetts, Minnesota, Nevada, New Jersey, New York, Ohio, Pennsylvania, Rhode Island and Virginia. </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2024, the Company continued to be focused on creating sustainable, profitable growth of the Company’s business within its current markets while considering strategic acquisition and partnership opportunities. </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expenses other than the cost of goods sold consist of selling costs to support customer relationships and marketing and branding activities. It also includes a significant investment in the corporate infrastructure required to support the Company’s ongoing business.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SEC.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9627" w:type="dxa"/>
        <w:jc w:val="left"/>
        <w:tblInd w:w="0" w:type="dxa"/>
        <w:tblLayout w:type="fixed"/>
        <w:tblCellMar>
          <w:top w:w="28" w:type="dxa"/>
          <w:left w:w="28" w:type="dxa"/>
          <w:bottom w:w="28" w:type="dxa"/>
          <w:right w:w="28" w:type="dxa"/>
        </w:tblCellMar>
      </w:tblPr>
      <w:tblGrid>
        <w:gridCol w:w="4711"/>
        <w:gridCol w:w="196"/>
        <w:gridCol w:w="980"/>
        <w:gridCol w:w="304"/>
        <w:gridCol w:w="980"/>
        <w:gridCol w:w="146"/>
        <w:gridCol w:w="196"/>
        <w:gridCol w:w="922"/>
        <w:gridCol w:w="250"/>
        <w:gridCol w:w="942"/>
      </w:tblGrid>
      <w:tr>
        <w:trPr/>
        <w:tc>
          <w:tcPr>
            <w:tcW w:w="4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71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471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7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20,918</w:t>
            </w:r>
          </w:p>
        </w:tc>
        <w:tc>
          <w:tcPr>
            <w:tcW w:w="304"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52,266</w:t>
            </w:r>
          </w:p>
        </w:tc>
        <w:tc>
          <w:tcPr>
            <w:tcW w:w="250"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23,095</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net</w:t>
            </w:r>
          </w:p>
        </w:tc>
        <w:tc>
          <w:tcPr>
            <w:tcW w:w="196"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304"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250" w:type="dxa"/>
            <w:tcBorders/>
            <w:shd w:fill="FFFFFF" w:val="clear"/>
            <w:vAlign w:val="center"/>
          </w:tcPr>
          <w:p>
            <w:pPr>
              <w:pStyle w:val="TableContents"/>
              <w:bidi w:val="0"/>
              <w:spacing w:before="0" w:after="283"/>
              <w:jc w:val="center"/>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(3,262)</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vAlign w:val="center"/>
          </w:tcPr>
          <w:p>
            <w:pPr>
              <w:pStyle w:val="TableContents"/>
              <w:bidi w:val="0"/>
              <w:spacing w:before="0" w:after="283"/>
              <w:jc w:val="center"/>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5,981</w:t>
            </w:r>
          </w:p>
        </w:tc>
        <w:tc>
          <w:tcPr>
            <w:tcW w:w="304" w:type="dxa"/>
            <w:tcBorders/>
            <w:shd w:fill="CFF0FC" w:val="clear"/>
            <w:vAlign w:val="center"/>
          </w:tcPr>
          <w:p>
            <w:pPr>
              <w:pStyle w:val="TableContents"/>
              <w:bidi w:val="0"/>
              <w:spacing w:before="0" w:after="283"/>
              <w:jc w:val="center"/>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13,495</w:t>
            </w:r>
          </w:p>
        </w:tc>
        <w:tc>
          <w:tcPr>
            <w:tcW w:w="250" w:type="dxa"/>
            <w:tcBorders/>
            <w:shd w:fill="CFF0FC" w:val="clear"/>
            <w:vAlign w:val="center"/>
          </w:tcPr>
          <w:p>
            <w:pPr>
              <w:pStyle w:val="TableContents"/>
              <w:bidi w:val="0"/>
              <w:spacing w:before="0" w:after="283"/>
              <w:jc w:val="center"/>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6,685</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w:t>
            </w:r>
          </w:p>
        </w:tc>
        <w:tc>
          <w:tcPr>
            <w:tcW w:w="304"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64,048</w:t>
            </w:r>
          </w:p>
        </w:tc>
        <w:tc>
          <w:tcPr>
            <w:tcW w:w="250" w:type="dxa"/>
            <w:tcBorders/>
            <w:shd w:fill="FFFFFF" w:val="clear"/>
            <w:vAlign w:val="center"/>
          </w:tcPr>
          <w:p>
            <w:pPr>
              <w:pStyle w:val="TableContents"/>
              <w:bidi w:val="0"/>
              <w:spacing w:before="0" w:after="283"/>
              <w:jc w:val="center"/>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59,401</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w:t>
            </w:r>
          </w:p>
        </w:tc>
        <w:tc>
          <w:tcPr>
            <w:tcW w:w="196" w:type="dxa"/>
            <w:tcBorders/>
            <w:shd w:fill="CFF0FC" w:val="clear"/>
            <w:vAlign w:val="center"/>
          </w:tcPr>
          <w:p>
            <w:pPr>
              <w:pStyle w:val="TableContents"/>
              <w:bidi w:val="0"/>
              <w:spacing w:before="0" w:after="283"/>
              <w:jc w:val="center"/>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w:t>
            </w:r>
          </w:p>
        </w:tc>
        <w:tc>
          <w:tcPr>
            <w:tcW w:w="304" w:type="dxa"/>
            <w:tcBorders/>
            <w:shd w:fill="CFF0FC" w:val="clear"/>
            <w:vAlign w:val="center"/>
          </w:tcPr>
          <w:p>
            <w:pPr>
              <w:pStyle w:val="TableContents"/>
              <w:bidi w:val="0"/>
              <w:spacing w:before="0" w:after="283"/>
              <w:jc w:val="center"/>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250" w:type="dxa"/>
            <w:tcBorders/>
            <w:shd w:fill="CFF0FC" w:val="clear"/>
            <w:vAlign w:val="center"/>
          </w:tcPr>
          <w:p>
            <w:pPr>
              <w:pStyle w:val="TableContents"/>
              <w:bidi w:val="0"/>
              <w:spacing w:before="0" w:after="283"/>
              <w:jc w:val="center"/>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55,760</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47,735</w:t>
            </w:r>
          </w:p>
        </w:tc>
      </w:tr>
      <w:tr>
        <w:trPr/>
        <w:tc>
          <w:tcPr>
            <w:tcW w:w="47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82,005</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180,451</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133,000</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Non-cash</w:t>
            </w:r>
          </w:p>
        </w:tc>
        <w:tc>
          <w:tcPr>
            <w:tcW w:w="196"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304" w:type="dxa"/>
            <w:tcBorders/>
            <w:shd w:fill="FFFFFF" w:val="clear"/>
            <w:vAlign w:val="center"/>
          </w:tcPr>
          <w:p>
            <w:pPr>
              <w:pStyle w:val="TableContents"/>
              <w:bidi w:val="0"/>
              <w:spacing w:before="0" w:after="283"/>
              <w:jc w:val="center"/>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15,356</w:t>
            </w:r>
          </w:p>
        </w:tc>
        <w:tc>
          <w:tcPr>
            <w:tcW w:w="250" w:type="dxa"/>
            <w:tcBorders/>
            <w:shd w:fill="FFFFFF" w:val="clear"/>
            <w:vAlign w:val="center"/>
          </w:tcPr>
          <w:p>
            <w:pPr>
              <w:pStyle w:val="TableContents"/>
              <w:bidi w:val="0"/>
              <w:spacing w:before="0" w:after="283"/>
              <w:jc w:val="center"/>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13,620</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Transaction and Other Non-operating Costs (Income)</w:t>
            </w:r>
          </w:p>
        </w:tc>
        <w:tc>
          <w:tcPr>
            <w:tcW w:w="196" w:type="dxa"/>
            <w:tcBorders/>
            <w:shd w:fill="CFF0FC" w:val="cle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w:t>
            </w:r>
          </w:p>
        </w:tc>
      </w:tr>
      <w:tr>
        <w:trPr/>
        <w:tc>
          <w:tcPr>
            <w:tcW w:w="47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93,796</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184,344</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152,050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Company had total current liabilities of $370,579 thousand and $126,050 thousand, respectively, and cash and cash equivalents of $196,142 thousand and $161,634 thousand, respectively, to meet its current obligations. The Company had working capital of $33,223 thousand as of June 30, 2024, a decrease of $183,489 thousand as compared to December 31, 2023. This decrease in working capital was primarily associated with the change in classification of the April 30, 2021 private placement debt from a long-term liability to a current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Operating,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(used in) operating, investing and financing activities for the six months ended June 30, 2024 and 2023 were as follows: </w:t>
      </w:r>
    </w:p>
    <w:p>
      <w:pPr>
        <w:pStyle w:val="TextBody"/>
        <w:bidi w:val="0"/>
        <w:jc w:val="left"/>
        <w:rPr/>
      </w:pPr>
      <w:r>
        <w:rPr/>
        <w:t> </w:t>
      </w:r>
    </w:p>
    <w:tbl>
      <w:tblPr>
        <w:tblW w:w="6362" w:type="dxa"/>
        <w:jc w:val="left"/>
        <w:tblInd w:w="0" w:type="dxa"/>
        <w:tblLayout w:type="fixed"/>
        <w:tblCellMar>
          <w:top w:w="28" w:type="dxa"/>
          <w:left w:w="28" w:type="dxa"/>
          <w:bottom w:w="28" w:type="dxa"/>
          <w:right w:w="28" w:type="dxa"/>
        </w:tblCellMar>
      </w:tblPr>
      <w:tblGrid>
        <w:gridCol w:w="3886"/>
        <w:gridCol w:w="196"/>
        <w:gridCol w:w="927"/>
        <w:gridCol w:w="252"/>
        <w:gridCol w:w="1101"/>
      </w:tblGrid>
      <w:tr>
        <w:trPr/>
        <w:tc>
          <w:tcPr>
            <w:tcW w:w="3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388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388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104,174</w:t>
            </w:r>
          </w:p>
        </w:tc>
        <w:tc>
          <w:tcPr>
            <w:tcW w:w="25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93,028</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9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(34,323)</w:t>
            </w:r>
          </w:p>
        </w:tc>
        <w:tc>
          <w:tcPr>
            <w:tcW w:w="252"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(131,542)</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(35,343)</w:t>
            </w:r>
          </w:p>
        </w:tc>
        <w:tc>
          <w:tcPr>
            <w:tcW w:w="252"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9,858</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discussion of recently adopted/issued accounting pronouncements under Part I, Item 1, Notes to Unaudited Interim Condensed Consolidated Financial Statements, Note 1—Overview and Basis of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to our critical accounting policies and estimates from the information provided in “Management’s Discussion and Analysis of Financial Condition and Results of Operations,” included in our 2023 Form 10-K.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market risk disclosures as set forth in Part II Item 7A of our 2023 Form 10-K.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June 30,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during the second quarter of 2024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Limitations on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 </w:t>
      </w:r>
    </w:p>
    <w:p>
      <w:pPr>
        <w:pStyle w:val="TextBody"/>
        <w:bidi w:val="0"/>
        <w:spacing w:before="120" w:after="283"/>
        <w:jc w:val="left"/>
        <w:rPr/>
      </w:pPr>
      <w:bookmarkStart w:id="13" w:name="partii_item1a_risk_factors"/>
      <w:bookmarkEnd w:id="13"/>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our potential risks and uncertainties, see the information under the heading “Risk Factors” in our 2023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partii_item3_defaults_upon_senior_securi"/>
      <w:bookmarkEnd w:id="15"/>
      <w:r>
        <w:rPr>
          <w:rFonts w:ascii="Times New Roman" w:hAnsi="Times New Roman"/>
          <w:b/>
          <w:color w:val="000000"/>
          <w:sz w:val="20"/>
        </w:rPr>
        <w:t>Recent Issuer Purchases of Equity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table sets forth repurchases of our Subordinate Voting Shares during the six months ended June 30, 2024:</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23"/>
        <w:gridCol w:w="1470"/>
        <w:gridCol w:w="196"/>
        <w:gridCol w:w="1252"/>
        <w:gridCol w:w="2583"/>
        <w:gridCol w:w="196"/>
        <w:gridCol w:w="2885"/>
      </w:tblGrid>
      <w:tr>
        <w:trPr/>
        <w:tc>
          <w:tcPr>
            <w:tcW w:w="162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 except per share amounts)</w:t>
            </w:r>
          </w:p>
        </w:tc>
      </w:tr>
      <w:tr>
        <w:trPr/>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Program</w:t>
            </w:r>
            <w:r>
              <w:rPr>
                <w:rFonts w:ascii="Times New Roman" w:hAnsi="Times New Roman"/>
                <w:color w:val="000000"/>
                <w:sz w:val="16"/>
              </w:rPr>
              <w:t>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r>
      <w:tr>
        <w:trPr/>
        <w:tc>
          <w:tcPr>
            <w:tcW w:w="1623" w:type="dxa"/>
            <w:tcBorders/>
            <w:shd w:fill="FFFFFF"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January 1, 2024 through January 31, 2024</w:t>
            </w:r>
          </w:p>
        </w:tc>
        <w:tc>
          <w:tcPr>
            <w:tcW w:w="1470" w:type="dxa"/>
            <w:tcBorders/>
            <w:shd w:fill="FFFFFF" w:val="clear"/>
            <w:vAlign w:val="center"/>
          </w:tcPr>
          <w:p>
            <w:pPr>
              <w:pStyle w:val="TableContents"/>
              <w:bidi w:val="0"/>
              <w:spacing w:before="0" w:after="283"/>
              <w:jc w:val="right"/>
              <w:rPr>
                <w:color w:val="0D0D0D"/>
              </w:rPr>
            </w:pPr>
            <w:r>
              <w:rPr>
                <w:color w:val="0D0D0D"/>
              </w:rPr>
              <w:t>—</w:t>
            </w:r>
          </w:p>
        </w:tc>
        <w:tc>
          <w:tcPr>
            <w:tcW w:w="196" w:type="dxa"/>
            <w:tcBorders/>
            <w:shd w:fill="FFFFFF" w:val="clear"/>
            <w:vAlign w:val="center"/>
          </w:tcPr>
          <w:p>
            <w:pPr>
              <w:pStyle w:val="TableContents"/>
              <w:bidi w:val="0"/>
              <w:spacing w:before="0" w:after="283"/>
              <w:jc w:val="center"/>
              <w:rPr>
                <w:rFonts w:ascii="Times New Roman" w:hAnsi="Times New Roman"/>
                <w:color w:val="0D0D0D"/>
                <w:sz w:val="16"/>
              </w:rPr>
            </w:pPr>
            <w:r>
              <w:rPr>
                <w:rFonts w:ascii="Times New Roman" w:hAnsi="Times New Roman"/>
                <w:color w:val="0D0D0D"/>
                <w:sz w:val="16"/>
              </w:rPr>
              <w:t>$</w:t>
            </w:r>
          </w:p>
        </w:tc>
        <w:tc>
          <w:tcPr>
            <w:tcW w:w="1252" w:type="dxa"/>
            <w:tcBorders/>
            <w:shd w:fill="FFFFFF" w:val="clear"/>
            <w:vAlign w:val="center"/>
          </w:tcPr>
          <w:p>
            <w:pPr>
              <w:pStyle w:val="TableContents"/>
              <w:bidi w:val="0"/>
              <w:spacing w:before="0" w:after="283"/>
              <w:jc w:val="right"/>
              <w:rPr>
                <w:color w:val="0D0D0D"/>
              </w:rPr>
            </w:pPr>
            <w:r>
              <w:rPr>
                <w:color w:val="0D0D0D"/>
              </w:rPr>
              <w:t>—</w:t>
            </w:r>
          </w:p>
        </w:tc>
        <w:tc>
          <w:tcPr>
            <w:tcW w:w="2583" w:type="dxa"/>
            <w:tcBorders/>
            <w:shd w:fill="FFFFFF" w:val="clear"/>
            <w:vAlign w:val="center"/>
          </w:tcPr>
          <w:p>
            <w:pPr>
              <w:pStyle w:val="TableContents"/>
              <w:bidi w:val="0"/>
              <w:spacing w:before="0" w:after="283"/>
              <w:jc w:val="right"/>
              <w:rPr>
                <w:color w:val="0D0D0D"/>
              </w:rPr>
            </w:pPr>
            <w:r>
              <w:rPr>
                <w:color w:val="0D0D0D"/>
              </w:rPr>
              <w:t>—</w:t>
            </w:r>
          </w:p>
        </w:tc>
        <w:tc>
          <w:tcPr>
            <w:tcW w:w="196" w:type="dxa"/>
            <w:tcBorders/>
            <w:shd w:fill="FFFFFF" w:val="clear"/>
            <w:vAlign w:val="center"/>
          </w:tcPr>
          <w:p>
            <w:pPr>
              <w:pStyle w:val="TableContents"/>
              <w:bidi w:val="0"/>
              <w:spacing w:before="0" w:after="283"/>
              <w:jc w:val="center"/>
              <w:rPr>
                <w:rFonts w:ascii="Times New Roman" w:hAnsi="Times New Roman"/>
                <w:color w:val="0D0D0D"/>
                <w:sz w:val="16"/>
              </w:rPr>
            </w:pPr>
            <w:r>
              <w:rPr>
                <w:rFonts w:ascii="Times New Roman" w:hAnsi="Times New Roman"/>
                <w:color w:val="0D0D0D"/>
                <w:sz w:val="16"/>
              </w:rPr>
              <w:t>$</w:t>
            </w:r>
          </w:p>
        </w:tc>
        <w:tc>
          <w:tcPr>
            <w:tcW w:w="2885" w:type="dxa"/>
            <w:tcBorders/>
            <w:shd w:fill="FFFFFF" w:val="clear"/>
            <w:vAlign w:val="center"/>
          </w:tcPr>
          <w:p>
            <w:pPr>
              <w:pStyle w:val="TableContents"/>
              <w:bidi w:val="0"/>
              <w:spacing w:before="0" w:after="283"/>
              <w:jc w:val="right"/>
              <w:rPr>
                <w:color w:val="0D0D0D"/>
              </w:rPr>
            </w:pPr>
            <w:r>
              <w:rPr>
                <w:color w:val="0D0D0D"/>
              </w:rPr>
              <w:t>—</w:t>
            </w:r>
          </w:p>
        </w:tc>
      </w:tr>
      <w:tr>
        <w:trPr/>
        <w:tc>
          <w:tcPr>
            <w:tcW w:w="1623" w:type="dxa"/>
            <w:tcBorders/>
            <w:shd w:fill="CFF0FC"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February 1, 2024 through February 29, 2024</w:t>
            </w:r>
          </w:p>
        </w:tc>
        <w:tc>
          <w:tcPr>
            <w:tcW w:w="1470"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pPr>
            <w:r>
              <w:rPr/>
              <w:t> </w:t>
            </w:r>
          </w:p>
        </w:tc>
        <w:tc>
          <w:tcPr>
            <w:tcW w:w="1252" w:type="dxa"/>
            <w:tcBorders/>
            <w:shd w:fill="CFF0FC" w:val="clear"/>
            <w:vAlign w:val="center"/>
          </w:tcPr>
          <w:p>
            <w:pPr>
              <w:pStyle w:val="TableContents"/>
              <w:bidi w:val="0"/>
              <w:spacing w:before="0" w:after="283"/>
              <w:jc w:val="right"/>
              <w:rPr>
                <w:color w:val="0D0D0D"/>
              </w:rPr>
            </w:pPr>
            <w:r>
              <w:rPr>
                <w:color w:val="0D0D0D"/>
              </w:rPr>
              <w:t>—</w:t>
            </w:r>
          </w:p>
        </w:tc>
        <w:tc>
          <w:tcPr>
            <w:tcW w:w="2583"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pPr>
            <w:r>
              <w:rPr/>
              <w:t> </w:t>
            </w:r>
          </w:p>
        </w:tc>
        <w:tc>
          <w:tcPr>
            <w:tcW w:w="2885" w:type="dxa"/>
            <w:tcBorders/>
            <w:shd w:fill="CFF0FC" w:val="clear"/>
            <w:vAlign w:val="center"/>
          </w:tcPr>
          <w:p>
            <w:pPr>
              <w:pStyle w:val="TableContents"/>
              <w:bidi w:val="0"/>
              <w:spacing w:before="0" w:after="283"/>
              <w:jc w:val="right"/>
              <w:rPr>
                <w:color w:val="0D0D0D"/>
              </w:rPr>
            </w:pPr>
            <w:r>
              <w:rPr>
                <w:color w:val="0D0D0D"/>
              </w:rPr>
              <w:t>—</w:t>
            </w:r>
          </w:p>
        </w:tc>
      </w:tr>
      <w:tr>
        <w:trPr/>
        <w:tc>
          <w:tcPr>
            <w:tcW w:w="1623" w:type="dxa"/>
            <w:tcBorders/>
            <w:shd w:fill="FFFFFF"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March 1, 2024 through March 31, 2024</w:t>
            </w:r>
          </w:p>
        </w:tc>
        <w:tc>
          <w:tcPr>
            <w:tcW w:w="1470"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1,067,000</w:t>
            </w:r>
          </w:p>
        </w:tc>
        <w:tc>
          <w:tcPr>
            <w:tcW w:w="196" w:type="dxa"/>
            <w:tcBorders/>
            <w:shd w:fill="FFFFFF" w:val="clear"/>
            <w:vAlign w:val="center"/>
          </w:tcPr>
          <w:p>
            <w:pPr>
              <w:pStyle w:val="TableContents"/>
              <w:bidi w:val="0"/>
              <w:spacing w:before="0" w:after="283"/>
              <w:jc w:val="center"/>
              <w:rPr/>
            </w:pPr>
            <w:r>
              <w:rPr/>
              <w:t> </w:t>
            </w:r>
          </w:p>
        </w:tc>
        <w:tc>
          <w:tcPr>
            <w:tcW w:w="1252"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12.27</w:t>
            </w:r>
          </w:p>
        </w:tc>
        <w:tc>
          <w:tcPr>
            <w:tcW w:w="2583"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1,067,000</w:t>
            </w:r>
          </w:p>
        </w:tc>
        <w:tc>
          <w:tcPr>
            <w:tcW w:w="196" w:type="dxa"/>
            <w:tcBorders/>
            <w:shd w:fill="FFFFFF" w:val="clear"/>
            <w:vAlign w:val="center"/>
          </w:tcPr>
          <w:p>
            <w:pPr>
              <w:pStyle w:val="TableContents"/>
              <w:bidi w:val="0"/>
              <w:spacing w:before="0" w:after="283"/>
              <w:jc w:val="center"/>
              <w:rPr/>
            </w:pPr>
            <w:r>
              <w:rPr/>
              <w:t> </w:t>
            </w:r>
          </w:p>
        </w:tc>
        <w:tc>
          <w:tcPr>
            <w:tcW w:w="2885"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46,600</w:t>
            </w:r>
          </w:p>
        </w:tc>
      </w:tr>
      <w:tr>
        <w:trPr/>
        <w:tc>
          <w:tcPr>
            <w:tcW w:w="1623" w:type="dxa"/>
            <w:tcBorders/>
            <w:shd w:fill="CFF0FC"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April 1, 2024 through April 30, 2024</w:t>
            </w:r>
          </w:p>
        </w:tc>
        <w:tc>
          <w:tcPr>
            <w:tcW w:w="1470"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pPr>
            <w:r>
              <w:rPr/>
              <w:t> </w:t>
            </w:r>
          </w:p>
        </w:tc>
        <w:tc>
          <w:tcPr>
            <w:tcW w:w="1252" w:type="dxa"/>
            <w:tcBorders/>
            <w:shd w:fill="CFF0FC" w:val="clear"/>
            <w:vAlign w:val="center"/>
          </w:tcPr>
          <w:p>
            <w:pPr>
              <w:pStyle w:val="TableContents"/>
              <w:bidi w:val="0"/>
              <w:spacing w:before="0" w:after="283"/>
              <w:jc w:val="right"/>
              <w:rPr>
                <w:color w:val="0D0D0D"/>
              </w:rPr>
            </w:pPr>
            <w:r>
              <w:rPr>
                <w:color w:val="0D0D0D"/>
              </w:rPr>
              <w:t>—</w:t>
            </w:r>
          </w:p>
        </w:tc>
        <w:tc>
          <w:tcPr>
            <w:tcW w:w="2583"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pPr>
            <w:r>
              <w:rPr/>
              <w:t> </w:t>
            </w:r>
          </w:p>
        </w:tc>
        <w:tc>
          <w:tcPr>
            <w:tcW w:w="2885" w:type="dxa"/>
            <w:tcBorders/>
            <w:shd w:fill="CFF0FC" w:val="clear"/>
            <w:vAlign w:val="center"/>
          </w:tcPr>
          <w:p>
            <w:pPr>
              <w:pStyle w:val="TableContents"/>
              <w:bidi w:val="0"/>
              <w:spacing w:before="0" w:after="283"/>
              <w:jc w:val="right"/>
              <w:rPr>
                <w:color w:val="0D0D0D"/>
              </w:rPr>
            </w:pPr>
            <w:r>
              <w:rPr>
                <w:color w:val="0D0D0D"/>
              </w:rPr>
              <w:t>—</w:t>
            </w:r>
          </w:p>
        </w:tc>
      </w:tr>
      <w:tr>
        <w:trPr/>
        <w:tc>
          <w:tcPr>
            <w:tcW w:w="1623" w:type="dxa"/>
            <w:tcBorders/>
            <w:shd w:fill="FFFFFF"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May 1, 2024 through May 31, 2024</w:t>
            </w:r>
          </w:p>
        </w:tc>
        <w:tc>
          <w:tcPr>
            <w:tcW w:w="1470"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659,100</w:t>
            </w:r>
          </w:p>
        </w:tc>
        <w:tc>
          <w:tcPr>
            <w:tcW w:w="196" w:type="dxa"/>
            <w:tcBorders/>
            <w:shd w:fill="FFFFFF" w:val="clear"/>
            <w:vAlign w:val="center"/>
          </w:tcPr>
          <w:p>
            <w:pPr>
              <w:pStyle w:val="TableContents"/>
              <w:bidi w:val="0"/>
              <w:spacing w:before="0" w:after="283"/>
              <w:jc w:val="center"/>
              <w:rPr/>
            </w:pPr>
            <w:r>
              <w:rPr/>
              <w:t> </w:t>
            </w:r>
          </w:p>
        </w:tc>
        <w:tc>
          <w:tcPr>
            <w:tcW w:w="1252"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12.05</w:t>
            </w:r>
          </w:p>
        </w:tc>
        <w:tc>
          <w:tcPr>
            <w:tcW w:w="2583"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659,100</w:t>
            </w:r>
          </w:p>
        </w:tc>
        <w:tc>
          <w:tcPr>
            <w:tcW w:w="196" w:type="dxa"/>
            <w:tcBorders/>
            <w:shd w:fill="FFFFFF" w:val="clear"/>
            <w:vAlign w:val="center"/>
          </w:tcPr>
          <w:p>
            <w:pPr>
              <w:pStyle w:val="TableContents"/>
              <w:bidi w:val="0"/>
              <w:spacing w:before="0" w:after="283"/>
              <w:jc w:val="center"/>
              <w:rPr/>
            </w:pPr>
            <w:r>
              <w:rPr/>
              <w:t> </w:t>
            </w:r>
          </w:p>
        </w:tc>
        <w:tc>
          <w:tcPr>
            <w:tcW w:w="2885" w:type="dxa"/>
            <w:tcBorders/>
            <w:shd w:fill="FFFFFF"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38,660</w:t>
            </w:r>
          </w:p>
        </w:tc>
      </w:tr>
      <w:tr>
        <w:trPr/>
        <w:tc>
          <w:tcPr>
            <w:tcW w:w="1623" w:type="dxa"/>
            <w:tcBorders/>
            <w:shd w:fill="CFF0FC" w:val="cle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June 1, 2024 through June 30, 2024</w:t>
            </w:r>
          </w:p>
        </w:tc>
        <w:tc>
          <w:tcPr>
            <w:tcW w:w="1470" w:type="dxa"/>
            <w:tcBorders/>
            <w:shd w:fill="CFF0FC"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998,900</w:t>
            </w:r>
          </w:p>
        </w:tc>
        <w:tc>
          <w:tcPr>
            <w:tcW w:w="196" w:type="dxa"/>
            <w:tcBorders/>
            <w:shd w:fill="CFF0FC" w:val="clear"/>
            <w:vAlign w:val="center"/>
          </w:tcPr>
          <w:p>
            <w:pPr>
              <w:pStyle w:val="TableContents"/>
              <w:bidi w:val="0"/>
              <w:spacing w:before="0" w:after="283"/>
              <w:jc w:val="center"/>
              <w:rPr/>
            </w:pPr>
            <w:r>
              <w:rPr/>
              <w:t> </w:t>
            </w:r>
          </w:p>
        </w:tc>
        <w:tc>
          <w:tcPr>
            <w:tcW w:w="1252" w:type="dxa"/>
            <w:tcBorders/>
            <w:shd w:fill="CFF0FC"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12.33</w:t>
            </w:r>
          </w:p>
        </w:tc>
        <w:tc>
          <w:tcPr>
            <w:tcW w:w="2583" w:type="dxa"/>
            <w:tcBorders/>
            <w:shd w:fill="CFF0FC"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998,900</w:t>
            </w:r>
          </w:p>
        </w:tc>
        <w:tc>
          <w:tcPr>
            <w:tcW w:w="196" w:type="dxa"/>
            <w:tcBorders/>
            <w:shd w:fill="CFF0FC" w:val="clear"/>
            <w:vAlign w:val="center"/>
          </w:tcPr>
          <w:p>
            <w:pPr>
              <w:pStyle w:val="TableContents"/>
              <w:bidi w:val="0"/>
              <w:spacing w:before="0" w:after="283"/>
              <w:jc w:val="center"/>
              <w:rPr/>
            </w:pPr>
            <w:r>
              <w:rPr/>
              <w:t> </w:t>
            </w:r>
          </w:p>
        </w:tc>
        <w:tc>
          <w:tcPr>
            <w:tcW w:w="2885" w:type="dxa"/>
            <w:tcBorders/>
            <w:shd w:fill="CFF0FC" w:val="cle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26,700</w:t>
            </w:r>
          </w:p>
        </w:tc>
      </w:tr>
      <w:tr>
        <w:trPr/>
        <w:tc>
          <w:tcPr>
            <w:tcW w:w="1623" w:type="dxa"/>
            <w:tcBorders/>
            <w:shd w:fill="FFFFFF" w:val="clear"/>
            <w:vAlign w:val="center"/>
          </w:tcPr>
          <w:p>
            <w:pPr>
              <w:pStyle w:val="TableContents"/>
              <w:bidi w:val="0"/>
              <w:spacing w:before="0" w:after="283"/>
              <w:jc w:val="left"/>
              <w:rPr/>
            </w:pPr>
            <w:r>
              <w:rPr/>
              <w:t> </w:t>
            </w:r>
          </w:p>
        </w:tc>
        <w:tc>
          <w:tcPr>
            <w:tcW w:w="1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2,725,000</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12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12.27</w:t>
            </w:r>
          </w:p>
        </w:tc>
        <w:tc>
          <w:tcPr>
            <w:tcW w:w="25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2,725,000</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28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26,700</w:t>
            </w:r>
          </w:p>
        </w:tc>
      </w:tr>
    </w:tbl>
    <w:p>
      <w:pPr>
        <w:pStyle w:val="TextBody"/>
        <w:bidi w:val="0"/>
        <w:spacing w:before="36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On September 5, 2023, the Company's Board of Directors authorized the repurchase of up to 5%, or 10,486,951 of its Subordinate Voting Shares over a 12-month period at an aggregate cost of up to $50,000 thousand. On February 28, 2024, the Company's Board of Directors authorized an increase in its share repurchase program of $50,000 thousand. During the six months ended June 30, 2024, the Company repurchased 2,725,000 Subordinate Voting Shares at an average price of $12.27 per share, bringing the total remaining repurchase ability to approximately $26,700 thousand through September 10, 2024. </w:t>
      </w:r>
    </w:p>
    <w:p>
      <w:pPr>
        <w:pStyle w:val="TextBody"/>
        <w:bidi w:val="0"/>
        <w:spacing w:before="360" w:after="283"/>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Rule 10b5-1 Trading Plans. During the three months ended June 30, 2024, none of the Company's directors or Section 16 officers adopted or terminated a “Rule 10b5-1 trading arrangement” or a “non-Rule 10b5-1 trading arrangement”, as each term is defined in the Item 408(a) of Regulation S-K.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filed with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9415"/>
      </w:tblGrid>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15" w:type="dxa"/>
            <w:tcBorders/>
            <w:vAlign w:val="center"/>
          </w:tcPr>
          <w:p>
            <w:pPr>
              <w:pStyle w:val="TableContents"/>
              <w:bidi w:val="0"/>
              <w:spacing w:before="0" w:after="283"/>
              <w:jc w:val="left"/>
              <w:rPr/>
            </w:pPr>
            <w:hyperlink w:anchor="gtbif-ex31_1.htm">
              <w:r>
                <w:rPr>
                  <w:rStyle w:val="InternetLink"/>
                  <w:rFonts w:ascii="Times New Roman" w:hAnsi="Times New Roman"/>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15" w:type="dxa"/>
            <w:tcBorders/>
            <w:vAlign w:val="center"/>
          </w:tcPr>
          <w:p>
            <w:pPr>
              <w:pStyle w:val="TableContents"/>
              <w:bidi w:val="0"/>
              <w:spacing w:before="0" w:after="283"/>
              <w:jc w:val="left"/>
              <w:rPr/>
            </w:pPr>
            <w:hyperlink w:anchor="gtbif-ex31_2.htm">
              <w:r>
                <w:rPr>
                  <w:rStyle w:val="InternetLink"/>
                  <w:rFonts w:ascii="Times New Roman" w:hAnsi="Times New Roman"/>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15" w:type="dxa"/>
            <w:tcBorders/>
            <w:vAlign w:val="center"/>
          </w:tcPr>
          <w:p>
            <w:pPr>
              <w:pStyle w:val="TableContents"/>
              <w:bidi w:val="0"/>
              <w:spacing w:before="0" w:after="283"/>
              <w:jc w:val="left"/>
              <w:rPr/>
            </w:pPr>
            <w:hyperlink w:anchor="gtbif-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15" w:type="dxa"/>
            <w:tcBorders/>
            <w:vAlign w:val="center"/>
          </w:tcPr>
          <w:p>
            <w:pPr>
              <w:pStyle w:val="TableContents"/>
              <w:bidi w:val="0"/>
              <w:spacing w:before="0" w:after="283"/>
              <w:jc w:val="left"/>
              <w:rPr/>
            </w:pPr>
            <w:hyperlink w:anchor="gtbif-ex32_2.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90" w:type="dxa"/>
            <w:tcBorders/>
            <w:vAlign w:val="center"/>
          </w:tcPr>
          <w:p>
            <w:pPr>
              <w:pStyle w:val="TableContents"/>
              <w:bidi w:val="0"/>
              <w:spacing w:before="0" w:after="283"/>
              <w:jc w:val="left"/>
              <w:rPr/>
            </w:pPr>
            <w:r>
              <w:rPr/>
              <w:t> </w:t>
            </w:r>
          </w:p>
        </w:tc>
        <w:tc>
          <w:tcPr>
            <w:tcW w:w="9415"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1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 Inline XBRL File)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requirements of the Securities Exchange Act of 1934, the Company has duly caused this report to be signed on its behalf by the undersigned thereunto duly authorized.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3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3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3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3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gtbif-ex31_1.htm"/>
      <w:bookmarkStart w:id="21" w:name="ksgtbif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Benjamin Kovler,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2.htm"/>
      <w:bookmarkStart w:id="23" w:name="ksgtbif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Mathew Faulkner,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2024</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4" w:name="gtbif-ex32_1.htm"/>
      <w:bookmarkStart w:id="25" w:name="ksgtbif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2024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2024</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2.htm"/>
      <w:bookmarkStart w:id="27" w:name="ksgtbif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2024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6, 2024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17137</Words>
  <Characters>95875</Characters>
  <CharactersWithSpaces>113180</CharactersWithSpaces>
  <Paragraphs>4822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