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PURSUANT TO SECTION 13 OR 15(D)</w:t>
      </w:r>
    </w:p>
    <w:p>
      <w:pPr>
        <w:jc w:val="center"/>
        <w:ind w:right="-2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584"/>
        <w:spacing w:after="0"/>
        <w:rPr>
          <w:sz w:val="20"/>
          <w:szCs w:val="20"/>
          <w:color w:val="auto"/>
        </w:rPr>
      </w:pPr>
      <w:r>
        <w:rPr>
          <w:rFonts w:ascii="Arial" w:cs="Arial" w:eastAsia="Arial" w:hAnsi="Arial"/>
          <w:sz w:val="21"/>
          <w:szCs w:val="21"/>
          <w:b w:val="1"/>
          <w:bCs w:val="1"/>
          <w:color w:val="auto"/>
        </w:rPr>
        <w:t>Date of Report (Date of earliest event reported) March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163830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204"/>
        <w:spacing w:after="0"/>
        <w:rPr>
          <w:sz w:val="20"/>
          <w:szCs w:val="20"/>
          <w:color w:val="auto"/>
        </w:rPr>
      </w:pPr>
      <w:r>
        <w:rPr>
          <w:rFonts w:ascii="Arial" w:cs="Arial" w:eastAsia="Arial" w:hAnsi="Arial"/>
          <w:sz w:val="16"/>
          <w:szCs w:val="16"/>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98-1437430</w:t>
      </w:r>
    </w:p>
    <w:p>
      <w:pPr>
        <w:spacing w:after="0" w:line="31" w:lineRule="exact"/>
        <w:rPr>
          <w:sz w:val="24"/>
          <w:szCs w:val="24"/>
          <w:color w:val="auto"/>
        </w:rPr>
      </w:pPr>
    </w:p>
    <w:p>
      <w:pPr>
        <w:sectPr>
          <w:pgSz w:w="11900" w:h="16838" w:orient="portrait"/>
          <w:cols w:equalWidth="0" w:num="3">
            <w:col w:w="4504" w:space="720"/>
            <w:col w:w="2880" w:space="720"/>
            <w:col w:w="1900"/>
          </w:cols>
          <w:pgMar w:left="436" w:top="368" w:right="7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040"/>
          </w:cols>
          <w:pgMar w:left="436" w:top="368" w:right="739" w:bottom="1440" w:gutter="0" w:footer="0" w:header="0"/>
          <w:type w:val="continuous"/>
        </w:sectPr>
      </w:pPr>
    </w:p>
    <w:p>
      <w:pPr>
        <w:spacing w:after="0" w:line="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425 West Huron Street, Suite 412</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ind w:right="-283"/>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(312) 563-5600</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p>
      <w:pPr>
        <w:spacing w:after="0" w:line="34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p>
      <w:pPr>
        <w:ind w:left="1324"/>
        <w:spacing w:after="0"/>
        <w:tabs>
          <w:tab w:leader="none" w:pos="5104" w:val="left"/>
          <w:tab w:leader="none" w:pos="8064"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 w:lineRule="exact"/>
        <w:rPr>
          <w:sz w:val="24"/>
          <w:szCs w:val="24"/>
          <w:color w:val="auto"/>
        </w:rPr>
      </w:pPr>
    </w:p>
    <w:p>
      <w:pPr>
        <w:ind w:left="1724"/>
        <w:spacing w:after="0"/>
        <w:rPr>
          <w:sz w:val="20"/>
          <w:szCs w:val="20"/>
          <w:color w:val="auto"/>
        </w:rPr>
      </w:pPr>
      <w:r>
        <w:rPr>
          <w:rFonts w:ascii="Arial" w:cs="Arial" w:eastAsia="Arial" w:hAnsi="Arial"/>
          <w:sz w:val="18"/>
          <w:szCs w:val="18"/>
          <w:b w:val="1"/>
          <w:bCs w:val="1"/>
          <w:color w:val="auto"/>
        </w:rPr>
        <w:t>N/A</w:t>
      </w:r>
    </w:p>
    <w:p>
      <w:pPr>
        <w:spacing w:after="0" w:line="223"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7.01. Regulation FD Disclosure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26, 2020, Green Thumb Industries Inc. (the “Company”) issued a press release announcing its financial results for the year ended December 31, 2019, which referred to fourth quarter 2019 net loss of $18.3 million instead of $13.0 million and current assets as of December 31, 2019 of $109.5 million instead of 109.1 million. The Company amended and restated the release, a copy of which is attached as Exhibit 99.1.</w:t>
      </w:r>
    </w:p>
    <w:p>
      <w:pPr>
        <w:spacing w:after="0" w:line="1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Amended and restated press release dated March 26, 2020</w:t>
        </w:r>
      </w:hyperlink>
    </w:p>
    <w:p>
      <w:pPr>
        <w:sectPr>
          <w:pgSz w:w="11900" w:h="16838" w:orient="portrait"/>
          <w:cols w:equalWidth="0" w:num="1">
            <w:col w:w="10860"/>
          </w:cols>
          <w:pgMar w:left="440" w:top="270"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320" w:type="dxa"/>
            <w:vAlign w:val="bottom"/>
            <w:gridSpan w:val="2"/>
          </w:tcPr>
          <w:p>
            <w:pPr>
              <w:ind w:left="2120"/>
              <w:spacing w:after="0"/>
              <w:rPr>
                <w:sz w:val="20"/>
                <w:szCs w:val="20"/>
                <w:color w:val="auto"/>
              </w:rPr>
            </w:pPr>
            <w:r>
              <w:rPr>
                <w:rFonts w:ascii="Arial" w:cs="Arial" w:eastAsia="Arial" w:hAnsi="Arial"/>
                <w:sz w:val="18"/>
                <w:szCs w:val="18"/>
                <w:color w:val="auto"/>
              </w:rPr>
              <w:t>GREEN THUMB INDUSTRIES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March 26, 2020</w:t>
            </w:r>
          </w:p>
        </w:tc>
        <w:tc>
          <w:tcPr>
            <w:tcW w:w="2140" w:type="dxa"/>
            <w:vAlign w:val="bottom"/>
          </w:tcPr>
          <w:p>
            <w:pPr>
              <w:spacing w:after="0"/>
              <w:rPr>
                <w:sz w:val="24"/>
                <w:szCs w:val="24"/>
                <w:color w:val="auto"/>
              </w:rPr>
            </w:pP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Anthony Georgiadis</w:t>
            </w:r>
          </w:p>
        </w:tc>
      </w:tr>
      <w:tr>
        <w:trPr>
          <w:trHeight w:val="195"/>
        </w:trPr>
        <w:tc>
          <w:tcPr>
            <w:tcW w:w="37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Anthony Georgiadis</w:t>
            </w:r>
          </w:p>
        </w:tc>
      </w:tr>
      <w:tr>
        <w:trPr>
          <w:trHeight w:val="230"/>
        </w:trPr>
        <w:tc>
          <w:tcPr>
            <w:tcW w:w="3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171450</wp:posOffset>
            </wp:positionV>
            <wp:extent cx="272605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Correction: Green Thumb Industries (GTI)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Fourth Quarter Revenue of $75.8 Million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Adjusted Operating EBITDA of $14.4 Million</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In the press release published at 4:00 p.m. EST on March 26, 2020, the Fourth Quarter and Full Year 2019 Financial Highlights and Overview sections referred to fourth quarter 2019 net loss of $18.3 million instead of $13.0 million and current assets as of December 31, 2019 of $109.5 million instead of $109.1 million. Set out below is the corrected press release in its entirety.</w:t>
      </w:r>
    </w:p>
    <w:p>
      <w:pPr>
        <w:spacing w:after="0" w:line="211"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Full year revenue of $216.4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Delivers on new store opening guidance for FY 2019</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Kicks off 2020 with successful launch of Illinois adult-use cannabis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CHICAGO and VANCOUVER, British Columbia, March 26, 2020 </w:t>
      </w:r>
      <w:r>
        <w:rPr>
          <w:rFonts w:ascii="Arial" w:cs="Arial" w:eastAsia="Arial" w:hAnsi="Arial"/>
          <w:sz w:val="18"/>
          <w:szCs w:val="18"/>
          <w:color w:val="auto"/>
        </w:rPr>
        <w:t>— Green Thumb Industries Inc. (“GTI” or the “Company”) (CSE: GTII)</w:t>
      </w:r>
    </w:p>
    <w:p>
      <w:pPr>
        <w:spacing w:after="0" w:line="2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(OTCQX: GTBIF), a leading national cannabis consumer packaged goods company and owner of Rise</w:t>
      </w:r>
      <w:r>
        <w:rPr>
          <w:rFonts w:ascii="Arial" w:cs="Arial" w:eastAsia="Arial" w:hAnsi="Arial"/>
          <w:sz w:val="15"/>
          <w:szCs w:val="15"/>
          <w:color w:val="auto"/>
        </w:rPr>
        <w:t>™</w:t>
      </w:r>
      <w:r>
        <w:rPr>
          <w:rFonts w:ascii="Arial" w:cs="Arial" w:eastAsia="Arial" w:hAnsi="Arial"/>
          <w:sz w:val="18"/>
          <w:szCs w:val="18"/>
          <w:color w:val="auto"/>
        </w:rPr>
        <w:t xml:space="preserve"> and Essence retail stores, today reported its financial results for the fourth quarter and full year ended December 31, 2019. All currency is in U.S. dollars. Beginning in the fourth quarter 2019, the Company began reporting in U.S. generally accepted accounting principles (“GAAP”).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2019 Financial Highlights</w:t>
      </w:r>
    </w:p>
    <w:p>
      <w:pPr>
        <w:spacing w:after="0" w:line="131" w:lineRule="exact"/>
        <w:rPr>
          <w:sz w:val="20"/>
          <w:szCs w:val="20"/>
          <w:color w:val="auto"/>
        </w:rPr>
      </w:pPr>
    </w:p>
    <w:p>
      <w:pPr>
        <w:ind w:left="960" w:right="100" w:hanging="424"/>
        <w:spacing w:after="0" w:line="26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fourth quarter 2019 increased 265% year-over-year and 11.5% quarter-over-quarter to $75.8 million. Total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for 2019 increased 246.3% year-over-year to $216.4 million. Quarterly revenue results were driven by organic growth across the Company’s consumer products and retail businesses.</w:t>
      </w:r>
    </w:p>
    <w:p>
      <w:pPr>
        <w:spacing w:after="0" w:line="81"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Gross margin for the fourth quarter 2019 was 53.6%.</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Net Income (Loss): </w:t>
      </w:r>
      <w:r>
        <w:rPr>
          <w:rFonts w:ascii="Arial" w:cs="Arial" w:eastAsia="Arial" w:hAnsi="Arial"/>
          <w:sz w:val="18"/>
          <w:szCs w:val="18"/>
          <w:color w:val="auto"/>
        </w:rPr>
        <w:t>Net loss for the fourth quarter was $13.0 million.</w:t>
      </w:r>
    </w:p>
    <w:p>
      <w:pPr>
        <w:spacing w:after="0" w:line="130" w:lineRule="exact"/>
        <w:rPr>
          <w:rFonts w:ascii="Arial" w:cs="Arial" w:eastAsia="Arial" w:hAnsi="Arial"/>
          <w:sz w:val="18"/>
          <w:szCs w:val="18"/>
          <w:color w:val="auto"/>
        </w:rPr>
      </w:pPr>
    </w:p>
    <w:p>
      <w:pPr>
        <w:ind w:left="960" w:right="320" w:hanging="424"/>
        <w:spacing w:after="0" w:line="28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Fourth quarter 2019 EBITDA</w:t>
      </w:r>
      <w:r>
        <w:rPr>
          <w:rFonts w:ascii="Arial" w:cs="Arial" w:eastAsia="Arial" w:hAnsi="Arial"/>
          <w:sz w:val="15"/>
          <w:szCs w:val="15"/>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and Adjusted Operating EBITDA</w:t>
      </w:r>
      <w:r>
        <w:rPr>
          <w:rFonts w:ascii="Arial" w:cs="Arial" w:eastAsia="Arial" w:hAnsi="Arial"/>
          <w:sz w:val="15"/>
          <w:szCs w:val="15"/>
          <w:color w:val="auto"/>
        </w:rPr>
        <w:t>(1)</w:t>
      </w:r>
      <w:r>
        <w:rPr>
          <w:rFonts w:ascii="Arial" w:cs="Arial" w:eastAsia="Arial" w:hAnsi="Arial"/>
          <w:sz w:val="18"/>
          <w:szCs w:val="18"/>
          <w:color w:val="auto"/>
        </w:rPr>
        <w:t>, which are non-GAAP financial measures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and in an accompanying financial table in this release, was $8.4 million and $14.4 million, respectively.</w:t>
      </w:r>
    </w:p>
    <w:p>
      <w:pPr>
        <w:spacing w:after="0" w:line="67" w:lineRule="exact"/>
        <w:rPr>
          <w:rFonts w:ascii="Arial" w:cs="Arial" w:eastAsia="Arial" w:hAnsi="Arial"/>
          <w:sz w:val="18"/>
          <w:szCs w:val="18"/>
          <w:color w:val="auto"/>
        </w:rPr>
      </w:pPr>
    </w:p>
    <w:p>
      <w:pPr>
        <w:ind w:left="960" w:right="340" w:hanging="424"/>
        <w:spacing w:after="0" w:line="28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Balance Sheet: </w:t>
      </w:r>
      <w:r>
        <w:rPr>
          <w:rFonts w:ascii="Arial" w:cs="Arial" w:eastAsia="Arial" w:hAnsi="Arial"/>
          <w:sz w:val="18"/>
          <w:szCs w:val="18"/>
          <w:color w:val="auto"/>
        </w:rPr>
        <w:t>At fiscal year-end, current assets totaled $109.1 million and included cash and cash equivalents of $46.7 million. Total</w:t>
      </w:r>
      <w:r>
        <w:rPr>
          <w:rFonts w:ascii="Arial" w:cs="Arial" w:eastAsia="Arial" w:hAnsi="Arial"/>
          <w:sz w:val="18"/>
          <w:szCs w:val="18"/>
          <w:b w:val="1"/>
          <w:bCs w:val="1"/>
          <w:color w:val="auto"/>
        </w:rPr>
        <w:t xml:space="preserve"> </w:t>
      </w:r>
      <w:r>
        <w:rPr>
          <w:rFonts w:ascii="Arial" w:cs="Arial" w:eastAsia="Arial" w:hAnsi="Arial"/>
          <w:sz w:val="18"/>
          <w:szCs w:val="18"/>
          <w:color w:val="auto"/>
        </w:rPr>
        <w:t>debt outstanding was $91.3 million, $0.2 million of which is due within 12 months.</w:t>
      </w:r>
    </w:p>
    <w:p>
      <w:pPr>
        <w:spacing w:after="0" w:line="67" w:lineRule="exact"/>
        <w:rPr>
          <w:rFonts w:ascii="Arial" w:cs="Arial" w:eastAsia="Arial" w:hAnsi="Arial"/>
          <w:sz w:val="18"/>
          <w:szCs w:val="18"/>
          <w:color w:val="auto"/>
        </w:rPr>
      </w:pPr>
    </w:p>
    <w:p>
      <w:pPr>
        <w:ind w:left="960" w:right="80" w:hanging="424"/>
        <w:spacing w:after="0" w:line="258"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Capital Markets &amp; Financing: </w:t>
      </w:r>
      <w:r>
        <w:rPr>
          <w:rFonts w:ascii="Arial" w:cs="Arial" w:eastAsia="Arial" w:hAnsi="Arial"/>
          <w:sz w:val="18"/>
          <w:szCs w:val="18"/>
          <w:color w:val="auto"/>
        </w:rPr>
        <w:t>During the fourth quarter, the Company completed a sale and leaseback of its Danville, Pennsylvania</w:t>
      </w:r>
      <w:r>
        <w:rPr>
          <w:rFonts w:ascii="Arial" w:cs="Arial" w:eastAsia="Arial" w:hAnsi="Arial"/>
          <w:sz w:val="18"/>
          <w:szCs w:val="18"/>
          <w:b w:val="1"/>
          <w:bCs w:val="1"/>
          <w:color w:val="auto"/>
        </w:rPr>
        <w:t xml:space="preserve"> </w:t>
      </w:r>
      <w:r>
        <w:rPr>
          <w:rFonts w:ascii="Arial" w:cs="Arial" w:eastAsia="Arial" w:hAnsi="Arial"/>
          <w:sz w:val="18"/>
          <w:szCs w:val="18"/>
          <w:color w:val="auto"/>
        </w:rPr>
        <w:t>cultivation and manufacturing facility with Innovative Industrial Properties (“IIP”), providing it with $39.6 million of non-dilutive capital. Subsequent to year end in February and in March 2020, GTI completed a sale and leaseback transaction with IIP of its Toledo, Ohio processing facility and Oglesby, Illinois cultivation and processing facility. In aggregate, these two transactions provide the Company with $57.2 million of non-dilutive capital.</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8" w:lineRule="exact"/>
        <w:rPr>
          <w:sz w:val="20"/>
          <w:szCs w:val="20"/>
          <w:color w:val="auto"/>
        </w:rPr>
      </w:pPr>
    </w:p>
    <w:p>
      <w:pPr>
        <w:ind w:left="440" w:right="680" w:hanging="4"/>
        <w:spacing w:after="0" w:line="342" w:lineRule="auto"/>
        <w:tabs>
          <w:tab w:leader="none" w:pos="695"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EBITDA and Adjusted Operating EBITDA are non-GAAP financial measures. Please see the “Supplemental Information (Unaudited) Regarding Non-GAAP Financial Measures” at the end of this press release for a reconciliation of non-GAAP to GAAP measures.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Business Highlights</w:t>
      </w:r>
    </w:p>
    <w:p>
      <w:pPr>
        <w:spacing w:after="0" w:line="131" w:lineRule="exact"/>
        <w:rPr>
          <w:sz w:val="20"/>
          <w:szCs w:val="20"/>
          <w:color w:val="auto"/>
        </w:rPr>
      </w:pPr>
    </w:p>
    <w:p>
      <w:pPr>
        <w:ind w:left="960" w:right="380" w:hanging="424"/>
        <w:spacing w:after="0" w:line="312"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Operations: </w:t>
      </w:r>
      <w:r>
        <w:rPr>
          <w:rFonts w:ascii="Arial" w:cs="Arial" w:eastAsia="Arial" w:hAnsi="Arial"/>
          <w:sz w:val="17"/>
          <w:szCs w:val="17"/>
          <w:color w:val="auto"/>
        </w:rPr>
        <w:t>GTI successfully executed against its ‘Enter, Open, Scale’ strategy to distribute brands at scale through a combination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organic growth in its consumer products and retail business segments and strategic mergers and acquisitions.</w:t>
      </w:r>
    </w:p>
    <w:p>
      <w:pPr>
        <w:spacing w:after="0" w:line="45" w:lineRule="exact"/>
        <w:rPr>
          <w:rFonts w:ascii="Arial" w:cs="Arial" w:eastAsia="Arial" w:hAnsi="Arial"/>
          <w:sz w:val="17"/>
          <w:szCs w:val="17"/>
          <w:color w:val="auto"/>
        </w:rPr>
      </w:pPr>
    </w:p>
    <w:p>
      <w:pPr>
        <w:jc w:val="both"/>
        <w:ind w:left="1420" w:hanging="331"/>
        <w:spacing w:after="0" w:line="303" w:lineRule="auto"/>
        <w:tabs>
          <w:tab w:leader="none" w:pos="142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Enter: </w:t>
      </w:r>
      <w:r>
        <w:rPr>
          <w:rFonts w:ascii="Arial" w:cs="Arial" w:eastAsia="Arial" w:hAnsi="Arial"/>
          <w:sz w:val="16"/>
          <w:szCs w:val="16"/>
          <w:color w:val="auto"/>
        </w:rPr>
        <w:t>During fiscal year 2019, the Company entered four new markets, California, Colorado, Connecticut and New York with four</w:t>
      </w:r>
      <w:r>
        <w:rPr>
          <w:rFonts w:ascii="Arial" w:cs="Arial" w:eastAsia="Arial" w:hAnsi="Arial"/>
          <w:sz w:val="16"/>
          <w:szCs w:val="16"/>
          <w:b w:val="1"/>
          <w:bCs w:val="1"/>
          <w:color w:val="auto"/>
        </w:rPr>
        <w:t xml:space="preserve"> </w:t>
      </w:r>
      <w:r>
        <w:rPr>
          <w:rFonts w:ascii="Arial" w:cs="Arial" w:eastAsia="Arial" w:hAnsi="Arial"/>
          <w:sz w:val="16"/>
          <w:szCs w:val="16"/>
          <w:color w:val="auto"/>
        </w:rPr>
        <w:t>cultivation and processing facilities and 20 retail licenses (eight of which are operating) via the closing of the acquisitions of Integral Associates, For Success Holdings, MC Brands, Advanced Grow Labs, and Fiorello Pharmaceuticals. In addition, GTI was awarded a cultivation license and processing license in Ohio, three retail licenses in California, and a cultivation license in Maryland.</w:t>
      </w:r>
    </w:p>
    <w:p>
      <w:pPr>
        <w:spacing w:after="0" w:line="56" w:lineRule="exact"/>
        <w:rPr>
          <w:rFonts w:ascii="Arial" w:cs="Arial" w:eastAsia="Arial" w:hAnsi="Arial"/>
          <w:sz w:val="16"/>
          <w:szCs w:val="16"/>
          <w:color w:val="auto"/>
        </w:rPr>
      </w:pPr>
    </w:p>
    <w:p>
      <w:pPr>
        <w:ind w:left="1420" w:right="240" w:hanging="331"/>
        <w:spacing w:after="0" w:line="282"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Open: </w:t>
      </w:r>
      <w:r>
        <w:rPr>
          <w:rFonts w:ascii="Arial" w:cs="Arial" w:eastAsia="Arial" w:hAnsi="Arial"/>
          <w:sz w:val="18"/>
          <w:szCs w:val="18"/>
          <w:color w:val="auto"/>
        </w:rPr>
        <w:t>The Company opened 20 stores nationwide and ended the year with 39 retail locations, delivering on its target guidance of</w:t>
      </w:r>
      <w:r>
        <w:rPr>
          <w:rFonts w:ascii="Arial" w:cs="Arial" w:eastAsia="Arial" w:hAnsi="Arial"/>
          <w:sz w:val="18"/>
          <w:szCs w:val="18"/>
          <w:b w:val="1"/>
          <w:bCs w:val="1"/>
          <w:color w:val="auto"/>
        </w:rPr>
        <w:t xml:space="preserve"> </w:t>
      </w:r>
      <w:r>
        <w:rPr>
          <w:rFonts w:ascii="Arial" w:cs="Arial" w:eastAsia="Arial" w:hAnsi="Arial"/>
          <w:sz w:val="18"/>
          <w:szCs w:val="18"/>
          <w:color w:val="auto"/>
        </w:rPr>
        <w:t>35-40 stores.</w:t>
      </w:r>
    </w:p>
    <w:p>
      <w:pPr>
        <w:spacing w:after="0" w:line="67" w:lineRule="exact"/>
        <w:rPr>
          <w:rFonts w:ascii="Arial" w:cs="Arial" w:eastAsia="Arial" w:hAnsi="Arial"/>
          <w:sz w:val="18"/>
          <w:szCs w:val="18"/>
          <w:color w:val="auto"/>
        </w:rPr>
      </w:pPr>
    </w:p>
    <w:p>
      <w:pPr>
        <w:ind w:left="1420" w:right="40" w:hanging="331"/>
        <w:spacing w:after="0" w:line="277" w:lineRule="auto"/>
        <w:tabs>
          <w:tab w:leader="none" w:pos="142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Scale: </w:t>
      </w:r>
      <w:r>
        <w:rPr>
          <w:rFonts w:ascii="Arial" w:cs="Arial" w:eastAsia="Arial" w:hAnsi="Arial"/>
          <w:sz w:val="17"/>
          <w:szCs w:val="17"/>
          <w:color w:val="auto"/>
        </w:rPr>
        <w:t>GTI made significant investments to further scale the distribution of its branded products including expanding capacity,</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standardization and automation initiatives across Illinois, Massachusetts and Pennsylvania. In Nevada, the Company scaled brand distribution by adding two cultivation and manufacturing facilities and 12 retail stores through the acquisition of Integral Associates. The Company also broadened its brand portfolio to include Beboe (marking its entry into the CBD and beauty market) and incredibles (a portfolio of chocolate and gummy THC and CBD infused edibles).</w:t>
      </w:r>
    </w:p>
    <w:p>
      <w:pPr>
        <w:spacing w:after="0" w:line="73" w:lineRule="exact"/>
        <w:rPr>
          <w:rFonts w:ascii="Arial" w:cs="Arial" w:eastAsia="Arial" w:hAnsi="Arial"/>
          <w:sz w:val="17"/>
          <w:szCs w:val="17"/>
          <w:color w:val="auto"/>
        </w:rPr>
      </w:pPr>
    </w:p>
    <w:p>
      <w:pPr>
        <w:ind w:left="960" w:right="100" w:hanging="424"/>
        <w:spacing w:after="0" w:line="266"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Team: </w:t>
      </w:r>
      <w:r>
        <w:rPr>
          <w:rFonts w:ascii="Arial" w:cs="Arial" w:eastAsia="Arial" w:hAnsi="Arial"/>
          <w:sz w:val="18"/>
          <w:szCs w:val="18"/>
          <w:color w:val="auto"/>
        </w:rPr>
        <w:t>Tripled headcount by adding over 1,000 new team members, including several key executives bringing total headcount at year end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approximately 1,600 nationwide. GTI also added two new seasoned members to its board of directors – William Gruver and Alex Yemenidjian. GTI was also named a 2019 Best Workplace by </w:t>
      </w:r>
      <w:r>
        <w:rPr>
          <w:rFonts w:ascii="Arial" w:cs="Arial" w:eastAsia="Arial" w:hAnsi="Arial"/>
          <w:sz w:val="18"/>
          <w:szCs w:val="18"/>
          <w:i w:val="1"/>
          <w:iCs w:val="1"/>
          <w:color w:val="auto"/>
        </w:rPr>
        <w:t>MG Retailer</w:t>
      </w:r>
      <w:r>
        <w:rPr>
          <w:rFonts w:ascii="Arial" w:cs="Arial" w:eastAsia="Arial" w:hAnsi="Arial"/>
          <w:sz w:val="18"/>
          <w:szCs w:val="18"/>
          <w:color w:val="auto"/>
        </w:rPr>
        <w:t xml:space="preserve"> magazine.</w:t>
      </w:r>
    </w:p>
    <w:p>
      <w:pPr>
        <w:spacing w:after="0" w:line="81" w:lineRule="exact"/>
        <w:rPr>
          <w:rFonts w:ascii="Arial" w:cs="Arial" w:eastAsia="Arial" w:hAnsi="Arial"/>
          <w:sz w:val="18"/>
          <w:szCs w:val="18"/>
          <w:color w:val="auto"/>
        </w:rPr>
      </w:pPr>
    </w:p>
    <w:p>
      <w:pPr>
        <w:ind w:left="960" w:right="40" w:hanging="424"/>
        <w:spacing w:after="0" w:line="258"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Community Impact: </w:t>
      </w:r>
      <w:r>
        <w:rPr>
          <w:rFonts w:ascii="Arial" w:cs="Arial" w:eastAsia="Arial" w:hAnsi="Arial"/>
          <w:sz w:val="18"/>
          <w:szCs w:val="18"/>
          <w:color w:val="auto"/>
        </w:rPr>
        <w:t>In August GTI launched its License Education Application Program (LEAP) in Illinois to help reduce the barriers to</w:t>
      </w:r>
      <w:r>
        <w:rPr>
          <w:rFonts w:ascii="Arial" w:cs="Arial" w:eastAsia="Arial" w:hAnsi="Arial"/>
          <w:sz w:val="18"/>
          <w:szCs w:val="18"/>
          <w:b w:val="1"/>
          <w:bCs w:val="1"/>
          <w:color w:val="auto"/>
        </w:rPr>
        <w:t xml:space="preserve"> </w:t>
      </w:r>
      <w:r>
        <w:rPr>
          <w:rFonts w:ascii="Arial" w:cs="Arial" w:eastAsia="Arial" w:hAnsi="Arial"/>
          <w:sz w:val="18"/>
          <w:szCs w:val="18"/>
          <w:color w:val="auto"/>
        </w:rPr>
        <w:t>cannabis business ownership for minorities and others most affected by the war on drugs. Since launch, this pro-bono program has counseled hundreds of applicants in the Illinois dispensary applications process. GTI continues to assist Illinois craft grower, infuser and transporter license applicants. Once winners are announced, GTI will shift from application assistance to an incubator program for a limited number of social equity entrepreneurs.</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Subsequent to the fourth quarter, GTI activated an executive Response Team to address the challenges presented by COVID-19 and continues to operate its stores and facilities, which have been deemed essential businesses in states that have directed non-essential businesses to close.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“2019 was an exceptional year for Green Thumb and we’re proud to be doing what we say we’re going to do. Our strategy to distribute brands at scale while being laser-focused on profitability delivered $216 million in annual revenue, 20 new store openings, positive operating EBITDA and a solid balance sheet to support our growth initiatives in 2020. We will continue to be guided by our disciplined approach to capital allocation and focus on the bottom line and, of course, the rapidly evolving situation with respect to COVID-19,” said GTI Founder and Chief Executive Officer Ben Kovler.</w:t>
      </w:r>
    </w:p>
    <w:p>
      <w:pPr>
        <w:spacing w:after="0" w:line="15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significant investments we made to scale our key markets during the second half of 2019 set us up to win. In January 2020, we successfully launched adult-use sales in Illinois against the backdrop of challenging demand and supply dynamics,” Kovler continued. “We currently operate six stores that offer adult-use sales in Illinois, two of which are the only adult-use only stores in the state. Illinois is a model for what’s to come in states like Pennsylvania, New Jersey and Connecticut where we also have a strong position and are actively scaling. Also, I’m pleased to report that we began reporting with the SEC as a U.S. domestic issuer effective last month and will prepare our consolidated financial statements under GAAP. This is a positive step that aligns with our business operations and commitment to providing our shareholders with increased transparency and comfort through our reporting. Finally, I’m proud of our team for all of their hard work and look forward to the many opportunities that lie ahead.”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Packaged Goods Business Development</w:t>
      </w:r>
    </w:p>
    <w:p>
      <w:pPr>
        <w:spacing w:after="0" w:line="135" w:lineRule="exact"/>
        <w:rPr>
          <w:sz w:val="20"/>
          <w:szCs w:val="20"/>
          <w:color w:val="auto"/>
        </w:rPr>
      </w:pPr>
    </w:p>
    <w:p>
      <w:pPr>
        <w:ind w:left="960" w:right="38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2019, GTI’s family of consumer brands are produced, distributed, and available in retail locations in eight states (California, Colorado, Florida, Illinois, Maryland, Massachusetts, Nevada and Pennsylvania), supporting the growing scale of branded product distribution.</w:t>
      </w:r>
    </w:p>
    <w:p>
      <w:pPr>
        <w:spacing w:after="0" w:line="89" w:lineRule="exact"/>
        <w:rPr>
          <w:rFonts w:ascii="Arial" w:cs="Arial" w:eastAsia="Arial" w:hAnsi="Arial"/>
          <w:sz w:val="18"/>
          <w:szCs w:val="18"/>
          <w:color w:val="auto"/>
        </w:rPr>
      </w:pPr>
    </w:p>
    <w:p>
      <w:pPr>
        <w:ind w:left="960" w:right="40" w:hanging="424"/>
        <w:spacing w:after="0" w:line="342"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Branded product sales grew approximately 10% quarter over quarter, particularly driven by market growth in Illinois and Pennsylvania. As of December 31, 2019, GTI’s branded products are sold in over 700 retail stores, including the Company’s Rise and Essence retail stores.</w:t>
      </w:r>
    </w:p>
    <w:p>
      <w:pPr>
        <w:spacing w:after="0" w:line="29" w:lineRule="exact"/>
        <w:rPr>
          <w:rFonts w:ascii="Arial" w:cs="Arial" w:eastAsia="Arial" w:hAnsi="Arial"/>
          <w:sz w:val="16"/>
          <w:szCs w:val="16"/>
          <w:color w:val="auto"/>
        </w:rPr>
      </w:pPr>
    </w:p>
    <w:p>
      <w:pPr>
        <w:ind w:left="96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July 2019, GTI began cultivation operations in Maryland, supporting existing processing and production operations in the state. The first harvest was in December.</w:t>
      </w:r>
    </w:p>
    <w:p>
      <w:pPr>
        <w:spacing w:after="0" w:line="75" w:lineRule="exact"/>
        <w:rPr>
          <w:rFonts w:ascii="Arial" w:cs="Arial" w:eastAsia="Arial" w:hAnsi="Arial"/>
          <w:sz w:val="18"/>
          <w:szCs w:val="18"/>
          <w:color w:val="auto"/>
        </w:rPr>
      </w:pPr>
    </w:p>
    <w:p>
      <w:pPr>
        <w:ind w:left="960" w:right="22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Capacity expansion efforts of the Company’s cultivation and manufacturing facilities continue to progress according to plan in Illinois, Massachusetts, Pennsylvania, New Jersey and Ohio. GTI’s New Jersey and Ohio facilities are on track for revenue contribution from the production and distribution of GTI’s branded product portfolio by Q3 2020.</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4</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8" w:lineRule="exact"/>
        <w:rPr>
          <w:sz w:val="20"/>
          <w:szCs w:val="20"/>
          <w:color w:val="auto"/>
        </w:rPr>
      </w:pPr>
    </w:p>
    <w:p>
      <w:pPr>
        <w:ind w:left="960" w:right="18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Dogwalkers, the Company’s brand of pre-rolls, won a prestigious Clio award in the brand design category and the Rythm Brownie Scout strain was voted best strain by the public in the Chicago Reader Best of Chicago 2019 Awards.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Development</w:t>
      </w:r>
    </w:p>
    <w:p>
      <w:pPr>
        <w:spacing w:after="0" w:line="135" w:lineRule="exact"/>
        <w:rPr>
          <w:sz w:val="20"/>
          <w:szCs w:val="20"/>
          <w:color w:val="auto"/>
        </w:rPr>
      </w:pPr>
    </w:p>
    <w:p>
      <w:pPr>
        <w:ind w:left="960" w:right="36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Retail revenue increased 20% quarter over quarter, driven by organic growth generated from increased transaction activity in the Company’s retail stores, and new store openings across Florida, New Jersey, Ohio, and Pennsylvania. Fourth quarter revenue included sales generated from 39 open stores across GTI’s retail footprint.</w:t>
      </w:r>
    </w:p>
    <w:p>
      <w:pPr>
        <w:spacing w:after="0" w:line="89" w:lineRule="exact"/>
        <w:rPr>
          <w:rFonts w:ascii="Arial" w:cs="Arial" w:eastAsia="Arial" w:hAnsi="Arial"/>
          <w:sz w:val="18"/>
          <w:szCs w:val="18"/>
          <w:color w:val="auto"/>
        </w:rPr>
      </w:pPr>
    </w:p>
    <w:p>
      <w:pPr>
        <w:ind w:left="960" w:right="720" w:hanging="424"/>
        <w:spacing w:after="0" w:line="308"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Comparable sales growth (stores open for at least 12 months) exceeded 50% on a base of 14 stores, driven primarily by increased transactions. Quarter-over-quarter comparable sales were up approximately 15% off a base of 19 stores.</w:t>
      </w:r>
    </w:p>
    <w:p>
      <w:pPr>
        <w:spacing w:after="0" w:line="51" w:lineRule="exact"/>
        <w:rPr>
          <w:rFonts w:ascii="Arial" w:cs="Arial" w:eastAsia="Arial" w:hAnsi="Arial"/>
          <w:sz w:val="17"/>
          <w:szCs w:val="17"/>
          <w:color w:val="auto"/>
        </w:rPr>
      </w:pPr>
    </w:p>
    <w:p>
      <w:pPr>
        <w:ind w:left="960" w:right="32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October 5, 2019, the Company expanded its footprint in the Connecticut retail market with the acquisition of Bluepoint Wellness, a medical dispensary located in the city of Branford. The acquisition complements its cultivation center in West Haven and a store in Westport, Connecticut that opened in December 2019.</w:t>
      </w:r>
    </w:p>
    <w:p>
      <w:pPr>
        <w:spacing w:after="0" w:line="89" w:lineRule="exact"/>
        <w:rPr>
          <w:rFonts w:ascii="Arial" w:cs="Arial" w:eastAsia="Arial" w:hAnsi="Arial"/>
          <w:sz w:val="18"/>
          <w:szCs w:val="18"/>
          <w:color w:val="auto"/>
        </w:rPr>
      </w:pPr>
    </w:p>
    <w:p>
      <w:pPr>
        <w:ind w:left="960" w:hanging="424"/>
        <w:spacing w:after="0" w:line="286"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preparation for the opening of Illinois’ adult-use market on January 1, 2020, GTI successfully converted four stores during the quarter to offer adult-use cannabis products on day one of recreational sales. Subsequent to the quarter, GTI opened the state’s only adult-use only stores (Rise</w:t>
      </w:r>
      <w:r>
        <w:rPr>
          <w:rFonts w:ascii="Arial" w:cs="Arial" w:eastAsia="Arial" w:hAnsi="Arial"/>
          <w:sz w:val="14"/>
          <w:szCs w:val="14"/>
          <w:color w:val="auto"/>
        </w:rPr>
        <w:t>™</w:t>
      </w:r>
      <w:r>
        <w:rPr>
          <w:rFonts w:ascii="Arial" w:cs="Arial" w:eastAsia="Arial" w:hAnsi="Arial"/>
          <w:sz w:val="17"/>
          <w:szCs w:val="17"/>
          <w:color w:val="auto"/>
        </w:rPr>
        <w:t xml:space="preserve"> Joliet and Rise</w:t>
      </w:r>
      <w:r>
        <w:rPr>
          <w:rFonts w:ascii="Arial" w:cs="Arial" w:eastAsia="Arial" w:hAnsi="Arial"/>
          <w:sz w:val="14"/>
          <w:szCs w:val="14"/>
          <w:color w:val="auto"/>
        </w:rPr>
        <w:t>™</w:t>
      </w:r>
      <w:r>
        <w:rPr>
          <w:rFonts w:ascii="Arial" w:cs="Arial" w:eastAsia="Arial" w:hAnsi="Arial"/>
          <w:sz w:val="17"/>
          <w:szCs w:val="17"/>
          <w:color w:val="auto"/>
        </w:rPr>
        <w:t xml:space="preserve"> Quincy), bringing total stores open for adult-use sales in Illinois to six.</w:t>
      </w:r>
    </w:p>
    <w:p>
      <w:pPr>
        <w:spacing w:after="0" w:line="70" w:lineRule="exact"/>
        <w:rPr>
          <w:rFonts w:ascii="Arial" w:cs="Arial" w:eastAsia="Arial" w:hAnsi="Arial"/>
          <w:sz w:val="17"/>
          <w:szCs w:val="17"/>
          <w:color w:val="auto"/>
        </w:rPr>
      </w:pPr>
    </w:p>
    <w:p>
      <w:pPr>
        <w:ind w:left="960" w:hanging="424"/>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quarter, GTI opened six new stores across five states, bringing total new stores opened during fiscal year 2019 to 20:</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Pennsylvania: Opened Rise</w:t>
      </w:r>
      <w:r>
        <w:rPr>
          <w:rFonts w:ascii="Arial" w:cs="Arial" w:eastAsia="Arial" w:hAnsi="Arial"/>
          <w:sz w:val="15"/>
          <w:szCs w:val="15"/>
          <w:color w:val="auto"/>
        </w:rPr>
        <w:t>™</w:t>
      </w:r>
      <w:r>
        <w:rPr>
          <w:rFonts w:ascii="Arial" w:cs="Arial" w:eastAsia="Arial" w:hAnsi="Arial"/>
          <w:sz w:val="18"/>
          <w:szCs w:val="18"/>
          <w:color w:val="auto"/>
        </w:rPr>
        <w:t xml:space="preserve"> King of Prussia and New Castle, bringing total open stores in the state to nine.</w:t>
      </w:r>
    </w:p>
    <w:p>
      <w:pPr>
        <w:spacing w:after="0" w:line="130" w:lineRule="exact"/>
        <w:rPr>
          <w:rFonts w:ascii="Arial" w:cs="Arial" w:eastAsia="Arial" w:hAnsi="Arial"/>
          <w:sz w:val="18"/>
          <w:szCs w:val="18"/>
          <w:color w:val="auto"/>
        </w:rPr>
      </w:pPr>
    </w:p>
    <w:p>
      <w:pPr>
        <w:ind w:left="1420" w:right="120" w:hanging="331"/>
        <w:spacing w:after="0" w:line="277" w:lineRule="auto"/>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Connecticut: Opened BluePoint Wellness Westport, Westport, Connecticut’s first retail cannabis store and GTI’s second store in the state.</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Ohio: Opened Rise</w:t>
      </w:r>
      <w:r>
        <w:rPr>
          <w:rFonts w:ascii="Arial" w:cs="Arial" w:eastAsia="Arial" w:hAnsi="Arial"/>
          <w:sz w:val="15"/>
          <w:szCs w:val="15"/>
          <w:color w:val="auto"/>
        </w:rPr>
        <w:t>™</w:t>
      </w:r>
      <w:r>
        <w:rPr>
          <w:rFonts w:ascii="Arial" w:cs="Arial" w:eastAsia="Arial" w:hAnsi="Arial"/>
          <w:sz w:val="18"/>
          <w:szCs w:val="18"/>
          <w:color w:val="auto"/>
        </w:rPr>
        <w:t xml:space="preserve"> Lakewood, the city’s first retail cannabis store and GTI’s fourth store in the state.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8"/>
        </w:numPr>
        <w:rPr>
          <w:rFonts w:ascii="Arial" w:cs="Arial" w:eastAsia="Arial" w:hAnsi="Arial"/>
          <w:sz w:val="17"/>
          <w:szCs w:val="17"/>
          <w:color w:val="auto"/>
        </w:rPr>
      </w:pPr>
      <w:r>
        <w:rPr>
          <w:rFonts w:ascii="Arial" w:cs="Arial" w:eastAsia="Arial" w:hAnsi="Arial"/>
          <w:sz w:val="17"/>
          <w:szCs w:val="17"/>
          <w:color w:val="auto"/>
        </w:rPr>
        <w:t>New Jersey: Opened Rise</w:t>
      </w:r>
      <w:r>
        <w:rPr>
          <w:rFonts w:ascii="Arial" w:cs="Arial" w:eastAsia="Arial" w:hAnsi="Arial"/>
          <w:sz w:val="14"/>
          <w:szCs w:val="14"/>
          <w:color w:val="auto"/>
        </w:rPr>
        <w:t>™</w:t>
      </w:r>
      <w:r>
        <w:rPr>
          <w:rFonts w:ascii="Arial" w:cs="Arial" w:eastAsia="Arial" w:hAnsi="Arial"/>
          <w:sz w:val="17"/>
          <w:szCs w:val="17"/>
          <w:color w:val="auto"/>
        </w:rPr>
        <w:t xml:space="preserve"> Paterson, marking the first of the 2018 New Jersey license award winners to become operational.</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1"/>
          <w:numId w:val="8"/>
        </w:numPr>
        <w:rPr>
          <w:rFonts w:ascii="Arial" w:cs="Arial" w:eastAsia="Arial" w:hAnsi="Arial"/>
          <w:sz w:val="16"/>
          <w:szCs w:val="16"/>
          <w:color w:val="auto"/>
        </w:rPr>
      </w:pPr>
      <w:r>
        <w:rPr>
          <w:rFonts w:ascii="Arial" w:cs="Arial" w:eastAsia="Arial" w:hAnsi="Arial"/>
          <w:sz w:val="16"/>
          <w:szCs w:val="16"/>
          <w:color w:val="auto"/>
        </w:rPr>
        <w:t>Florida: Opened Rise</w:t>
      </w:r>
      <w:r>
        <w:rPr>
          <w:rFonts w:ascii="Arial" w:cs="Arial" w:eastAsia="Arial" w:hAnsi="Arial"/>
          <w:sz w:val="13"/>
          <w:szCs w:val="13"/>
          <w:color w:val="auto"/>
        </w:rPr>
        <w:t>™</w:t>
      </w:r>
      <w:r>
        <w:rPr>
          <w:rFonts w:ascii="Arial" w:cs="Arial" w:eastAsia="Arial" w:hAnsi="Arial"/>
          <w:sz w:val="16"/>
          <w:szCs w:val="16"/>
          <w:color w:val="auto"/>
        </w:rPr>
        <w:t xml:space="preserve"> West Palm Beach, bringing total open stores in the state to six with licenses to open 29 additional locations.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GTI currently has 41 open stores across the nation with licenses to open a total of 96.</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5</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2019 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results are prepared in accordance with GAAP. See “Transition from IFRS to U.S. GAAP Accounting” below for more details.</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revenue for the fourth quarter 2019 was $75.8 million, up 265% from $20.8 million for the fourth quarter 2018 and up 11.5% from $68 million for the third quarter 2019. For the full year 2019, total revenue was $216.4 million, up 246.3% from the prior year. Revenue growth was driven by the expanded distribution of GTI’s branded product portfolio primarily in Illinois and Pennsylvania and new store openings and increased store traffic to GTI’s 39 open and operating retail stores, particularly in Florida, Illinois, and Pennsylvania.</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fourth quarter 2019, GTI generated revenue from all 12 of its markets: California, Colorado, Connecticut, Florida, Illinois, Maryland, Massachusetts, Nevada, New Jersey, New York, Ohio and Pennsylvania. The Company continued to invest in the build out related to the cultivation and manufacturing capabilities in Illinois, Massachusetts, New Jersey, Ohio, and Pennsylvania.</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Gross profit for the fourth quarter was $40.6 million, or 54% of revenue. Gross margin performance was driven by increased operating leverage at its cultivation and manufacturing facilities, incremental contribution from increased volume from retail sales, and increased consumer products sales through GTI’s owned retail stores.</w:t>
      </w:r>
    </w:p>
    <w:p>
      <w:pPr>
        <w:spacing w:after="0" w:line="1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Selling, general and administrative (“SG&amp;A”) expenses for the fourth quarter were $45.6 million, or 60.2% of revenue. SG&amp;A expenses include $12.7 million of non-cash depreciation and amortization expense and $5.0 million in non-cash expenses related to stock-based compensation for the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Total other expenses were $4.1 million for the fourth quarter, and include cash interest expense and other expenses.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GTI generated Adjusted Operating EBITDA of $14.4 million, or 18.9% of revenue, for the fourth quarter 2019. Net loss attributable to GTI for the fourth quarter was $13.0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Liquidity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2019, current assets were $109.1 million, including cash and cash equivalents of $46.7 million. The Company had $91.3 million of total debt.</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Total shares on a fully converted basis and a fully diluted basis including options, warrants and restricted stock units (RSUs) were 215,172,575 at December 31, 2019.</w:t>
      </w:r>
    </w:p>
    <w:p>
      <w:pPr>
        <w:sectPr>
          <w:pgSz w:w="11900" w:h="16838" w:orient="portrait"/>
          <w:cols w:equalWidth="0" w:num="1">
            <w:col w:w="10980"/>
          </w:cols>
          <w:pgMar w:left="440" w:top="274" w:right="47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6</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Capital Markets &amp; Financing</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During and subsequent to the fourth quarter of 2019, the Company completed three sale and leaseback transactions with IIP for the following facilities:</w:t>
      </w:r>
    </w:p>
    <w:p>
      <w:pPr>
        <w:spacing w:after="0" w:line="46" w:lineRule="exact"/>
        <w:rPr>
          <w:sz w:val="20"/>
          <w:szCs w:val="20"/>
          <w:color w:val="auto"/>
        </w:rPr>
      </w:pPr>
    </w:p>
    <w:p>
      <w:pPr>
        <w:ind w:left="264" w:hanging="264"/>
        <w:spacing w:after="0"/>
        <w:tabs>
          <w:tab w:leader="none" w:pos="264" w:val="left"/>
        </w:tabs>
        <w:numPr>
          <w:ilvl w:val="0"/>
          <w:numId w:val="9"/>
        </w:numPr>
        <w:rPr>
          <w:rFonts w:ascii="Arial" w:cs="Arial" w:eastAsia="Arial" w:hAnsi="Arial"/>
          <w:sz w:val="16"/>
          <w:szCs w:val="16"/>
          <w:color w:val="auto"/>
        </w:rPr>
      </w:pPr>
      <w:r>
        <w:rPr>
          <w:rFonts w:ascii="Arial" w:cs="Arial" w:eastAsia="Arial" w:hAnsi="Arial"/>
          <w:sz w:val="16"/>
          <w:szCs w:val="16"/>
          <w:color w:val="auto"/>
        </w:rPr>
        <w:t>November 12, 2019 - Danville, Pennsylvania cultivation and manufacturing facility for total investment value of $39.6 million; (2) February 3, 2020</w:t>
      </w:r>
    </w:p>
    <w:p>
      <w:pPr>
        <w:spacing w:after="0" w:line="32" w:lineRule="exact"/>
        <w:rPr>
          <w:rFonts w:ascii="Arial" w:cs="Arial" w:eastAsia="Arial" w:hAnsi="Arial"/>
          <w:sz w:val="16"/>
          <w:szCs w:val="16"/>
          <w:color w:val="auto"/>
        </w:rPr>
      </w:pPr>
    </w:p>
    <w:p>
      <w:pPr>
        <w:ind w:left="4" w:right="540"/>
        <w:spacing w:after="0" w:line="323" w:lineRule="auto"/>
        <w:rPr>
          <w:rFonts w:ascii="Arial" w:cs="Arial" w:eastAsia="Arial" w:hAnsi="Arial"/>
          <w:sz w:val="16"/>
          <w:szCs w:val="16"/>
          <w:color w:val="auto"/>
        </w:rPr>
      </w:pPr>
      <w:r>
        <w:rPr>
          <w:rFonts w:ascii="Arial" w:cs="Arial" w:eastAsia="Arial" w:hAnsi="Arial"/>
          <w:sz w:val="16"/>
          <w:szCs w:val="16"/>
          <w:color w:val="auto"/>
        </w:rPr>
        <w:t>– Toledo, Ohio processing facility for total investment value of $7.2 million; and (3) March 9, 2020 – Oglesby, Illinois cultivation and processing facility for total investment value of $50 million. Proceeds from the transactions will be used to support strategic expansion initiatives.</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Transition from IFRS to U.S. GAAP Reporting</w:t>
      </w:r>
    </w:p>
    <w:p>
      <w:pPr>
        <w:spacing w:after="0" w:line="121"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GTI is now registered with the U.S. Securities and Exchange Commission (SEC) and will be reporting in GAAP. GTI’s registration with the SEC to become a U.S. domestic issuer became effective in February 2020. GTI’s domestic issuer status reflects that more than 50% of the Company’s outstanding voting securities are held by residents of the U.S. and the majority of the Company’s directors are U.S. citizens. As a result of the transition, GTI will prepare its consolidated financial statements, including the Company’s December 31, 2019 audited annual consolidated financial statements, in conformity with U.S. GAAP.</w:t>
      </w:r>
    </w:p>
    <w:p>
      <w:pPr>
        <w:spacing w:after="0" w:line="188"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 xml:space="preserve">Additional information relating to the Company’s fourth quarter and full year 2019 results is available on the Investor Relations section of GTI’s website at </w:t>
      </w:r>
      <w:r>
        <w:rPr>
          <w:rFonts w:ascii="Arial" w:cs="Arial" w:eastAsia="Arial" w:hAnsi="Arial"/>
          <w:sz w:val="18"/>
          <w:szCs w:val="18"/>
          <w:u w:val="single" w:color="auto"/>
          <w:color w:val="auto"/>
        </w:rPr>
        <w:t>https://investors.gtigrows.com</w:t>
      </w:r>
      <w:r>
        <w:rPr>
          <w:rFonts w:ascii="Arial" w:cs="Arial" w:eastAsia="Arial" w:hAnsi="Arial"/>
          <w:sz w:val="18"/>
          <w:szCs w:val="18"/>
          <w:color w:val="auto"/>
        </w:rPr>
        <w:t xml:space="preserve">,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Canada’s System for Electronic Document Analysis and Retrieval (“SEDAR”) at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This press release includes certain non-GAAP financial measures as defined by the SEC.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Audited Financial Statements</w:t>
      </w:r>
    </w:p>
    <w:p>
      <w:pPr>
        <w:spacing w:after="0" w:line="121"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color w:val="auto"/>
        </w:rPr>
        <w:t xml:space="preserve">The financial information reported in this news release is based on unaudited consolidated financial statements for the year ended December 31, 2019. Accordingly, such financial information may be subject to change. The audit process is nearly complete and fully-audited annual consolidated financial statements will be released and filed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and SEDAR at </w:t>
      </w:r>
      <w:r>
        <w:rPr>
          <w:rFonts w:ascii="Arial" w:cs="Arial" w:eastAsia="Arial" w:hAnsi="Arial"/>
          <w:sz w:val="17"/>
          <w:szCs w:val="17"/>
          <w:u w:val="single" w:color="auto"/>
          <w:color w:val="auto"/>
        </w:rPr>
        <w:t>www.sedar.com</w:t>
      </w:r>
      <w:r>
        <w:rPr>
          <w:rFonts w:ascii="Arial" w:cs="Arial" w:eastAsia="Arial" w:hAnsi="Arial"/>
          <w:sz w:val="17"/>
          <w:szCs w:val="17"/>
          <w:color w:val="auto"/>
        </w:rPr>
        <w:t xml:space="preserve"> by March 30, 2020. All financial information contained in this news release is qualified in its entirety with reference to such audited annual consolidated financial statements. While the Company does not expect there to be any material changes, to the extent that the financial information contained in this news release is inconsistent with the information contained in the Company’s audited annual consolidated financial statements, the financial information contained in this news release shall be deemed to be modified or superseded by the Company’s annual consolidated financial statements. The making of a modifying or superseding statement shall not be deemed an admission for any purposes that the modified or superseded statement, when made, constituted a misrepresentation for purposes of applicable securities laws.</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Earnings before interest, taxes, other income or expense and depreciation and amortization.</w:t>
      </w:r>
    </w:p>
    <w:p>
      <w:pPr>
        <w:spacing w:after="0" w:line="225" w:lineRule="exact"/>
        <w:rPr>
          <w:sz w:val="20"/>
          <w:szCs w:val="20"/>
          <w:color w:val="auto"/>
        </w:rPr>
      </w:pPr>
    </w:p>
    <w:p>
      <w:pPr>
        <w:ind w:left="4" w:right="600"/>
        <w:spacing w:after="0" w:line="282" w:lineRule="auto"/>
        <w:rPr>
          <w:sz w:val="20"/>
          <w:szCs w:val="20"/>
          <w:color w:val="auto"/>
        </w:rPr>
      </w:pPr>
      <w:r>
        <w:rPr>
          <w:rFonts w:ascii="Arial" w:cs="Arial" w:eastAsia="Arial" w:hAnsi="Arial"/>
          <w:sz w:val="18"/>
          <w:szCs w:val="18"/>
          <w:b w:val="1"/>
          <w:bCs w:val="1"/>
          <w:color w:val="auto"/>
        </w:rPr>
        <w:t xml:space="preserve">Adjusted Operating EBITDA: </w:t>
      </w:r>
      <w:r>
        <w:rPr>
          <w:rFonts w:ascii="Arial" w:cs="Arial" w:eastAsia="Arial" w:hAnsi="Arial"/>
          <w:sz w:val="18"/>
          <w:szCs w:val="18"/>
          <w:color w:val="auto"/>
        </w:rPr>
        <w:t>Earnings before interest, taxes, depreciation, and amortization, adjusted for other income, non-cash share-based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one-time transaction related expenses, or other non-operating costs.</w:t>
      </w:r>
    </w:p>
    <w:p>
      <w:pPr>
        <w:sectPr>
          <w:pgSz w:w="11900" w:h="16838" w:orient="portrait"/>
          <w:cols w:equalWidth="0" w:num="1">
            <w:col w:w="11004"/>
          </w:cols>
          <w:pgMar w:left="436"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7</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GTI will host a conference call on Thursday, March 26, 2020 at 5:00 pm ET to discuss its financial results for the fourth quarter and full year ended December 31, 2019. The conference call may be accessed by dialing 877-273-8145 (Toll-Free) or 647-689-5400 (International) with conference ID: 6538599. A live audio webcast of the call will also be available on the Investor Relations section of GTI’s website at </w:t>
      </w:r>
      <w:r>
        <w:rPr>
          <w:rFonts w:ascii="Arial" w:cs="Arial" w:eastAsia="Arial" w:hAnsi="Arial"/>
          <w:sz w:val="18"/>
          <w:szCs w:val="18"/>
          <w:u w:val="single" w:color="auto"/>
          <w:color w:val="auto"/>
        </w:rPr>
        <w:t>https://investors.gtigrows.com</w:t>
      </w:r>
      <w:r>
        <w:rPr>
          <w:rFonts w:ascii="Arial" w:cs="Arial" w:eastAsia="Arial" w:hAnsi="Arial"/>
          <w:sz w:val="18"/>
          <w:szCs w:val="18"/>
          <w:color w:val="auto"/>
        </w:rPr>
        <w:t xml:space="preserve"> and will be archived for replay.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Green Thumb Industries: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Green Thumb Industries (GTI), a national cannabis consumer packaged goods company and retailer, is dedicated to providing dignified access to cannabis while giving back to the communities in which they serve. GTI manufactures and distributes a portfolio of branded cannabis products including Beboe, Dogwalkers, Dr. Solomon’s, incredibles, Rythm and The Feel Collection. The company also owns and operates rapidly growing national retail cannabis stores called Rise</w:t>
      </w:r>
      <w:r>
        <w:rPr>
          <w:rFonts w:ascii="Arial" w:cs="Arial" w:eastAsia="Arial" w:hAnsi="Arial"/>
          <w:sz w:val="15"/>
          <w:szCs w:val="15"/>
          <w:color w:val="auto"/>
        </w:rPr>
        <w:t>™</w:t>
      </w:r>
      <w:r>
        <w:rPr>
          <w:rFonts w:ascii="Arial" w:cs="Arial" w:eastAsia="Arial" w:hAnsi="Arial"/>
          <w:sz w:val="18"/>
          <w:szCs w:val="18"/>
          <w:color w:val="auto"/>
        </w:rPr>
        <w:t xml:space="preserve"> and Essence. Headquartered in Chicago, Illinois, GTI has 13 manufacturing facilities, licenses for 96 retail locations and operations across 12 U.S. markets. Established in 2014, GTI employs approximately 1,700 people and serves thousands of patients and customers each year. GTI was named a Best Workplace 2018 by Crain’s Chicago Business and MG Retailer magazine in 2018 and 2019. More information is available at GTIgrows.com.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This press release contains statements which may constitute “forward-looking information” within the meaning of applicable securities laws, including statements regarding the plans, intentions, beliefs and current expectations of GTI with respect to future business activities. Forward-looking information is often identified by the words “may,” “would,” “could,” “should,” “will,” “intend,” “plan,” “anticipate,” “believe,” “estimate,” “expect,” or similar expressions and include information regarding the future direction and business objectives of GTI. The forward-looking information in this news release is based upon the expectations, estimates, projections, assumptions and views of future events which management believes to be reasonable in the circumstances and expectations relating to general economic and market conditions. Any forward-looking information speaks only as of the date on which it is made, and, except as required by law, GTI does not undertake any obligation to update or revise any forward-looking information, whether as a result of new information, future events or otherwise. The forward-looking information in this news release is subject to a variety of known and unknown risks, uncertainties and other factors that could cause actual events or results to differ from those express or implied. When considering these forward-looking statements, readers should keep in mind the risk factors and other cautionary statements in GTI’s public filings with the applicable securities regulatory authorities on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and on SEDAR at </w:t>
      </w:r>
      <w:r>
        <w:rPr>
          <w:rFonts w:ascii="Arial" w:cs="Arial" w:eastAsia="Arial" w:hAnsi="Arial"/>
          <w:sz w:val="16"/>
          <w:szCs w:val="16"/>
          <w:i w:val="1"/>
          <w:iCs w:val="1"/>
          <w:u w:val="single" w:color="auto"/>
          <w:color w:val="auto"/>
        </w:rPr>
        <w:t>www.sedar.com</w:t>
      </w:r>
      <w:r>
        <w:rPr>
          <w:rFonts w:ascii="Arial" w:cs="Arial" w:eastAsia="Arial" w:hAnsi="Arial"/>
          <w:sz w:val="16"/>
          <w:szCs w:val="16"/>
          <w:i w:val="1"/>
          <w:iCs w:val="1"/>
          <w:color w:val="auto"/>
        </w:rPr>
        <w:t>, including the risk factors set out in the 2</w:t>
      </w:r>
      <w:r>
        <w:rPr>
          <w:rFonts w:ascii="Arial" w:cs="Arial" w:eastAsia="Arial" w:hAnsi="Arial"/>
          <w:sz w:val="13"/>
          <w:szCs w:val="13"/>
          <w:i w:val="1"/>
          <w:iCs w:val="1"/>
          <w:color w:val="auto"/>
        </w:rPr>
        <w:t>nd</w:t>
      </w:r>
      <w:r>
        <w:rPr>
          <w:rFonts w:ascii="Arial" w:cs="Arial" w:eastAsia="Arial" w:hAnsi="Arial"/>
          <w:sz w:val="16"/>
          <w:szCs w:val="16"/>
          <w:i w:val="1"/>
          <w:iCs w:val="1"/>
          <w:color w:val="auto"/>
        </w:rPr>
        <w:t xml:space="preserve"> Amendment to GTI’s Registration Statement on Form 10/A and its forthcoming Annual Report on Form 10-K for the year ended December 31, 2019. These risk factors include, without limitation, marijuana remains illegal</w:t>
      </w:r>
    </w:p>
    <w:p>
      <w:pPr>
        <w:sectPr>
          <w:pgSz w:w="11900" w:h="16838" w:orient="portrait"/>
          <w:cols w:equalWidth="0" w:num="1">
            <w:col w:w="10980"/>
          </w:cols>
          <w:pgMar w:left="440" w:top="274"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8</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under federal law, and enforcement of cannabis laws could change the Company may face limitations on ownership of cannabis licenses. The Company may become subject to FDA or ATF regulation; the Company may face difficulties acquiring additional financing; the Company operates in a highly regulated sector and may not always succeed in complying fully with applicable regulatory requirements in all jurisdictions where we carry on business; the Company may face difficulties in enforcing its contracts; the Company is subject to taxation in Canada and the United States; cannabis businesses are subject to unfavorable tax treatment; cannabis businesses may be subject to civil asset forfeiture; the Company is subject to proceeds of crime statutes; the Company faces security risks; our use of joint ventures may expose us to risks associated with jointly owned investments; 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 the Company faces risks related to its products; the Company is dependent on the popularity of consumer acceptance of the Company’s brand portfolio; the Company faces risks related to its insurance coverage and uninsurable risks; the Company is dependent on key inputs, suppliers and skilled labor; the Company must attract and maintain key personnel or our business will fail; the Company’s business is subject to the risks inherent in agricultural operations; the Company’s sales are difficult to forecast; the Company’s products may be subject to product recalls; the Company may face unfavorable publicity or consumer perception; the Company faces intense competition; the Company is subject to general economic risks; the Company may be negatively impacted by challenging global economic condition; the Company is subject to risks arising from epidemic diseases, such as the recent outbreak of the COVID-19 illness; the Company’s voting control is concentrated; the Company’s capital structure and voting control may cause unpredictability; and additional issuances of Super Voting Shares, Multiple Voting Shares or Subordinate Voting Shares may result in dilution.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Canadian Securities Exchange does not accept responsibility for the adequacy or accuracy of this release.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940" w:type="dxa"/>
            <w:vAlign w:val="bottom"/>
            <w:gridSpan w:val="3"/>
          </w:tcPr>
          <w:p>
            <w:pPr>
              <w:ind w:left="1660"/>
              <w:spacing w:after="0"/>
              <w:rPr>
                <w:sz w:val="20"/>
                <w:szCs w:val="20"/>
                <w:color w:val="auto"/>
              </w:rPr>
            </w:pPr>
            <w:r>
              <w:rPr>
                <w:rFonts w:ascii="Arial" w:cs="Arial" w:eastAsia="Arial" w:hAnsi="Arial"/>
                <w:sz w:val="18"/>
                <w:szCs w:val="18"/>
                <w:b w:val="1"/>
                <w:bCs w:val="1"/>
                <w:color w:val="auto"/>
              </w:rPr>
              <w:t>Media Contact:</w:t>
            </w:r>
          </w:p>
        </w:tc>
      </w:tr>
      <w:tr>
        <w:trPr>
          <w:trHeight w:val="418"/>
        </w:trPr>
        <w:tc>
          <w:tcPr>
            <w:tcW w:w="4080" w:type="dxa"/>
            <w:vAlign w:val="bottom"/>
            <w:gridSpan w:val="2"/>
          </w:tcPr>
          <w:p>
            <w:pPr>
              <w:spacing w:after="0"/>
              <w:rPr>
                <w:sz w:val="20"/>
                <w:szCs w:val="20"/>
                <w:color w:val="auto"/>
              </w:rPr>
            </w:pPr>
            <w:r>
              <w:rPr>
                <w:rFonts w:ascii="Arial" w:cs="Arial" w:eastAsia="Arial" w:hAnsi="Arial"/>
                <w:sz w:val="18"/>
                <w:szCs w:val="18"/>
                <w:color w:val="auto"/>
              </w:rPr>
              <w:t>Jennifer Dooley</w:t>
            </w:r>
          </w:p>
        </w:tc>
        <w:tc>
          <w:tcPr>
            <w:tcW w:w="3940" w:type="dxa"/>
            <w:vAlign w:val="bottom"/>
            <w:gridSpan w:val="3"/>
          </w:tcPr>
          <w:p>
            <w:pPr>
              <w:ind w:left="1660"/>
              <w:spacing w:after="0"/>
              <w:rPr>
                <w:sz w:val="20"/>
                <w:szCs w:val="20"/>
                <w:color w:val="auto"/>
              </w:rPr>
            </w:pPr>
            <w:r>
              <w:rPr>
                <w:rFonts w:ascii="Arial" w:cs="Arial" w:eastAsia="Arial" w:hAnsi="Arial"/>
                <w:sz w:val="18"/>
                <w:szCs w:val="18"/>
                <w:color w:val="auto"/>
              </w:rPr>
              <w:t>Linda Marsicano</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Chief Strategy Officer</w:t>
            </w:r>
          </w:p>
        </w:tc>
        <w:tc>
          <w:tcPr>
            <w:tcW w:w="3940" w:type="dxa"/>
            <w:vAlign w:val="bottom"/>
            <w:gridSpan w:val="3"/>
          </w:tcPr>
          <w:p>
            <w:pPr>
              <w:ind w:left="1660"/>
              <w:spacing w:after="0"/>
              <w:rPr>
                <w:sz w:val="20"/>
                <w:szCs w:val="20"/>
                <w:color w:val="auto"/>
              </w:rPr>
            </w:pPr>
            <w:r>
              <w:rPr>
                <w:rFonts w:ascii="Arial" w:cs="Arial" w:eastAsia="Arial" w:hAnsi="Arial"/>
                <w:sz w:val="18"/>
                <w:szCs w:val="18"/>
                <w:color w:val="auto"/>
                <w:w w:val="89"/>
              </w:rPr>
              <w:t>VP, Corporate Communications</w:t>
            </w:r>
          </w:p>
        </w:tc>
      </w:tr>
      <w:tr>
        <w:trPr>
          <w:trHeight w:val="190"/>
        </w:trPr>
        <w:tc>
          <w:tcPr>
            <w:tcW w:w="2420" w:type="dxa"/>
            <w:vAlign w:val="bottom"/>
          </w:tcPr>
          <w:p>
            <w:pPr>
              <w:spacing w:after="0" w:line="190" w:lineRule="exact"/>
              <w:rPr>
                <w:sz w:val="20"/>
                <w:szCs w:val="20"/>
                <w:color w:val="auto"/>
              </w:rPr>
            </w:pPr>
            <w:r>
              <w:rPr>
                <w:rFonts w:ascii="Arial" w:cs="Arial" w:eastAsia="Arial" w:hAnsi="Arial"/>
                <w:sz w:val="18"/>
                <w:szCs w:val="18"/>
                <w:color w:val="auto"/>
                <w:w w:val="91"/>
              </w:rPr>
              <w:t>InvestorRelations@gtigrows.com</w:t>
            </w:r>
          </w:p>
        </w:tc>
        <w:tc>
          <w:tcPr>
            <w:tcW w:w="1660" w:type="dxa"/>
            <w:vAlign w:val="bottom"/>
          </w:tcPr>
          <w:p>
            <w:pPr>
              <w:spacing w:after="0"/>
              <w:rPr>
                <w:sz w:val="16"/>
                <w:szCs w:val="16"/>
                <w:color w:val="auto"/>
              </w:rPr>
            </w:pPr>
          </w:p>
        </w:tc>
        <w:tc>
          <w:tcPr>
            <w:tcW w:w="3940" w:type="dxa"/>
            <w:vAlign w:val="bottom"/>
            <w:gridSpan w:val="3"/>
          </w:tcPr>
          <w:p>
            <w:pPr>
              <w:ind w:left="1660"/>
              <w:spacing w:after="0" w:line="190" w:lineRule="exact"/>
              <w:rPr>
                <w:sz w:val="20"/>
                <w:szCs w:val="20"/>
                <w:color w:val="auto"/>
              </w:rPr>
            </w:pPr>
            <w:r>
              <w:rPr>
                <w:rFonts w:ascii="Arial" w:cs="Arial" w:eastAsia="Arial" w:hAnsi="Arial"/>
                <w:sz w:val="18"/>
                <w:szCs w:val="18"/>
                <w:color w:val="auto"/>
              </w:rPr>
              <w:t>lmarsicano@gtigrows.com</w:t>
            </w:r>
          </w:p>
        </w:tc>
      </w:tr>
      <w:tr>
        <w:trPr>
          <w:trHeight w:val="20"/>
        </w:trPr>
        <w:tc>
          <w:tcPr>
            <w:tcW w:w="24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310-622-8257</w:t>
            </w:r>
          </w:p>
        </w:tc>
        <w:tc>
          <w:tcPr>
            <w:tcW w:w="1660" w:type="dxa"/>
            <w:vAlign w:val="bottom"/>
          </w:tcPr>
          <w:p>
            <w:pPr>
              <w:spacing w:after="0"/>
              <w:rPr>
                <w:sz w:val="20"/>
                <w:szCs w:val="20"/>
                <w:color w:val="auto"/>
              </w:rPr>
            </w:pPr>
          </w:p>
        </w:tc>
        <w:tc>
          <w:tcPr>
            <w:tcW w:w="3600" w:type="dxa"/>
            <w:vAlign w:val="bottom"/>
            <w:gridSpan w:val="2"/>
          </w:tcPr>
          <w:p>
            <w:pPr>
              <w:ind w:left="1660"/>
              <w:spacing w:after="0"/>
              <w:rPr>
                <w:sz w:val="20"/>
                <w:szCs w:val="20"/>
                <w:color w:val="auto"/>
              </w:rPr>
            </w:pPr>
            <w:r>
              <w:rPr>
                <w:rFonts w:ascii="Arial" w:cs="Arial" w:eastAsia="Arial" w:hAnsi="Arial"/>
                <w:sz w:val="18"/>
                <w:szCs w:val="18"/>
                <w:color w:val="auto"/>
              </w:rPr>
              <w:t>773-354-2004</w:t>
            </w:r>
          </w:p>
        </w:tc>
        <w:tc>
          <w:tcPr>
            <w:tcW w:w="340" w:type="dxa"/>
            <w:vAlign w:val="bottom"/>
          </w:tcPr>
          <w:p>
            <w:pPr>
              <w:spacing w:after="0"/>
              <w:rPr>
                <w:sz w:val="20"/>
                <w:szCs w:val="20"/>
                <w:color w:val="auto"/>
              </w:rPr>
            </w:pPr>
          </w:p>
        </w:tc>
      </w:tr>
    </w:tbl>
    <w:p>
      <w:pPr>
        <w:sectPr>
          <w:pgSz w:w="11900" w:h="16838" w:orient="portrait"/>
          <w:cols w:equalWidth="0" w:num="1">
            <w:col w:w="11000"/>
          </w:cols>
          <w:pgMar w:left="440"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9</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b w:val="1"/>
          <w:bCs w:val="1"/>
          <w:color w:val="auto"/>
        </w:rPr>
        <w:t xml:space="preserve">Highlights from Unaudited Quarterly Condensed Consolidated Statements of Operations </w:t>
      </w:r>
      <w:r>
        <w:rPr>
          <w:rFonts w:ascii="Arial" w:cs="Arial" w:eastAsia="Arial" w:hAnsi="Arial"/>
          <w:sz w:val="18"/>
          <w:szCs w:val="18"/>
          <w:i w:val="1"/>
          <w:iCs w:val="1"/>
          <w:color w:val="auto"/>
        </w:rPr>
        <w:t>(Amounts Expressed in United States Dollars)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2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75,801,758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Cost of Goods Sold, net</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(35,205,164)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40,596,594</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45,608,306</w:t>
            </w:r>
          </w:p>
        </w:tc>
        <w:tc>
          <w:tcPr>
            <w:tcW w:w="0" w:type="dxa"/>
            <w:vAlign w:val="bottom"/>
          </w:tcPr>
          <w:p>
            <w:pPr>
              <w:spacing w:after="0"/>
              <w:rPr>
                <w:sz w:val="1"/>
                <w:szCs w:val="1"/>
                <w:color w:val="auto"/>
              </w:rPr>
            </w:pPr>
          </w:p>
        </w:tc>
      </w:tr>
      <w:tr>
        <w:trPr>
          <w:trHeight w:val="230"/>
        </w:trPr>
        <w:tc>
          <w:tcPr>
            <w:tcW w:w="748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2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45,608,306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(5,011,712)</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(2,349,503)</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165,472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(1,896,682)</w:t>
            </w:r>
          </w:p>
        </w:tc>
        <w:tc>
          <w:tcPr>
            <w:tcW w:w="0" w:type="dxa"/>
            <w:vAlign w:val="bottom"/>
          </w:tcPr>
          <w:p>
            <w:pPr>
              <w:spacing w:after="0"/>
              <w:rPr>
                <w:sz w:val="1"/>
                <w:szCs w:val="1"/>
                <w:color w:val="auto"/>
              </w:rPr>
            </w:pPr>
          </w:p>
        </w:tc>
      </w:tr>
      <w:tr>
        <w:trPr>
          <w:trHeight w:val="230"/>
        </w:trPr>
        <w:tc>
          <w:tcPr>
            <w:tcW w:w="7480" w:type="dxa"/>
            <w:vAlign w:val="bottom"/>
          </w:tcPr>
          <w:p>
            <w:pPr>
              <w:ind w:left="720"/>
              <w:spacing w:after="0"/>
              <w:rPr>
                <w:sz w:val="20"/>
                <w:szCs w:val="20"/>
                <w:color w:val="auto"/>
              </w:rPr>
            </w:pPr>
            <w:r>
              <w:rPr>
                <w:rFonts w:ascii="Arial" w:cs="Arial" w:eastAsia="Arial" w:hAnsi="Arial"/>
                <w:sz w:val="18"/>
                <w:szCs w:val="18"/>
                <w:b w:val="1"/>
                <w:bCs w:val="1"/>
                <w:color w:val="auto"/>
              </w:rPr>
              <w:t>Total Other (Expense) Income</w:t>
            </w:r>
          </w:p>
        </w:tc>
        <w:tc>
          <w:tcPr>
            <w:tcW w:w="2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(4,080,713)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Provision for Income Taxes And Non-Controlling Interest</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(9,092,425)</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2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4,638,033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Before Non-Controlling Interest</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(13,730,458)</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(759,267)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236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(12,971,191)</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2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basic and diluted</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215,172,575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10</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Condensed 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8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46,667,334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66,121,654</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62,395,277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48,729,312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155,596,675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148,660,147</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Right of Use Assets, Net</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64,195,692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28,848,614</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448,855,336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349,518,982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354,022,195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448,865,160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28,081,700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20,723,110</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1,159,814,209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1,111,466,979</w:t>
            </w:r>
          </w:p>
        </w:tc>
        <w:tc>
          <w:tcPr>
            <w:tcW w:w="8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114,467,255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105,571,299</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91,140,194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96,768,028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61,115,737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30,752,365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51,224,762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63,745,774</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841,866,261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814,629,513</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1,159,814,209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1,111,466,979</w:t>
            </w:r>
          </w:p>
        </w:tc>
        <w:tc>
          <w:tcPr>
            <w:tcW w:w="8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11</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Supplemental Information (Unaudited) Regarding Non-GAAP Financial Measures</w:t>
      </w:r>
    </w:p>
    <w:p>
      <w:pPr>
        <w:spacing w:after="0" w:line="12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EBITDA, and Adjusted Operating EBITDA are non-GAAP measures and do not have standardized definitions under GAAP. We define each term as follows:</w:t>
      </w:r>
    </w:p>
    <w:p>
      <w:pPr>
        <w:spacing w:after="0" w:line="62" w:lineRule="exact"/>
        <w:rPr>
          <w:sz w:val="20"/>
          <w:szCs w:val="20"/>
          <w:color w:val="auto"/>
        </w:rPr>
      </w:pPr>
    </w:p>
    <w:p>
      <w:pPr>
        <w:ind w:left="264" w:hanging="264"/>
        <w:spacing w:after="0"/>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is defined as earnings before interest, taxes, other income or expense and depreciation and amortization.</w:t>
      </w:r>
    </w:p>
    <w:p>
      <w:pPr>
        <w:spacing w:after="0" w:line="225" w:lineRule="exact"/>
        <w:rPr>
          <w:rFonts w:ascii="Arial" w:cs="Arial" w:eastAsia="Arial" w:hAnsi="Arial"/>
          <w:sz w:val="18"/>
          <w:szCs w:val="18"/>
          <w:color w:val="auto"/>
        </w:rPr>
      </w:pPr>
    </w:p>
    <w:p>
      <w:pPr>
        <w:ind w:left="4" w:right="80" w:hanging="4"/>
        <w:spacing w:after="0" w:line="277"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EBITDA is defined as earnings before interest, taxes, depreciation, and amortization, adjusted for other income, non-cash share-based compensation, one-time transaction related expenses, or other non-operating costs.</w:t>
      </w:r>
    </w:p>
    <w:p>
      <w:pPr>
        <w:spacing w:after="0" w:line="170"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Adjusted Operating EBITDA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09"/>
        </w:trPr>
        <w:tc>
          <w:tcPr>
            <w:tcW w:w="9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Before Noncontrolling Interest (GAAP)</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(13,730,458)</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(165,472)</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1,896,682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4,638,033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2,349,503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13,402,013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Interest, Taxes, Depreciation and Amortization (EBITDA) (non-GAAP measure)</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8,390,301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Share-based Compensation, Non-Cash</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4,961,294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1,003,070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14,354,665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2020-03-27T05:18:59Z</dcterms:created>
  <dcterms:modified xsi:type="dcterms:W3CDTF">2020-03-27T05:18:59Z</dcterms:modified>
</cp:coreProperties>
</file>