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1260" w:hanging="431"/>
        <w:spacing w:after="0"/>
        <w:tabs>
          <w:tab w:leader="none" w:pos="1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80010</wp:posOffset>
            </wp:positionV>
            <wp:extent cx="484314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4314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280" w:type="dxa"/>
            <w:vAlign w:val="bottom"/>
          </w:tcPr>
          <w:p>
            <w:pPr>
              <w:spacing w:after="0"/>
              <w:rPr>
                <w:sz w:val="16"/>
                <w:szCs w:val="16"/>
                <w:color w:val="auto"/>
              </w:rPr>
            </w:pPr>
          </w:p>
        </w:tc>
      </w:tr>
      <w:tr>
        <w:trPr>
          <w:trHeight w:val="17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2"/>
          </w:tcPr>
          <w:p>
            <w:pPr>
              <w:spacing w:after="0"/>
              <w:rPr>
                <w:sz w:val="14"/>
                <w:szCs w:val="14"/>
                <w:color w:val="auto"/>
              </w:rPr>
            </w:pPr>
          </w:p>
        </w:tc>
      </w:tr>
      <w:tr>
        <w:trPr>
          <w:trHeight w:val="482"/>
        </w:trPr>
        <w:tc>
          <w:tcPr>
            <w:tcW w:w="8840" w:type="dxa"/>
            <w:vAlign w:val="bottom"/>
            <w:gridSpan w:val="6"/>
          </w:tcPr>
          <w:p>
            <w:pPr>
              <w:ind w:left="2940"/>
              <w:spacing w:after="0"/>
              <w:rPr>
                <w:sz w:val="20"/>
                <w:szCs w:val="20"/>
                <w:color w:val="auto"/>
              </w:rPr>
            </w:pPr>
            <w:r>
              <w:rPr>
                <w:rFonts w:ascii="Times New Roman" w:cs="Times New Roman" w:eastAsia="Times New Roman" w:hAnsi="Times New Roman"/>
                <w:sz w:val="32"/>
                <w:szCs w:val="32"/>
                <w:b w:val="1"/>
                <w:bCs w:val="1"/>
                <w:color w:val="auto"/>
              </w:rPr>
              <w:t>GREEN THUMB INDUSTRIES INC.</w:t>
            </w:r>
          </w:p>
        </w:tc>
      </w:tr>
      <w:tr>
        <w:trPr>
          <w:trHeight w:val="190"/>
        </w:trPr>
        <w:tc>
          <w:tcPr>
            <w:tcW w:w="7560" w:type="dxa"/>
            <w:vAlign w:val="bottom"/>
            <w:gridSpan w:val="5"/>
          </w:tcPr>
          <w:p>
            <w:pPr>
              <w:jc w:val="center"/>
              <w:ind w:left="35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280" w:type="dxa"/>
            <w:vAlign w:val="bottom"/>
          </w:tcPr>
          <w:p>
            <w:pPr>
              <w:spacing w:after="0"/>
              <w:rPr>
                <w:sz w:val="16"/>
                <w:szCs w:val="16"/>
                <w:color w:val="auto"/>
              </w:rPr>
            </w:pPr>
          </w:p>
        </w:tc>
      </w:tr>
      <w:tr>
        <w:trPr>
          <w:trHeight w:val="17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1"/>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7560" w:type="dxa"/>
            <w:vAlign w:val="bottom"/>
            <w:gridSpan w:val="5"/>
          </w:tcPr>
          <w:p>
            <w:pPr>
              <w:jc w:val="center"/>
              <w:ind w:right="19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280" w:type="dxa"/>
            <w:vAlign w:val="bottom"/>
          </w:tcPr>
          <w:p>
            <w:pPr>
              <w:jc w:val="center"/>
              <w:ind w:left="397"/>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94"/>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280" w:type="dxa"/>
            <w:vAlign w:val="bottom"/>
          </w:tcPr>
          <w:p>
            <w:pPr>
              <w:spacing w:after="0"/>
              <w:rPr>
                <w:sz w:val="24"/>
                <w:szCs w:val="24"/>
                <w:color w:val="auto"/>
              </w:rPr>
            </w:pPr>
          </w:p>
        </w:tc>
      </w:tr>
      <w:tr>
        <w:trPr>
          <w:trHeight w:val="198"/>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9"/>
        </w:trPr>
        <w:tc>
          <w:tcPr>
            <w:tcW w:w="8840" w:type="dxa"/>
            <w:vAlign w:val="bottom"/>
            <w:gridSpan w:val="6"/>
          </w:tcPr>
          <w:p>
            <w:pPr>
              <w:jc w:val="center"/>
              <w:ind w:left="230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04"/>
        </w:trPr>
        <w:tc>
          <w:tcPr>
            <w:tcW w:w="4480" w:type="dxa"/>
            <w:vAlign w:val="bottom"/>
          </w:tcPr>
          <w:p>
            <w:pPr>
              <w:spacing w:after="0"/>
              <w:rPr>
                <w:sz w:val="9"/>
                <w:szCs w:val="9"/>
                <w:color w:val="auto"/>
              </w:rPr>
            </w:pPr>
          </w:p>
        </w:tc>
        <w:tc>
          <w:tcPr>
            <w:tcW w:w="2280" w:type="dxa"/>
            <w:vAlign w:val="bottom"/>
            <w:tcBorders>
              <w:bottom w:val="single" w:sz="8" w:color="auto"/>
            </w:tcBorders>
            <w:gridSpan w:val="3"/>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2"/>
        </w:trPr>
        <w:tc>
          <w:tcPr>
            <w:tcW w:w="7560" w:type="dxa"/>
            <w:vAlign w:val="bottom"/>
            <w:gridSpan w:val="5"/>
          </w:tcPr>
          <w:p>
            <w:pPr>
              <w:jc w:val="center"/>
              <w:ind w:left="358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280" w:type="dxa"/>
            <w:vAlign w:val="bottom"/>
          </w:tcPr>
          <w:p>
            <w:pPr>
              <w:spacing w:after="0"/>
              <w:rPr>
                <w:sz w:val="18"/>
                <w:szCs w:val="18"/>
                <w:color w:val="auto"/>
              </w:rPr>
            </w:pPr>
          </w:p>
        </w:tc>
      </w:tr>
      <w:tr>
        <w:trPr>
          <w:trHeight w:val="149"/>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280" w:type="dxa"/>
            <w:vAlign w:val="bottom"/>
          </w:tcPr>
          <w:p>
            <w:pPr>
              <w:spacing w:after="0"/>
              <w:rPr>
                <w:sz w:val="12"/>
                <w:szCs w:val="12"/>
                <w:color w:val="auto"/>
              </w:rPr>
            </w:pPr>
          </w:p>
        </w:tc>
      </w:tr>
      <w:tr>
        <w:trPr>
          <w:trHeight w:val="148"/>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280" w:type="dxa"/>
            <w:vAlign w:val="bottom"/>
          </w:tcPr>
          <w:p>
            <w:pPr>
              <w:spacing w:after="0"/>
              <w:rPr>
                <w:sz w:val="12"/>
                <w:szCs w:val="12"/>
                <w:color w:val="auto"/>
              </w:rPr>
            </w:pPr>
          </w:p>
        </w:tc>
      </w:tr>
      <w:tr>
        <w:trPr>
          <w:trHeight w:val="157"/>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3"/>
          </w:tcPr>
          <w:p>
            <w:pPr>
              <w:jc w:val="center"/>
              <w:ind w:right="840"/>
              <w:spacing w:after="0" w:line="157" w:lineRule="exact"/>
              <w:rPr>
                <w:sz w:val="20"/>
                <w:szCs w:val="20"/>
                <w:color w:val="auto"/>
              </w:rPr>
            </w:pPr>
            <w:r>
              <w:rPr>
                <w:rFonts w:ascii="Times New Roman" w:cs="Times New Roman" w:eastAsia="Times New Roman" w:hAnsi="Times New Roman"/>
                <w:sz w:val="14"/>
                <w:szCs w:val="14"/>
                <w:b w:val="1"/>
                <w:bCs w:val="1"/>
                <w:color w:val="auto"/>
              </w:rPr>
              <w:t>Super Voting Shares</w:t>
            </w:r>
          </w:p>
        </w:tc>
        <w:tc>
          <w:tcPr>
            <w:tcW w:w="1280" w:type="dxa"/>
            <w:vAlign w:val="bottom"/>
          </w:tcPr>
          <w:p>
            <w:pPr>
              <w:spacing w:after="0"/>
              <w:rPr>
                <w:sz w:val="13"/>
                <w:szCs w:val="13"/>
                <w:color w:val="auto"/>
              </w:rPr>
            </w:pPr>
          </w:p>
        </w:tc>
      </w:tr>
      <w:tr>
        <w:trPr>
          <w:trHeight w:val="142"/>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280" w:type="dxa"/>
            <w:vAlign w:val="bottom"/>
          </w:tcPr>
          <w:p>
            <w:pPr>
              <w:spacing w:after="0"/>
              <w:rPr>
                <w:sz w:val="12"/>
                <w:szCs w:val="12"/>
                <w:color w:val="auto"/>
              </w:rPr>
            </w:pPr>
          </w:p>
        </w:tc>
      </w:tr>
      <w:tr>
        <w:trPr>
          <w:trHeight w:val="277"/>
        </w:trPr>
        <w:tc>
          <w:tcPr>
            <w:tcW w:w="75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1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8" w:lineRule="exact"/>
        <w:rPr>
          <w:sz w:val="24"/>
          <w:szCs w:val="24"/>
          <w:color w:val="auto"/>
        </w:rPr>
      </w:pPr>
    </w:p>
    <w:p>
      <w:pPr>
        <w:spacing w:after="0" w:line="161" w:lineRule="exact"/>
        <w:tabs>
          <w:tab w:leader="none" w:pos="74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7"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60" w:lineRule="exact"/>
        <w:rPr>
          <w:sz w:val="24"/>
          <w:szCs w:val="24"/>
          <w:color w:val="auto"/>
        </w:rPr>
      </w:pPr>
    </w:p>
    <w:p>
      <w:pPr>
        <w:ind w:right="5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2" w:right="399" w:bottom="1440" w:gutter="0" w:footer="0" w:header="0"/>
        </w:sectPr>
      </w:pPr>
    </w:p>
    <w:bookmarkStart w:id="1" w:name="page2"/>
    <w:bookmarkEnd w:id="1"/>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0"/>
          <w:szCs w:val="20"/>
          <w:color w:val="auto"/>
        </w:rPr>
      </w:pPr>
    </w:p>
    <w:p>
      <w:pPr>
        <w:jc w:val="both"/>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4"/>
          <w:szCs w:val="14"/>
          <w:color w:val="auto"/>
        </w:rPr>
        <w:t>As of February 19, 2024, there were 211,630,766 shares of the registrant’s Subordinate Voting Shares, 37,683 shares of the registrant’s Multiple Voting Shares and 216,690 shares of the registrant’s Super Voting Shares outstanding.</w:t>
      </w:r>
    </w:p>
    <w:p>
      <w:pPr>
        <w:spacing w:after="0" w:line="41"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Subordinate Voting Shares, and Multiple Voting Shares, and Super Voting Shares (on an as converted basis, based on the closing price of these Subordinate Voting Shares on the Canadian Stock Exchange) on June 30, 2023, the last business day of the registrant's most recently completed second fiscal quarter, held by nonaffiliates was $1,628,045 thousand.</w:t>
      </w: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Part I of this Annual Report on Form 10-K incorporates certain information by reference from the Registrant's Amendment No. 2 Registration Statement on Form S-1 (No. 333-248213) to the extent stated herein under the heading "History of the Company."</w:t>
      </w:r>
    </w:p>
    <w:p>
      <w:pPr>
        <w:spacing w:after="0" w:line="9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definitive proxy statement to be filed by the registrant in connection with the 2024 Annual General Meeting of Shareholders (the “2024 Proxy Statement”). The 2024 Proxy Statement will be filed by the registrant with the Securities and Exchange Commission not later than 120 days after December 31, 2023, the end of the registrant’s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760" w:type="dxa"/>
            <w:vAlign w:val="bottom"/>
            <w:gridSpan w:val="7"/>
            <w:vMerge w:val="restart"/>
          </w:tcPr>
          <w:p>
            <w:pPr>
              <w:jc w:val="center"/>
              <w:ind w:right="1120"/>
              <w:spacing w:after="0"/>
              <w:rPr>
                <w:sz w:val="20"/>
                <w:szCs w:val="20"/>
                <w:color w:val="auto"/>
              </w:rPr>
            </w:pPr>
            <w:r>
              <w:rPr>
                <w:rFonts w:ascii="Times New Roman" w:cs="Times New Roman" w:eastAsia="Times New Roman" w:hAnsi="Times New Roman"/>
                <w:sz w:val="18"/>
                <w:szCs w:val="18"/>
                <w:color w:val="auto"/>
                <w:w w:val="91"/>
              </w:rPr>
              <w:t>PART I</w:t>
            </w:r>
          </w:p>
        </w:tc>
        <w:tc>
          <w:tcPr>
            <w:tcW w:w="8400" w:type="dxa"/>
            <w:vAlign w:val="bottom"/>
          </w:tcPr>
          <w:p>
            <w:pPr>
              <w:spacing w:after="0"/>
              <w:rPr>
                <w:sz w:val="16"/>
                <w:szCs w:val="16"/>
                <w:color w:val="auto"/>
              </w:rPr>
            </w:pP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6"/>
        </w:trPr>
        <w:tc>
          <w:tcPr>
            <w:tcW w:w="1760" w:type="dxa"/>
            <w:vAlign w:val="bottom"/>
            <w:gridSpan w:val="7"/>
            <w:vMerge w:val="continue"/>
          </w:tcPr>
          <w:p>
            <w:pPr>
              <w:spacing w:after="0"/>
              <w:rPr>
                <w:sz w:val="19"/>
                <w:szCs w:val="19"/>
                <w:color w:val="auto"/>
              </w:rPr>
            </w:pPr>
          </w:p>
        </w:tc>
        <w:tc>
          <w:tcPr>
            <w:tcW w:w="8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6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ITEM 1.</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4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BUSINESS</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1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1B.</w:t>
            </w:r>
          </w:p>
        </w:tc>
        <w:tc>
          <w:tcPr>
            <w:tcW w:w="20" w:type="dxa"/>
            <w:vAlign w:val="bottom"/>
            <w:tcBorders>
              <w:bottom w:val="single" w:sz="8" w:color="0000EE"/>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840" w:type="dxa"/>
            <w:vAlign w:val="bottom"/>
          </w:tcPr>
          <w:p>
            <w:pPr>
              <w:spacing w:after="0"/>
              <w:rPr>
                <w:sz w:val="22"/>
                <w:szCs w:val="22"/>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CYBERSECURITY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6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ITEM 2.</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4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PROPERTIES</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3.</w:t>
            </w:r>
          </w:p>
        </w:tc>
        <w:tc>
          <w:tcPr>
            <w:tcW w:w="20" w:type="dxa"/>
            <w:vAlign w:val="bottom"/>
            <w:tcBorders>
              <w:bottom w:val="single" w:sz="8" w:color="0000EE"/>
            </w:tcBorders>
          </w:tcPr>
          <w:p>
            <w:pPr>
              <w:spacing w:after="0"/>
              <w:rPr>
                <w:sz w:val="19"/>
                <w:szCs w:val="19"/>
                <w:color w:val="auto"/>
              </w:rPr>
            </w:pPr>
          </w:p>
        </w:tc>
        <w:tc>
          <w:tcPr>
            <w:tcW w:w="280" w:type="dxa"/>
            <w:vAlign w:val="bottom"/>
            <w:gridSpan w:val="4"/>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4.</w:t>
            </w:r>
          </w:p>
        </w:tc>
        <w:tc>
          <w:tcPr>
            <w:tcW w:w="300" w:type="dxa"/>
            <w:vAlign w:val="bottom"/>
            <w:gridSpan w:val="5"/>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1760" w:type="dxa"/>
            <w:vAlign w:val="bottom"/>
            <w:gridSpan w:val="7"/>
          </w:tcPr>
          <w:p>
            <w:pPr>
              <w:jc w:val="center"/>
              <w:ind w:right="1120"/>
              <w:spacing w:after="0"/>
              <w:rPr>
                <w:sz w:val="20"/>
                <w:szCs w:val="20"/>
                <w:color w:val="auto"/>
              </w:rPr>
            </w:pPr>
            <w:r>
              <w:rPr>
                <w:rFonts w:ascii="Times New Roman" w:cs="Times New Roman" w:eastAsia="Times New Roman" w:hAnsi="Times New Roman"/>
                <w:sz w:val="18"/>
                <w:szCs w:val="18"/>
                <w:color w:val="auto"/>
                <w:w w:val="95"/>
              </w:rPr>
              <w:t>PART II</w:t>
            </w:r>
          </w:p>
        </w:tc>
        <w:tc>
          <w:tcPr>
            <w:tcW w:w="8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5.</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 FOR THE REGISTRANTS' COMMON EQUITY, RELATED STOCKHOLDER MATTERS AND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6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ITEM 6.</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4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[RESERVED]</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DISCUSSION AND ANALYSIS OF FINANCIAL CONDITION AND RESULTS OF</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78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7A.</w:t>
            </w:r>
          </w:p>
        </w:tc>
        <w:tc>
          <w:tcPr>
            <w:tcW w:w="140" w:type="dxa"/>
            <w:vAlign w:val="bottom"/>
          </w:tcPr>
          <w:p>
            <w:pPr>
              <w:spacing w:after="0"/>
              <w:rPr>
                <w:sz w:val="17"/>
                <w:szCs w:val="17"/>
                <w:color w:val="auto"/>
              </w:rPr>
            </w:pPr>
          </w:p>
        </w:tc>
        <w:tc>
          <w:tcPr>
            <w:tcW w:w="84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8.</w:t>
            </w:r>
          </w:p>
        </w:tc>
        <w:tc>
          <w:tcPr>
            <w:tcW w:w="20" w:type="dxa"/>
            <w:vAlign w:val="bottom"/>
            <w:tcBorders>
              <w:bottom w:val="single" w:sz="8" w:color="0000EE"/>
            </w:tcBorders>
          </w:tcPr>
          <w:p>
            <w:pPr>
              <w:spacing w:after="0"/>
              <w:rPr>
                <w:sz w:val="19"/>
                <w:szCs w:val="19"/>
                <w:color w:val="auto"/>
              </w:rPr>
            </w:pPr>
          </w:p>
        </w:tc>
        <w:tc>
          <w:tcPr>
            <w:tcW w:w="280" w:type="dxa"/>
            <w:vAlign w:val="bottom"/>
            <w:gridSpan w:val="4"/>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78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9A.</w:t>
            </w:r>
          </w:p>
        </w:tc>
        <w:tc>
          <w:tcPr>
            <w:tcW w:w="140" w:type="dxa"/>
            <w:vAlign w:val="bottom"/>
          </w:tcPr>
          <w:p>
            <w:pPr>
              <w:spacing w:after="0"/>
              <w:rPr>
                <w:sz w:val="17"/>
                <w:szCs w:val="17"/>
                <w:color w:val="auto"/>
              </w:rPr>
            </w:pPr>
          </w:p>
        </w:tc>
        <w:tc>
          <w:tcPr>
            <w:tcW w:w="84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9B.</w:t>
            </w:r>
          </w:p>
        </w:tc>
        <w:tc>
          <w:tcPr>
            <w:tcW w:w="20" w:type="dxa"/>
            <w:vAlign w:val="bottom"/>
            <w:tcBorders>
              <w:bottom w:val="single" w:sz="8" w:color="0000EE"/>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9C.</w:t>
            </w:r>
          </w:p>
        </w:tc>
        <w:tc>
          <w:tcPr>
            <w:tcW w:w="180" w:type="dxa"/>
            <w:vAlign w:val="bottom"/>
            <w:gridSpan w:val="3"/>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63"/>
        </w:trPr>
        <w:tc>
          <w:tcPr>
            <w:tcW w:w="1760" w:type="dxa"/>
            <w:vAlign w:val="bottom"/>
            <w:gridSpan w:val="7"/>
          </w:tcPr>
          <w:p>
            <w:pPr>
              <w:jc w:val="center"/>
              <w:ind w:right="1120"/>
              <w:spacing w:after="0"/>
              <w:rPr>
                <w:sz w:val="20"/>
                <w:szCs w:val="20"/>
                <w:color w:val="auto"/>
              </w:rPr>
            </w:pPr>
            <w:r>
              <w:rPr>
                <w:rFonts w:ascii="Times New Roman" w:cs="Times New Roman" w:eastAsia="Times New Roman" w:hAnsi="Times New Roman"/>
                <w:sz w:val="18"/>
                <w:szCs w:val="18"/>
                <w:color w:val="auto"/>
                <w:w w:val="93"/>
              </w:rPr>
              <w:t>PART III</w:t>
            </w:r>
          </w:p>
        </w:tc>
        <w:tc>
          <w:tcPr>
            <w:tcW w:w="8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1" w:right="33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46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6405" cy="8890"/>
                    </a:xfrm>
                    <a:prstGeom prst="rect">
                      <a:avLst/>
                    </a:prstGeom>
                    <a:noFill/>
                  </pic:spPr>
                </pic:pic>
              </a:graphicData>
            </a:graphic>
          </wp:anchor>
        </w:drawing>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2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MATTERS</w:t>
            </w:r>
          </w:p>
        </w:tc>
        <w:tc>
          <w:tcPr>
            <w:tcW w:w="660" w:type="dxa"/>
            <w:vAlign w:val="bottom"/>
          </w:tcPr>
          <w:p>
            <w:pPr>
              <w:spacing w:after="0"/>
              <w:rPr>
                <w:sz w:val="20"/>
                <w:szCs w:val="20"/>
                <w:color w:val="auto"/>
              </w:rPr>
            </w:pPr>
          </w:p>
        </w:tc>
      </w:tr>
      <w:tr>
        <w:trPr>
          <w:trHeight w:val="24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9" w:lineRule="exact"/>
        <w:rPr>
          <w:sz w:val="20"/>
          <w:szCs w:val="20"/>
          <w:color w:val="auto"/>
        </w:rPr>
      </w:pPr>
    </w:p>
    <w:p>
      <w:pPr>
        <w:sectPr>
          <w:pgSz w:w="11900" w:h="16838" w:orient="portrait"/>
          <w:cols w:equalWidth="0" w:num="2">
            <w:col w:w="1680" w:space="380"/>
            <w:col w:w="9180"/>
          </w:cols>
          <w:pgMar w:left="320" w:top="981"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PART IV</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15.</w:t>
            </w:r>
          </w:p>
        </w:tc>
        <w:tc>
          <w:tcPr>
            <w:tcW w:w="68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ITEM 16.</w:t>
            </w:r>
          </w:p>
        </w:tc>
        <w:tc>
          <w:tcPr>
            <w:tcW w:w="180" w:type="dxa"/>
            <w:vAlign w:val="bottom"/>
          </w:tcPr>
          <w:p>
            <w:pPr>
              <w:spacing w:after="0"/>
              <w:rPr>
                <w:sz w:val="19"/>
                <w:szCs w:val="19"/>
                <w:color w:val="auto"/>
              </w:rPr>
            </w:pPr>
          </w:p>
        </w:tc>
        <w:tc>
          <w:tcPr>
            <w:tcW w:w="68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FORM 10-K SUMMARY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920" w:type="dxa"/>
            <w:vAlign w:val="bottom"/>
          </w:tcPr>
          <w:p>
            <w:pPr>
              <w:spacing w:after="0"/>
              <w:rPr>
                <w:sz w:val="19"/>
                <w:szCs w:val="19"/>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3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 and Notes</w:t>
            </w:r>
          </w:p>
        </w:tc>
        <w:tc>
          <w:tcPr>
            <w:tcW w:w="20" w:type="dxa"/>
            <w:vAlign w:val="bottom"/>
            <w:tcBorders>
              <w:bottom w:val="single" w:sz="8" w:color="0000EE"/>
            </w:tcBorders>
          </w:tcPr>
          <w:p>
            <w:pPr>
              <w:spacing w:after="0"/>
              <w:rPr>
                <w:sz w:val="19"/>
                <w:szCs w:val="19"/>
                <w:color w:val="auto"/>
              </w:rPr>
            </w:pPr>
          </w:p>
        </w:tc>
        <w:tc>
          <w:tcPr>
            <w:tcW w:w="4460" w:type="dxa"/>
            <w:vAlign w:val="bottom"/>
            <w:gridSpan w:val="2"/>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23"/>
        </w:trPr>
        <w:tc>
          <w:tcPr>
            <w:tcW w:w="920" w:type="dxa"/>
            <w:vAlign w:val="bottom"/>
          </w:tcPr>
          <w:p>
            <w:pPr>
              <w:spacing w:after="0"/>
              <w:rPr>
                <w:sz w:val="19"/>
                <w:szCs w:val="19"/>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F-44</w:t>
            </w:r>
          </w:p>
        </w:tc>
      </w:tr>
      <w:tr>
        <w:trPr>
          <w:trHeight w:val="223"/>
        </w:trPr>
        <w:tc>
          <w:tcPr>
            <w:tcW w:w="920" w:type="dxa"/>
            <w:vAlign w:val="bottom"/>
          </w:tcPr>
          <w:p>
            <w:pPr>
              <w:spacing w:after="0"/>
              <w:rPr>
                <w:sz w:val="19"/>
                <w:szCs w:val="19"/>
                <w:color w:val="auto"/>
              </w:rPr>
            </w:pPr>
          </w:p>
        </w:tc>
        <w:tc>
          <w:tcPr>
            <w:tcW w:w="9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2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920" w:type="dxa"/>
            <w:vAlign w:val="bottom"/>
            <w:tcBorders>
              <w:top w:val="single" w:sz="8" w:color="0000FF"/>
            </w:tcBorders>
          </w:tcPr>
          <w:p>
            <w:pPr>
              <w:spacing w:after="0"/>
              <w:rPr>
                <w:sz w:val="19"/>
                <w:szCs w:val="19"/>
                <w:color w:val="auto"/>
              </w:rPr>
            </w:pPr>
          </w:p>
        </w:tc>
        <w:tc>
          <w:tcPr>
            <w:tcW w:w="35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E-67</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472"/>
        </w:trPr>
        <w:tc>
          <w:tcPr>
            <w:tcW w:w="9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Green Thumb Industries Inc. is a reporting issuer in the United States and Canada and the Company's Subordinate Voting Shares (as hereinafter defined) are listed for trading on the Canadian Securities Exchange (“CSE”) under the symbol “GTII.” The Company’s Subordinate Voting Shares are also traded in the United States on the OTCQX Best Market (the “OTCQX”) under the symbol “GTBIF.”</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Originally founded in 2014, Green Thumb began operations in 2015 upon the award of a medical marijuana license for cultivation/processing and retail sale of cannabis in Illinois. The Company has since expanded its operational footprint to 14 U.S. markets, including California, Connecticut, Florida, Illinois, Maryland, Massachusetts, Minnesota, Nevada, New Jersey, New York, Ohio, Pennsylvania, Rhode Island and Virginia. Currently, Green Thumb owns, manufactures, and distributes a portfolio of cannabis consumer packaged goods brands, including &amp;Shine, Beboe, Dogwalkers, Doctor Solomon’s, Good Green, incredibles and RYTHM, to third-party retail stores across the United States as well as to Green Thumb owned retail stores (which we refer to as our Consumer Packaged Goods business). The Company also owns and operates retail cannabis stores that include a national chain called RISE Dispensaries, as well as retail stores operating under other names. Our retail stores sell a combination of our products and third-party products (which we refer to as our Retail business).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subsidiaries, owns state-licensed medical and/or adult-use marijuana businesses in California, Connecticut, Florida, Illinois, Maryland, Massachusetts, Minnesota, Nevada, New Jersey, New York, Ohio, Pennsylvania, Rhode Island and Virginia. The following organizational chart describes the organizational structure of the Company as of December 31, 2023. See Exhibit 21.1 to this document for a list of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130810</wp:posOffset>
            </wp:positionV>
            <wp:extent cx="6172200" cy="3471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The registered office of the Company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headquarters is located at 325 W. Huron Street, Suite 700, Chicago, Illinois 60654.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 Senior Secured Notes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April 30, 2021, the Company closed a $216,734 thousand senior secured non-brokered private placement financing through the issuance of senior secured notes (the “April 30, 2021 Notes”) pursuant to the Second Amendment to the Note Purchase Agreement (the “Note Purchase Agreement”). The Company used the proceeds to retire the Company’s existing $105,466 thousand, senior secured notes due May 22, 2023 (the “May 22, 2019 Notes”) and the remaining proceeds for general working capital purposes as well as various growth initiatives. The April 30, 2021 Notes originally had a maturity date of April 30, 2024 and bear interest from the date of issue of 7.00% per annum, payable quarterly, with an option, at the discretion of the Company, to extend for an additional twelve months. The financing permitted the Company to borrow an additional $33,266 thousand over the next twelve months. The purchasers of the April 30, 2021 Notes also received 1,459,044 warrants (the “Warrants”), which allow the holder to purchase one Subordinate Voting Share of the Company at an exercise price of $32.68 per share, for a period of 60 months from the date of issue.</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October 15, 2021, the Company amended its existing Note Purchase Agreement with the Second Amended Note Purchase Agreement dated April 30, 2021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April 30, 2021 Note Purchase Agreement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for the purposes of borrowing an additional $33,200 thousand, as permitted under the April 30, 2021 Notes Purchase Agreement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Amended Notes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The additional borrowings have terms consistent with the April 30, 2021 Notes and increased the total amount borrowed to $249,934 thousand. The purchasers of the Amended Notes received an additional 243,303 warrants which allow the holder to purchase one Subordinate Voting Share of the Company at an exercise price of $30.02 per share, for a period of 60 months from the date of issue.</w:t>
      </w:r>
    </w:p>
    <w:p>
      <w:pPr>
        <w:spacing w:after="0" w:line="19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On July 14, 2022, Green Thumb announced it exercised its right to extend the maturity date of the April 30, 2021 Notes by one year from April 30, 2024 to April 30, 2025. The extended maturity date did not involve any amendments to the April 30, 2021 Notes or any additional consideration to the existing lenders.</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From October 19, 2023 through November 30, 2023, the Company repurchased $25,500 thousand of the April 30, 2021 Notes held by unrelated third-party lenders at 95% of their original value. In connection with the repurchase, the Company also wrote-off $350 thousand of the associated unamortized debt discount. The April 30, 2021 Notes have an outstanding principal balance of $224,934 thousand and are recorded net of debt discount, the carrying value of which was $2,775 thousand as of December 31, 2023.</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 Mortgage Financing Arrangement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Low Moor, Virginia Mortgage Note</w:t>
      </w:r>
    </w:p>
    <w:p>
      <w:pPr>
        <w:spacing w:after="0" w:line="22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CPG facility at Low Moor, Virginia in the amount of up to $31,000 thousand.</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On October 23, 2023, the Construction Loan converted into a $30,998 thousand mortgage note bearing interest of 7.75% per annum, with a maturity date of October 1, 2034.</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Ocala, Florida Mortgage Note</w:t>
      </w:r>
    </w:p>
    <w:p>
      <w:pPr>
        <w:spacing w:after="0" w:line="22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December 7, 2023, the Company closed on a $15,000 thousand mortgage note associated with its Ocala, Florida CPG facility bearing an interest rate of 7.45% per annum, with a maturity date of December 31, 2028.</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Cottage Grove, Minnesota Mortgage Note</w:t>
      </w:r>
    </w:p>
    <w:p>
      <w:pPr>
        <w:spacing w:after="0" w:line="22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On December 14, 2023, the Company closed on a $17,000 thousand mortgage note associated with its Cottage Grove CPG facility bearing an interest rate of 7.75% per annum, with a maturity date of January 1, 2029.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Notes Payable for details.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promotes well-being through the power of cannabis through branded consumer packaged goods and people-first retail experiences, while giving back to the communities in which it serves. As of December 31, 2023, Green Thumb has operations across fourteen U.S. markets, employs approximately 4,600 people and serves millions of patients and customers annually.</w:t>
      </w:r>
    </w:p>
    <w:p>
      <w:pPr>
        <w:spacing w:after="0" w:line="176"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to third-party licensed retail cannabis stores across the United States as well as to Green Thumb's own retail stores (which we refer to as our Retail business).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and then use to produce our consumer packaged goods in twenty owned and operated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 These Consumer Packaged Goods products are sold in retail locations throughout the thirteen U.S. markets Green Thumb operates in including Green Thumb’s own RISE Dispensaries.</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provides educational and positive retail experiences aimed to deliver a superior level of customer service guided by our knowledgeable Personal Care Specialists while offering a high-quality assortment of cannabis products. In addition, we own stores under other names subject to licensing or similar restrictions. The income from Green Thumb’s retail stores is derived primarily from the sale of cannabis-related products, which includes the sale of Green Thumb produced products as well as those produced by third parties, with an immaterial (less than 10%) portion of this income resulting from the sale of other merchandise (such as t-shirts and accessories for cannabis use). The RISE Dispensaries currently are located in fourteen of the states in which we operate. As of December 31, 2023, the Company had 91 open and operating retail locations. The Company’s new store opening plans will remain fluid depending on market conditions, our ability to obtain local licensing, construction and other permissions and subject to the Company’s capital allocation plans.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Revenue Streams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242021"/>
        </w:rPr>
        <w:t xml:space="preserve">The Company has generated revenues through its operating businesses from the </w:t>
      </w:r>
      <w:r>
        <w:rPr>
          <w:rFonts w:ascii="Times New Roman" w:cs="Times New Roman" w:eastAsia="Times New Roman" w:hAnsi="Times New Roman"/>
          <w:sz w:val="18"/>
          <w:szCs w:val="18"/>
          <w:color w:val="000000"/>
        </w:rPr>
        <w:t>manufacture, sale and distribution of branded cannabis products</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to third-party licensed retail customers as well as the sale of finished products to consumers in its retail stores.</w:t>
      </w:r>
    </w:p>
    <w:p>
      <w:pPr>
        <w:spacing w:after="0" w:line="16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percentage of total revenue contributed by operations of the Consumer Packaged Goods segment was 25%, 25% and 31% for the years ended December 31, 2023, 2022 and 2021 respectively. The percentage of total revenue contributed by the Retail segment was 75%, 75% and 69% for the years ended December 31, 2023, 2022 and 2021, respectively. See Item 7—“Management Discussion and Analysis of Financial Conditions and Results of Operations” for details on key financial highlights.</w:t>
      </w:r>
    </w:p>
    <w:p>
      <w:pPr>
        <w:spacing w:after="0" w:line="180"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2023, Green Thumb has operating revenue in 14 markets (California, Connecticut, Florida, Illinois, Maryland, Massachusetts, Minnesota, Nevada, New Jersey, New York, Ohio, Pennsylvania, Rhode Island and Virginia).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29" w:lineRule="exact"/>
        <w:rPr>
          <w:sz w:val="20"/>
          <w:szCs w:val="20"/>
          <w:color w:val="auto"/>
        </w:rPr>
      </w:pPr>
    </w:p>
    <w:p>
      <w:pPr>
        <w:ind w:right="2540" w:firstLine="749"/>
        <w:spacing w:after="0" w:line="282" w:lineRule="auto"/>
        <w:rPr>
          <w:sz w:val="20"/>
          <w:szCs w:val="20"/>
          <w:color w:val="auto"/>
        </w:rPr>
      </w:pPr>
      <w:r>
        <w:rPr>
          <w:rFonts w:ascii="Times New Roman" w:cs="Times New Roman" w:eastAsia="Times New Roman" w:hAnsi="Times New Roman"/>
          <w:sz w:val="18"/>
          <w:szCs w:val="18"/>
          <w:color w:val="auto"/>
        </w:rPr>
        <w:t>Green Thumb operates in 14 U.S. states: California, Connecticut, Florida, Illinois, Maryland, Massachusetts, Minnesota, Nevada, New Jersey, New York, Ohio, Pennsylvania, Rhode Island and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122555</wp:posOffset>
            </wp:positionV>
            <wp:extent cx="5263515" cy="2966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351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Research, Design and Development</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Company’s branded products portfolio includes SKUs across a range of product categories, including flower, pre-rolls, concentrates, vape, tinctures, edibles, topicals and other cannabis-related products. Green Thumb engages in research and development activities focused on developing new extracted or infused cannabis consumer packaged products.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branded products are produced in manufacturing facilities across thirteen U.S. states where we cultivate, process and manufacture cannabis consumer packaged goods. Our finished goods production is manufactured by our owned production facilities.</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Sources and Availability of Materials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Customers of our Consumer Packaged Goods business include legal state-licensed cannabis stores within each U.S. state in which we operate. Green Thumb is not dependent upon a single customer, or a few customers, and the loss of any one or more of our customers would not have a material adverse effect on the business. No customer accounted for 10% or more of our consolidated net revenue during the fiscal years ended December 31, 2023, 2022 or 2021, respectively.</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8" w:name="page9"/>
    <w:bookmarkEnd w:id="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To meet the array of unique customer needs, we offer a variety of cannabis products at each of our RISE and other retail dispensaries, totaling thousands of SKUs in managed inventory, covering a comprehensive list of packaged product categories including flower, concentrates, topicals (bath and beauty products) and edibles (confection and snacks).</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leverage our own retail channel, RISE, and our other stores to distribute our branded product portfolio, such as &amp;Shine, Beboe, Dogwalkers, Doctor Solomon’s, Good Green, incredibles, and RYTHM.</w:t>
      </w:r>
    </w:p>
    <w:p>
      <w:pPr>
        <w:spacing w:after="0" w:line="16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All products we sell have passed state-mandated third party testing as required by applicable law to help assure that they do not contain impermissible levels of toxins, microbials or other harmful substances, and that they meet the Company's vendor requirements for quality assurance and reliability. Products are inventoried in a comprehensive seed-to-sale tracking software to minimize product slippage and inventory deviation.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Omnichannel Distribution</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 Patents and Trademarks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believe that brand protection is critical to our business strategy. We regularly seek to protect our intellectual property rights in connection with our operating names (e.g., Green Thumb and RISE), our consumer packaged goods (e.g., &amp;Shine, Beboe, Dogwalkers, Dr. Solomon's, Good Green, incredibles &amp;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we are not able to protect all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 The Company also licenses certain intellectual property to and from third parties for the manufacture and sale of consumer products.</w:t>
      </w:r>
    </w:p>
    <w:p>
      <w:pPr>
        <w:spacing w:after="0" w:line="19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As the Company became licensed to cultivate cannabis, we have developed proprietary cultivation techniques. The Company has also developed certain proprietary intellectual property for operating hydrocarbon extraction, carbon dioxide extraction, ethanol extraction and solventless extraction, including production best practices, procedures and methods. This requires specialized skills in cultivation, extraction and refining.</w:t>
      </w:r>
    </w:p>
    <w:p>
      <w:pPr>
        <w:spacing w:after="0" w:line="176"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The Company relies on its code of conduct agreements to protect its intellectual property rights. To the extent the Company describes or discloses its proprietary cultivation or extraction techniques in its applications for cultivation or processing licenses, the Company redacts or requests redaction of such information prior to public disclosure.</w:t>
      </w:r>
    </w:p>
    <w:p>
      <w:pPr>
        <w:spacing w:after="0" w:line="176"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has sought U.S. patent protection for certain of its Doctor Solomon’s products, namely a utility patent for compositions and methods for treating skin and neuropathic conditions and disorders. Where commercially reasonable, we will seek further U.S. patent protection on other eligible products and services. The Company owns several website domains, including www.gtigrows.com, numerous social media accounts across all major platforms, and various phone and web application platforms.</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Company has successfully registered over 100 trademarks across the United States as well as internationally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utilize joint ventures and make equity investments in non-affiliated third parties to both comply with state regulatory requirements in certain states and advance our mission to promote a more equitable, diverse cannabis industry. Partnering with one or more non-affiliated third parties provides the Company with the opportunity to mitigate certain operational and financial risks while ensuring continued compliance with the applicable regulatory guidelines. As of December 31, 2023, the Company holds minority interests in several non-affiliated third parties for the operation of dispensaries in Connecticut and Massachusetts, as well as the production, distribution and development of various products. None of these investments or ventures are material to the Company.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liquidity and Capital Resources, see Item 7—“Management’s Discussion and Analysis of Financial Condition and Results of Operations.”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2023, Green Thumb employs approximately 4,600 team members including corporate, retail and cultivation and processing, both full- and part-time employees, and including but not limited to: finance and accounting, legal and compliance, supply chain and operations, sales and marketing, commercial and cannabis agriculture, chemists, customer service, construction and project management, real estate, information technology and human resources. We offer a comprehensive package of company-sponsored benefits to our team. Eligibility depends on the full-time or part-time status, employee location and other factors, and benefits include participation in a 401(k) retirement savings plan, medical and dental plans, disability insurance, employee assistance programs and life insurance. Additionally, we believe in aligned incentives and use our employee stock and incentive plan for a competitive total rewards program.</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employees are split across the Company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Cultivation and Processing:</w:t>
            </w: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4,561</w:t>
            </w:r>
          </w:p>
        </w:tc>
      </w:tr>
    </w:tbl>
    <w:p>
      <w:pPr>
        <w:spacing w:after="0" w:line="20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approximately 575 of our employees at various cultivation and retail facilities have elected to be represented by a labor organization for purposes of collective bargaining.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Competitive Conditions and the Company’s Position in the Industry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markets in which the Company distributes its products and operates retail stores are highly competitive. Some of those markets have relatively high barriers to entry due to the licensing requirements. The Company competes directly with other cannabis producers and retailers, some of which operate only in a specific market and some of which operate across several U.S. markets. More broadly, Green Thumb views manufacturers of other consumer products, such as those in the pharmaceuticals; alcohol; tobacco; consumable hemp, including consumable hemp-derived THC variants such as Delta-8 THC and, Delta-9 THC (“psychoactive hemp-based products”); health and beauty; and functional wellness industries, as potential competitors. Product quality, performance, new product innovation and development, packaging, customer experience and consumer price/value are important differentiating factors.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faces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Some of the manufacturing and retail competitors in our markets consist of localized businesses (i.e. doing business in only a single state market). There are also multistate operators with whom the Company competes directly in several of the Company’s operating markets. Aside from this direct competition, out-of-state operators that are capitalized well enough to enter those markets through acquisitions are also part of the competitive landscape. Similarly, as the Company executes its national U.S. growth strategy, operators in any state markets we may enter in the future will inevitably become direct competitors.</w:t>
      </w:r>
    </w:p>
    <w:p>
      <w:pPr>
        <w:spacing w:after="0" w:line="19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Because of the early stage of the industry in which the Company operates, the Company faces additional competition from new entrants. If the number of consumers of medical and adult-use cannabis in the states in which the Company operates its business increases, the demand for products will increase and the Company expects that competition will become more intense, as current and future competitors begin to offer an increasing quantity and variety of diversified products. To remain competitive, the Company will require a continued high level of investment in research and development, marketing, sales and client support. The Company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Company experiences significant competition for its products from illicit operators who are not licensed pursuant to their state’s cannabis laws and regulations. Moreover, markets across the United States have seen the widespread proliferation of psychoactive hemp-based products. Most psychoactive hemp-based products on the market are derived from the chemical conversion of hemp-derived CBD. These products are marketed in a legal grey area due to ambiguities created in the 2018 Farm Bill (the “Farm Bill”) that effectively legalized hemp (cannabis containing less than 0.3% percent THC) on a national level (“Farm Bill compliant hemp products”). These psychoactive hemp-based products, including Farm Bill compliant hemp products, are frequently not being manufactured and distributed in the U.S by state-licensed cannabis processors and dispensaries. Instead, they are being manufactured and distributed by, for example, convenience stores, gas stations, smoke shops, head shops, and the Internet. These products do not appear to be subject to the testing, packaging, labeling, licensing and other requirements applicable to the Company’s products such as seed-to-sale tracking (which makes product recalls possible) and are being sold without state-mandated cannabis excise taxes applied, thus leading to significant price differentials with the Company’s products.</w:t>
      </w:r>
    </w:p>
    <w:p>
      <w:pPr>
        <w:spacing w:after="0" w:line="19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Given the pricing differential, the absence of the application of Section 280E of the U.S. Internal Revenue Code, as amended (“Section 280E”), state cannabis excise taxes, the continued proliferation of unregulated psychoactive hemp-based products through unlicensed distribution points could ultimately alter certain elements of the current cannabis market in the U.S. Recently, however, several states have begun to promulgate new regulations and interpretations of existing regulations that effectively prohibit the development of these products. If this trend continues, the potential impact of psychoactive hemp-based products on the cannabis market could be blunted. Proposed federal legislation, if passed, could also severely limit or prevent altogether the proliferation of psychoactive hemp-based products.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1A—“Risk Factors” for more information with respect to competition.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Cannabis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Below is a discussion of the federal and state-level regulatory regimes in the jurisdictions where the Company is currently operating through its subsidiaries.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illegality of Cannabis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U.S. federal government regulates drugs through the Controlled Substances Act (21 U.S.C. § 811),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rescinded the Cole Memorandum. Despite its rescission, federal prosecutors appear to continue to use the Cole Memorandum’s priorities as an enforcement guide. Attorney General Merrick Garland stated during his congressional testimony in February 2021, that the Justice Department would not pursue cases against Americans complying with laws of the states that have legalized and are regulating cannabis. In October 2022, President Joseph R. Biden, announced that cannabis scheduling under federal law would be reviewed, noting that cannabis is scheduled as more dangerous than fentanyl and methamphetamine, two substances that are driving an overdose epidemic in the country. In October 2022, President Biden also announced a mass pardon of persons who had been convicted of simple marijuana possession under federal law. In December 2022, President Biden signed the Medical Marijuana and Cannabidiol Research Expansion Act into law, which provides for significantly broader opportunities to study cannabis.</w:t>
      </w:r>
    </w:p>
    <w:p>
      <w:pPr>
        <w:spacing w:after="0" w:line="19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August 29, 2023, and in response to President Biden’s directive to review cannabis’s scheduling, the Department of Health and Human Services (“HHS”) formally presented its recommendation to the Drug Enforcement Administration (“DEA”) that cannabis be rescheduled to Schedule III from Schedule I. Section 280E does not apply to those trafficking in Schedule III controlled substances. The DEA, which has final jurisdiction over scheduling decisions, has yet to complete its review of HHS’s recommendation. In December, President Biden built on his previous mass pardon by issuing a presidential proclamation, broadening it to cover convictions for attempted possession of cannabis, as well as convictions under the Code of the District of Columbia and violations of the Code of Federal Regulations.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an industry best practice, the Company continues to employ the following policies to ensure compliance with the guidance provided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Cole Memorandum:</w:t>
      </w:r>
    </w:p>
    <w:p>
      <w:pPr>
        <w:spacing w:after="0" w:line="315" w:lineRule="exact"/>
        <w:rPr>
          <w:sz w:val="20"/>
          <w:szCs w:val="20"/>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our subsidiaries’ operations are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w:t>
      </w:r>
    </w:p>
    <w:p>
      <w:pPr>
        <w:spacing w:after="0" w:line="28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cannabis-related activities adhere to the scope of the licensing obtained - for example, in states where only medical cannabis is permitted, the products are only sold to patients who hold the appropriate medical licensing to permit the possession of the cannabis; in states where cannabis is permitted for adult-use, the products are only sold to individuals who meet the requisite age requirements;</w:t>
      </w:r>
    </w:p>
    <w:p>
      <w:pPr>
        <w:spacing w:after="0" w:line="28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subsidiaries must pass a range of requirements, adhere to strict business practice standards and be subject to strict regulatory oversight to ensure that no revenue is distributed to criminal enterprises, gangs or cartels;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ind w:left="1020" w:right="4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 inventory tracking system and necessary procedures to help ensure that such compliance system is effective in tracking inventory and preventing diversion of cannabis or cannabis products, and we employ strict customer identification protocols to prevent sales to minors;</w:t>
      </w:r>
    </w:p>
    <w:p>
      <w:pPr>
        <w:spacing w:after="0" w:line="28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state-authorized cannabis business activity is not used as a cover or pretense for trafficking of other illegal drugs, and we are not engaged in any other illegal activity; and</w:t>
      </w:r>
    </w:p>
    <w:p>
      <w:pPr>
        <w:spacing w:after="0" w:line="269"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reviews of products and product packaging to ensure that such products and product packaging comply with applicable regulations and contain necessary disclaimers about the contents of the products.</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have been efforts at reforming federal cannabis law. As of December 31, 2023, there were more than a dozen proposed congressional bills addressing a myriad of issues regarding the cannabis industry, from banking and tax reform to full legalization. However, none have passed into law.</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There does exist a legislative safeguard for the medical cannabis industry, appended to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 against regulated medical cannabis actors operating in compliance with state and local law. On December 29, 2022, the amendment was renewed as part of the Consolidated Appropriations Acts of 2023, H.R. 2617, which was effective through September 30, 2023. The amendment has since been extended by Continuing Resolutions until February 2, 2024.</w:t>
      </w:r>
    </w:p>
    <w:p>
      <w:pPr>
        <w:spacing w:after="0" w:line="18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there is a risk that federal authorities may enforce current U.S. federal law criminalizing cannabis.</w:t>
      </w:r>
    </w:p>
    <w:p>
      <w:pPr>
        <w:spacing w:after="0" w:line="189"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18"/>
          <w:szCs w:val="18"/>
          <w:color w:val="auto"/>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Law and Ability to Access Public and Private Capital</w:t>
      </w:r>
    </w:p>
    <w:p>
      <w:pPr>
        <w:spacing w:after="0" w:line="22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services to businesses involved in the cannabis industry and U.S. multistate operators are currently not permitted to list securities on the U.S. securities exchanges. Consequently, it may be difficult for us to obtain financing from large U.S. financial institutions.</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and state-chartered financial institutions. Our executive team and Board also have extensive relationships with sources of capital (such as funds and high net worth individuals).</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addition to our working capital, we continue to generate adequate cash to fund our operations from capital raising transactions. Our business plan continues to include growth, in the form of acquisitions and through facility expansion and improvements.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However, there can be no assurance that additional financing will be available to us when needed or on terms that are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Access to Banking and Other Financial Services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Networks, which we refer to as “FinCEN”, issued the FinCEN Memorandum on February 14, 2014, outlining the pathways for financial institutions to back cannabis businesses in compliance with federal enforcement priorities. These guidelines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w:t>
      </w:r>
    </w:p>
    <w:p>
      <w:pPr>
        <w:spacing w:after="0" w:line="19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March 7, 2019, Democratic U.S.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but it has not passed in the U.S. Senate. On September 27, 2023, the Senate Banking Committee did pass the SAFER Banking Act on a bipartisan vote of 14-9. While the bill has yet to be brought to the Senate floor, the committee vote represents the first occasion a Senate Committee has successfully passed cannabis banking legislation. The bill faces an uncertain future in the current U.S. House of Representatives.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Cannabis Law</w:t>
      </w:r>
    </w:p>
    <w:p>
      <w:pPr>
        <w:spacing w:after="0" w:line="22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federal law. Although certain states and territories of the U.S. authorize medical and/or adult-use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that may be brought against the Company.</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2023, 38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Medical-Only Markets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of the medical-only markets in which the Company does business (Florida and Pennsylvania, and until their adult-use programs launch, Ohio, Minnesota and Virginia) have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has a legal adult-use market (including Illinois, California, Connecticut, Maryland, Massachusetts, Nevada, New Jersey, New York and Rhode Island) has regulations specifying which medical conditions qualify a patient for a license to purchase cannabis, and generally require the approval from a physician. Ohio, Minnesota and Virginia have also legalized adult-use cannabis, but have not fully launched their adult-use programs. Ohio adult use sales are expected to begin in Q4 2024. Minnesota adult use sales are expected to begin in Q1 2025. In Virginia, there is currently no date for the start of adult-use retail sales.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Adult-Use Markets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has adult-use operations in California, Connecticut, Illinois, Maryland, Massachusetts, Nevada, New Jersey, New York and Rhode Island. Many of the adult-use markets in which the Company operates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Purchasers of adult-use cannabis generally are subject to higher sales taxes than those that apply to purchasers who are authorized for medical purposes. However, anecdotal evidence suggests that some consumers who meet the criteria to apply for medical licenses make adult-use purchases and avoid pursuing a state’s medical registration/qualification process.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States Where We Operate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of federal enforcement and other risks associated with the Company’s business are described in Item 1A—“Risk Factors.”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Cannabis Market at State and Local Level</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w:t>
      </w:r>
    </w:p>
    <w:p>
      <w:pPr>
        <w:spacing w:after="0" w:line="16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Each state in which we operate specifies the types of cannabis licenses that are required for the various activities in which we engage. There are three primary types of licenses: cultivation, processing, and retail/dispensary. Cultivation licenses generally permit the holder to acquire and cultivate cannabis and sell that cannabis to dispensaries or processors. Some states allow cultivation license holders to process cannabis into cannabis-infused products as well, while other states require a separate processing license for this activity. Retail dispensary licenses permit the holder to purchase cannabis from cultivation or processing facilities and sell those products to individuals approved under their state’s medical cannabis program or, where adult-use is permitted, to adults over the age of 21. Some states require a separate license for each activity, while others issue a single vertically integrated license that allows the holder to cultivate, process, and sell cannabis.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California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California was the first state to legalize medical cannabis through Proposition 215, the Compassionate Use Act of 1996.</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September 2015, the California legislature passed three bills collectively known as the Medical Cannabis Regulation and Safety Act. In November 2016, voters in California overwhelmingly passed Proposition 64, the Adult-Use of Marijuana Act creating an adult-use cannabis program for adults 21 years of age or older. The Medicinal and Adult-Use Cannabis Regulation and Safety Act, which provides for a single set of regulations to govern a medical and adult-use licensing went into effect on January 1, 2018.</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California License and Regulations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order to legally operate a medical or adult-use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2021, we opened our first California retail operation in Pasadena. We follow all regulatory requirements regarding the reporting of inventory movement and sale, as well as all other data reporting and record retention requirements mandated by California.</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8"/>
          <w:szCs w:val="18"/>
          <w:u w:val="single" w:color="auto"/>
          <w:color w:val="auto"/>
        </w:rPr>
        <w:t>Connecticut</w:t>
      </w:r>
    </w:p>
    <w:p>
      <w:pPr>
        <w:spacing w:after="0" w:line="22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Connecticut’s medical cannabis program was introduced in May 2012 when the General Assembly passed legislation PA 12-55 “An Act Concerning the Palliative Use of Marijuana,” providing for the use of cannabis in the state by approved patients with written consent from a physician or advanced practice nurse. In June 2021, PA 21-1 was signed into law, legalizing adult-use cannabis as of July 1, 2021. On July 1, 2021, PA 21-1 went into effect, allowing for the purchase and use of cannabis by any adult over the age of 21. The first adult-use sales in the state began in January 2023.</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Connecticut Licenses and Regulations</w:t>
      </w:r>
    </w:p>
    <w:p>
      <w:pPr>
        <w:spacing w:after="0" w:line="227"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Connecticut Department of Consumer Protection has issued regulations regarding the Medical Marijuana and Adult-use Programs in Connecticut.</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are two principal medical cannabis license categories in Connecticut: (1) cultivation/processing and (2) dispensary. We are licensed to operate one hybrid adult-use/medical cannabis cultivation/processing facility two medical cannabis dispensaries and one hybrid adult-use/medical cannabis dispensary. All licenses are, as of the date hereof, active with the State of Connecticut. Each facility licensee is independently issued.</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Connecticut.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Florida</w:t>
      </w:r>
    </w:p>
    <w:p>
      <w:pPr>
        <w:spacing w:after="0" w:line="225"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2016, the Florida Medical Marijuana Legalization Initiative was introduced by citizen referendum and passed on November 8, 2016. This language, known as “Amendment 2,” amended the state constitution and mandated an expansion of the state’s medical cannabis program, which was previously limited to patients suffering from a diagnosed terminal condition.</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Florida Licenses and Regulations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is one principal license category in Florida: the vertically-integrated Medical Marijuana Treatment Centers (“MMTC”) license. Licenses are issued by the Florida Department of Health, Office of Medical Marijuana Use, and license holders can only own one license. There is no limit on the number of facilities that can be operated under an MMTC license. We currently are approved to operate two medical cannabis cultivation/processing facilities and fourteen medical cannabis dispensaries under our single MMTC license. All operating facilities are, as of the date hereof, active with the State of Florida.</w:t>
      </w:r>
    </w:p>
    <w:p>
      <w:pPr>
        <w:spacing w:after="0" w:line="183"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As our operations in Florida are vertically-integrated, we are able to cultivate, harvest, process and sell/dispense/deliver our own medical cannabis products.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Florida.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2013, the Illinois General Assembly passed the Compassionate Use of Medical Cannabis Pilot Program Act, which went into effect on January 1, 2014, allowing the use of cannabis in the state by approved patients with written medical consent. In June 2019, the Governor signed the Cannabis Regulation and Tax Act, legalizing cannabis for adult-use and the law went into effect on June 25, 2019. Adult-use sales of cannabis began in the state on January 1, 2020.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i w:val="1"/>
          <w:iCs w:val="1"/>
          <w:color w:val="auto"/>
        </w:rPr>
        <w:t>Illinois Licenses and Regulations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There are four principal license categories in Illinois: (1) cultivation (which includes processing); (2) infusing; (3) transportation; and (4) dispensary. Dispensaries are regulated by the Illinois Department of Financial and Professional Regulation; the remainder are regulated by the Department of Agriculture. Licenses are independently issued for each approved activity for use at our facilities in Illinois. We have two cultivation facilities operating under two cultivation licenses. We have 10 operating dispensaries, which is the statutory cap, operating under 15 total licenses (10 adult-use dispensary licenses and 5 medical dispensary licenses). By applicable law, we are not permitted to add medical dispensary licenses to the 5 locations that only have adult-use sales.</w:t>
      </w:r>
    </w:p>
    <w:p>
      <w:pPr>
        <w:spacing w:after="0" w:line="1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Illinois.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2014, the Maryland legislature passed HB 881/SB 923, establishing a comprehensive medical cannabis program and the program became operational on December 1, 2017. The Maryland Medical Cannabis Commission regulates the state program, which allows the use of cannabis in the state by approved patients with written medical consent.</w:t>
      </w:r>
    </w:p>
    <w:p>
      <w:pPr>
        <w:spacing w:after="0" w:line="176"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November 2022, a ballot question passed legalizing possession of up to 1.5 ounces of cannabis and home cultivation of up to two plants beginning July 1, 2023. On May 3, 2023, Maryland Governor Moore signed the Cannabis Reform Act, authorizing existing medical dispensaries to transition their licenses into dual medical and adult-use sales by July 1, 2023. The legislation also established the Maryland Cannabis Administration to oversee and regulate Maryland’s cannabis program and to issue additional grower, processor, and dispensary licenses, and newly created micro-grower, micro-processor, micro-dispensary, incubator, and on-site consumption licenses over two licensing application rounds. Adult-use sales in Maryland began on July 1, 2023.</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Maryland Licenses and Regulations</w:t>
      </w:r>
    </w:p>
    <w:p>
      <w:pPr>
        <w:spacing w:after="0" w:line="22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are three principal license categories in Maryland as of January 2023: (1) cultivation, (2) processing and (3) dispensary. There is generally no distinction between medical and adult-use licenses. We own one cultivation license, one processing license and four retail dispensaries. All licenses are, as of the date hereof, active with the State of Maryland. The licenses are independently issued for each approved activity.</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Maryland.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225"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Massachusetts legalized medical cannabis when voters passed a ballot initiative in 2012. The law took effect on January 1, 2013. Adult-use cannabis became legal in Massachusetts as of December 15, 2016, following a ballot initiative in November 2016. In September 2017, the Cannabis Control Commission was established to regulate medical and adult-use of cannabis in the state.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Massachusetts Licenses and Regulations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 the medical side, there is one principal license category in Massachusetts: a vertically integrated Medical Marijuana Treatment Center (“MTC”) license. MTCs grow, process and dispense their own cannabis. On the adult-use side, there are many license categories, but the two principal ones are Marijuana Cultivator and Marijuana Establishment (dispensary).</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Cannabis Control Commission, a regulatory body created in 2018, oversees the medical and adult-use programs, including licensing of cultivation, processing and dispensary facilities. Licensed medical dispensaries are given priority status in adult-use licensing.</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have two MTCs in Massachusetts, which include two medical cultivation facilities and two medical retail dispensaries. We have three adult-use dispensaries and one adult-use cultivation center.</w:t>
      </w:r>
    </w:p>
    <w:p>
      <w:pPr>
        <w:spacing w:after="0" w:line="162"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Massachusetts.</w:t>
      </w: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u w:val="single" w:color="auto"/>
          <w:color w:val="auto"/>
        </w:rPr>
        <w:t>Minnesota</w:t>
      </w:r>
    </w:p>
    <w:p>
      <w:pPr>
        <w:spacing w:after="0" w:line="225"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2014, Minnesota created a medical cannabis program for patients with qualifying medical conditions upon physician, physician assistant or nurse practitioner recommendation.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Minnesota License and Regulations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one category of licensure in Minnesota: medical cannabis manufacturer.</w:t>
      </w:r>
    </w:p>
    <w:p>
      <w:pPr>
        <w:spacing w:after="0" w:line="225"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A medical cannabis manufacturer is an entity registered with the Commissioner of Health that can cultivate, acquire, manufacture, possess, prepare, transfer, transport, supply, and dispense medical cannabis.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main regulatory body for cannabis is the Minnesota Department of Health, Office of Medical Cannabis.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2023, we have one cultivation and processing facility and seven operating dispensaries in Minnesota.</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2022, Minnesota made changes to a hemp statute (Minn. Stat. 151.72), permitting the sale of “low-dose” hemp derived THC products (psychoactive hemp-based products), including edibles, beverages, and topicals, in retail outlets like grocery and convenience stores upon licensure from the State. On June 6, 2023, Minnesota Governor Tim Walz signed the Minnesota Adult Use Cannabis Act creating a framework for adult-use legalization and establishing the Office of Cannabis Management (OCM), which is responsible for regulating cannabis and hemp. Retail sales of Cannabis under the adult-use statute are expected to begin in the first quarter of 2025.</w:t>
      </w:r>
    </w:p>
    <w:p>
      <w:pPr>
        <w:spacing w:after="0" w:line="183"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Minnesota.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Nevada</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Nevada became a medical cannabis state in 2001. In 2013, the Nevada legislature passed SB374, providing for state licensing of medical cannabis establishments. On November 8, 2016, Nevada voters passed NRS 435D by ballot initiative allowing for the sale of cannabis for adult-use starting on July 1, 2017. On June 12, 2019, the laws were revised, creating the Nevada Cannabis Compliance Board to oversee administration of the program. The new laws also provided that each cannabis establishment must obtain a license from its local jurisdiction as well as the state.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Nevada Licenses and Regulations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Nevada: (1) cultivation, (2) processing and (3) dispensary. We are licensed to operate two medical and adult-use cultivation facilities, three medical and adult-use processing facilities, five medical dispensary licenses and up to thirteen adult-use retail locations. All licenses are, as of the date hereof, active with the State of Nevada. The licenses are independently issued for each approved activity for use at our facilities in Nevada.</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Nevada.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225"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On January 18, 2010, the governor of New Jersey signed into law S.119, the Compassionate Use Medical Marijuana Act, providing for permitting the use of medical cannabis with physician approval.</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On July 2, 2019, the governor of New Jersey signed the Jake Honig Compassionate Use Medical Cannabis Act into law, which amended the Compassionate Use Medical Marijuana Act to allow for more license types.</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After voters approved a ballot measure in November 2019, the governor of New Jersey signed three bills into law in 2021 that establish an adult-use program for adults who are at least 21 years old. New Jersey began adult-use sales on April 1,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8"/>
          <w:szCs w:val="18"/>
          <w:i w:val="1"/>
          <w:iCs w:val="1"/>
          <w:color w:val="auto"/>
        </w:rPr>
        <w:t>New Jersey Licenses and Regulations</w:t>
      </w:r>
    </w:p>
    <w:p>
      <w:pPr>
        <w:spacing w:after="0" w:line="22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New Jersey Cannabis Regulatory Commission is responsible for regulating cannabis in New Jersey. License types in New Jersey include vertically integrated medical Alternative Treatment Centers and medical or adult-use cultivator, dispensary, and manufacturer licenses.</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licensed to operate two adult-use/medical cultivation facilities, one of which is co-located with a processing facility, one retail medical cannabis dispensary and two retail adult-use/medical dispensaries in the state of New Jersey. All licenses are, as of the date hereof, active with the State of New Jersey. The licenses are independently issued for each approved activity for use at our facilities in New Jersey.</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Jersey.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York</w:t>
      </w:r>
    </w:p>
    <w:p>
      <w:pPr>
        <w:spacing w:after="0" w:line="225"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In July 2014, the New York Legislature and Governor enacted the Compassionate Care Act to provide a comprehensive, safe and effective medical cannabis program. The Compassionate Care Act provides access to the program for those who suffer from qualifying conditions and have a physician's recommendation.</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2021, the Marijuana Regulation and Tax Act (“MRTA”) was signed into law. The MRTA legalized adult-use cannabis and established the New York Office of Cannabis Management, which continues to promulgate rules and regulations.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New York Licenses and Regulations</w:t>
      </w:r>
    </w:p>
    <w:p>
      <w:pPr>
        <w:spacing w:after="0" w:line="22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Office of Cannabis Management is the regulatory agency that oversees the adult-use and medical cannabis program in New York. There is currently one principal medical license category in New York: Registered Organization (a vertically integrated license).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hold a Registered Organization Adult-use Cultivator Processor Distributor Retail Dispensary (“ROD”) license. Under our ROD license, we operate one cultivation/manufacturing facility and five medical cannabis dispensaries. One of our medical dispensaries has co-located adult-use sales. Under the MRTA we may open an additional four medical dispensaries and we may co-locate adult-use sales at a total of three of our medical dispensaries over time. All operating facilities are, as of the date hereof, active with the State of New York.</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York.</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House Bill 523, effective on September 8, 2016, legalized medical cannabis in Ohio. The Ohio Medical Marijuana Control Program allows people with certain medical conditions, upon the recommendation of an Ohio-licensed physician certified by the State Medical Board, to purchase and use medical cannabis.</w:t>
      </w:r>
    </w:p>
    <w:p>
      <w:pPr>
        <w:spacing w:after="0" w:line="176"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On November 7, 2023, Ohio voters legalized adult-use cannabis by ballot measure. The new law establishes the Division of Cannabis Control within the Department of Commerce to oversee and regulate the adult-use market and requires state officials to promulgate rules creating new cannabis business applications within six months and to license existing medical cannabis businesses within nine months of enactment.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i w:val="1"/>
          <w:iCs w:val="1"/>
          <w:color w:val="auto"/>
        </w:rPr>
        <w:t>Ohio License and Regulations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Ohio: (1) cultivation, (2) processing and (3) dispensary. We are licensed to operate one medical cannabis cultivation facility, one medical cannabis processing facility and five retail medical cannabis dispensaries in the state of Ohio, which is the statutory limit. All licenses are, as of the date hereof, active with the State of Ohio. The licenses are independently issued for each approved activity for use at our facilities in Ohio.</w:t>
      </w:r>
    </w:p>
    <w:p>
      <w:pPr>
        <w:spacing w:after="0" w:line="180"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three following state government agencies are responsible for the operation of Ohio’s Medical Marijuana Control Program: (1) the Ohio Department of Commerce oversees medical cannabis cultivators, processors and testing laboratories; (2) the State of Ohio Board of Pharmacy oversees medical cannabis retail dispensaries, the registration of medical cannabis patients and caregivers, the approval of new forms of medical cannabis and coordinating the Medical Marijuana Advisory Committee; and (3) the State Medical Board of Ohio certifies physicians to recommend medical cannabis and may add to the list of qualifying conditions for which medical cannabis can be recommended. The Department of Commerce's Division of Cannabis Control oversees and regulates the adult-use market.</w:t>
      </w:r>
    </w:p>
    <w:p>
      <w:pPr>
        <w:spacing w:after="0" w:line="18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Ohio.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Pennsylvania</w:t>
      </w:r>
    </w:p>
    <w:p>
      <w:pPr>
        <w:spacing w:after="0" w:line="22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Pennsylvania medical cannabis program was signed into law on April 17, 2016, under Act 16 and provided access to state residents with qualifying conditions.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Pennsylvania Licenses and Regulations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licenses are, as of the date hereof, active with the Commonwealth of Pennsylvania. Each license is independently issued.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cultivation/processing establishments and dispensaries must register with the Pennsylvania Department of Health.</w:t>
      </w:r>
    </w:p>
    <w:p>
      <w:pPr>
        <w:spacing w:after="0" w:line="200" w:lineRule="exact"/>
        <w:rPr>
          <w:sz w:val="20"/>
          <w:szCs w:val="20"/>
          <w:color w:val="auto"/>
        </w:rPr>
      </w:pPr>
    </w:p>
    <w:p>
      <w:pPr>
        <w:spacing w:after="0" w:line="24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Pennsylvania.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Rhode Island</w:t>
      </w:r>
    </w:p>
    <w:p>
      <w:pPr>
        <w:spacing w:after="0" w:line="225"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Rhode Island legalized medical cannabis in 2006. Under this law, Rhode Island offers medical cannabis registration cards for patients with qualifying conditions and physician approval.</w:t>
      </w:r>
    </w:p>
    <w:p>
      <w:pPr>
        <w:spacing w:after="0" w:line="162" w:lineRule="exact"/>
        <w:rPr>
          <w:sz w:val="20"/>
          <w:szCs w:val="20"/>
          <w:color w:val="auto"/>
        </w:rPr>
      </w:pPr>
    </w:p>
    <w:p>
      <w:pPr>
        <w:ind w:right="140" w:firstLine="749"/>
        <w:spacing w:after="0" w:line="289" w:lineRule="auto"/>
        <w:rPr>
          <w:sz w:val="20"/>
          <w:szCs w:val="20"/>
          <w:color w:val="auto"/>
        </w:rPr>
      </w:pPr>
      <w:r>
        <w:rPr>
          <w:rFonts w:ascii="Times New Roman" w:cs="Times New Roman" w:eastAsia="Times New Roman" w:hAnsi="Times New Roman"/>
          <w:sz w:val="17"/>
          <w:szCs w:val="17"/>
          <w:color w:val="auto"/>
        </w:rPr>
        <w:t>After a successful ballot measure, Rhode Island’s governor signed two measures into law in May of 2022 approving sales in the state for adults who are at least 21 years old. Adult-use sales commenced on December 1, 2022 for the five licensed medical cannabis compassion centers which were approved for hybrid retail licenses. These hybrid retail licenses allow the centers to sell both medical and adult-use cannabis products in retail settings.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Rhode Island Licensure and Regulations</w:t>
      </w:r>
    </w:p>
    <w:p>
      <w:pPr>
        <w:spacing w:after="0" w:line="22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are two categories of medical cannabis licensure in Rhode Island: compassion center (which includes cultivation and dispensary) and cultivator. The program is overseen by the Rhode Island Department of Business Regulation, Office of Cannabis Regulation.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20" w:name="page21"/>
    <w:bookmarkEnd w:id="20"/>
    <w:p>
      <w:pPr>
        <w:ind w:firstLine="749"/>
        <w:spacing w:after="0" w:line="266" w:lineRule="auto"/>
        <w:rPr>
          <w:sz w:val="20"/>
          <w:szCs w:val="20"/>
          <w:color w:val="auto"/>
        </w:rPr>
      </w:pPr>
      <w:r>
        <w:rPr>
          <w:rFonts w:ascii="Times New Roman" w:cs="Times New Roman" w:eastAsia="Times New Roman" w:hAnsi="Times New Roman"/>
          <w:sz w:val="18"/>
          <w:szCs w:val="18"/>
          <w:color w:val="auto"/>
        </w:rPr>
        <w:t>After the passage of Rhode Island’s adult-use law in 2022, existing operators became eligible to receive hybrid licenses, allowing them to cultivate and/or sell cannabis to adults ages 21 and over. The Cannabis Control Commission oversees the regulation, licensing enforcement and control of the medical and adult-use cannabis programs.</w:t>
      </w:r>
    </w:p>
    <w:p>
      <w:pPr>
        <w:spacing w:after="0" w:line="176"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Rhode Island.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Virginia</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2017, Virginia passed a law that allowed patients suffering from intractable epilepsy access to CBD or THC-A oil. In 2018, this law was significantly expanded, which allowed any medical condition to qualify with state-certified physician, nurse practitioner or physician assistant recommendation. The next year, the law was amended to allow for higher potency THC. In February 2021, cannabis was legalized for adult-use. There is currently no date for the start of adult-use retail sales.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Virginia License and Regulations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currently two principal license categories in Virginia: (1) pharmaceutical processing and (2) dispensing. The primary regulatory body for cannabis is the Virginia Department of Health Professions: Board of Pharmacy. A pharmaceutical processor must obtain a permit from the Board of Pharmacy.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cannabis dispensing facility is owned, at least in part, by a pharmaceutical processor.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one pharmaceutical processor permit and six dispensary permits. We have the right to open two more dispensaries pending regulatory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Virginia.</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License Renewal Requirements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Newly Established Legal Regime</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business activities rely on newly established and/or developing laws and regulations in the states in which we operate.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www.gtigrows.com</w:t>
      </w:r>
      <w:r>
        <w:rPr>
          <w:rFonts w:ascii="Times New Roman" w:cs="Times New Roman" w:eastAsia="Times New Roman" w:hAnsi="Times New Roman"/>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We also make available through our website our Code of Ethical Business Conduct.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p>
    <w:p>
      <w:pPr>
        <w:spacing w:after="0" w:line="293"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remains illegal under U.S. federal law, and enforcement of cannabis laws could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regulation of cannabis is uncertain.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necessary permits and authorizations.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heightened scrutiny by Canadian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limitations on ownership of cannabis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U.S. Food and Drug Administration or Bureau of Alcohol, Tobacco, Firearms and Explosives regulation.</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cannabis business, we are subject to applicable anti-money laundering laws and regulations and have restricted access to banking and other financial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acquiring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lack access to U.S. bankruptcy protections.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sector and may not always succeed in complying fully with applicable regulatory requirements in all jurisdictions where we carry on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the illicit market as well as actual or purported Farm Bill compliant hemp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popularity and of consumer acceptance of our brand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trademark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businesses are subject to unfavorable U.S. tax treatment and may incur significant tax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proceeds of crime statutes.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exposure to fraudulent or illegal activity.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due to industry immaturity or limited comparable, competitive or established industry best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risks inherent in agricultural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rising or volatile energy costs and availability.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information technology systems and potential cyber-attacks and security breaches.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providers for numerous capabilities we depend upon to operate, and a disruption of one or more or more of these systems could adversely affect our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product liability and similar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unfavorable publicity or consumer perception.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voting control is concentrated.</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23" w:name="page24"/>
    <w:bookmarkEnd w:id="23"/>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voting control may cause unpredictability.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Subordinate Voting Shares by our shareholders in the public market may have an adverse effect on the market price of our Subordinate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Cannabis is illegal under U.S. federal law. In those states in which the use of cannabis has been legalized, its use remains a violation of federal law pursuant to the Controlled Substances Act (21 U.S.C. § 811). The Controlled Substances Act classifies cannabis as a Schedule I controlled substance, and as such, medical and adult-use cannabis use is illegal under U.S. federal law.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enforcement of federal law regarding cannabis is a significant risk and would greatly harm our business, prospects, revenue, results of operation and financial condition.</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by governmental authorities. We are directly or indirectly engaged in the medical and adult-use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2023, 38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 Ten of those states legalized adult-use sales within the last three years, and of those, four legalized adult-use sales in 2023.</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Despite this, our activities in the medical and adult-use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It is further possible that Department of Justice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as to the position the Biden administration or any future administration may take on cannabis, and a new administration could decide to enforce federal laws against state-regulated cannabis companies. Any enforcement of current federal cannabis laws could cause significant financial damage to us and our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firstLine="749"/>
        <w:spacing w:after="0" w:line="254" w:lineRule="auto"/>
        <w:rPr>
          <w:sz w:val="20"/>
          <w:szCs w:val="20"/>
          <w:color w:val="auto"/>
        </w:rPr>
      </w:pPr>
      <w:r>
        <w:rPr>
          <w:rFonts w:ascii="Times New Roman" w:cs="Times New Roman" w:eastAsia="Times New Roman" w:hAnsi="Times New Roman"/>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 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cannabis is uncertain.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As they amend or develop legislation and regulations, state and local regulators and legislatures may use the regulatory process to slow the growth of multistate operators like the Company, with the intent of creating increased opportunities for resident farmers and entrepreneurs, which could severely restrict our ability to operate in those jurisdictions. Federal actions against any individual or entity engaged in the cannabis industry or a substantial repeal of cannabis related legislation could adversely affect the Company,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94"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and maintaining regulatory approvals can be costly and time-consuming. No assurance can be given that the Company will receive or be able to maintain the requisite licenses, permits or cards to continue operating our businesses.</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necessary permits and authorizations.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subsidiaries may not be able to obtain or maintain the necessary licenses, permits, certificates, authorizations or accreditations to operate their respective businesses, or may only be able to do so at great cost. In addition, our subsidiaries may not be able to comply fully with the wide variety of laws and regulations applicable to the cannabis industry. Failure to comply with or to obtain the necessary licenses, permits, certificates, authorizations or accreditations could result in restrictions on a subsidiary’s ability to operate in the cannabis industry, which could have a material adverse effect on our business, financial condition or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Currently, the Company is traded on the CSE and on over-the-counter markets in the United States. The business, operations and investments of the Company in the United States, and any future business, operations or investments, may become the subject of heightened scrutiny by regulators, stock exchanges and other authorities in Canada and the United States. As a result, the Company may be subject to significant direct and indirect interaction with public officials.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firstLine="749"/>
        <w:spacing w:after="0" w:line="266" w:lineRule="auto"/>
        <w:rPr>
          <w:sz w:val="20"/>
          <w:szCs w:val="20"/>
          <w:color w:val="auto"/>
        </w:rPr>
      </w:pPr>
      <w:r>
        <w:rPr>
          <w:rFonts w:ascii="Times New Roman" w:cs="Times New Roman" w:eastAsia="Times New Roman" w:hAnsi="Times New Roman"/>
          <w:sz w:val="18"/>
          <w:szCs w:val="18"/>
          <w:color w:val="auto"/>
        </w:rPr>
        <w:t>In 2017, there were concerns that the Canadian Depository for Securities Limited, through its subsidiary CDS Clearing and Depository Services Inc.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limitations on ownership of cannabis licenses.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U.S. Food and Drug Administration or Bureau of Alcohol, Tobacco, Firearms and Explosives regulation.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the federal government reclassifies cannabis to a Schedule III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FDA, it may have an adverse effect on the Company’s business, prospects, revenue, results of operation and financial condition.</w:t>
      </w:r>
    </w:p>
    <w:p>
      <w:pPr>
        <w:spacing w:after="0" w:line="19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72"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cannabis business, we are subject to applicable anti-money laundering laws and regulations and have restricted access to banking and other financial services.</w:t>
      </w:r>
    </w:p>
    <w:p>
      <w:pPr>
        <w:spacing w:after="0" w:line="159"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ind w:right="100"/>
        <w:spacing w:after="0" w:line="282" w:lineRule="auto"/>
        <w:rPr>
          <w:sz w:val="20"/>
          <w:szCs w:val="20"/>
          <w:color w:val="auto"/>
        </w:rPr>
      </w:pPr>
      <w:r>
        <w:rPr>
          <w:rFonts w:ascii="Times New Roman" w:cs="Times New Roman" w:eastAsia="Times New Roman" w:hAnsi="Times New Roman"/>
          <w:sz w:val="18"/>
          <w:szCs w:val="18"/>
          <w:color w:val="auto"/>
        </w:rPr>
        <w:t>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76"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the “SAFE Banking Act” which has been passed by the U.S. House of Representatives seven times, most recently on July 14, 2022 as an amendment to the National Defense Authorization Act, would grant banks and other financial institutions immunity from federal criminal prosecution for servicing Marijuana-Related Businesses if the underlying cannabis business follows state law. However, while the U.S. Senate Banking Committee passed the “SAFER Banking Act” on a bipartisan vote of 14-9 in September 2023, that bill has yet to be brought to the U.S. Senate floor and faces an uncertain future in the U.S. House of Representatives. There can be no assurance that it will be passed as presently proposed or at all.</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financing.</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growth and may have a material adverse effect upon the Company’s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7" w:name="page28"/>
    <w:bookmarkEnd w:id="27"/>
    <w:p>
      <w:pPr>
        <w:ind w:right="6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conduct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Because of the early stage of the industry in which we operate, we face additional competition from new entrants, participants in the illicit market that face significantly lower costs to operate, and sellers of unregulated psychoactive hemp-based products.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operations. Additionally,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 A decline in the price of the Subordinate Voting Shares could affect our ability to raise further working capital and adversely impact our ability to continue operations.</w:t>
      </w:r>
    </w:p>
    <w:p>
      <w:pPr>
        <w:spacing w:after="0" w:line="192"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A prolonged decline in the price of the Subordinate Voting Shares could result in a reduction in the liquidity of the Subordinate Voting Shares and a reduction in our ability to raise capital, if needed.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illicit market as well as actual or purported Farm Bill compliant hemp products.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face and expect to continue to face competition from unregulated psychoactive hemp-based products, including actual or purported Farm Bill compliant hemp products and illicit cannabis businesses, which are unlicensed and unregulated. Psychoactive hemp-based products, including Farm Bill compliant hemp products, are generally not subject to the intensive and costly state-level regulatory regimes that medical and adult-use cannabis are subject to. These products generally are not produced in adherence with the same laws, regulations, rules, tax regimes and other restrictions that are applicable to us, which significantly reduces these producers’ costs, and may have a material adverse effect on our business. In addition, although not subject to the same quality and health and safety regulations applicable to medical and adult-use cannabis businesses, if actual or purported Farm Bill compliant hemp products cause harm to their users, that could result in a material adverse effect on the perception of cannabis use and its legality.</w:t>
      </w:r>
    </w:p>
    <w:p>
      <w:pPr>
        <w:spacing w:after="0" w:line="18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competition presented by illicit cannabis businesses, and the inability or unwillingness of law enforcement authorities to enforce existing laws prohibiting the unlicensed or otherwise illegal cultivation and sale of cannabis, could result in the perpetuation of the illegal market for cannabis and/or have a material adverse effect on the perception of cannabis use.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 As the number of available licenses increase in the markets in which we operate, and the illicit market and psychoactive hemp-based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229"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protection.</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not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Certain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cannabidiol, commonly referred to as CBD and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ind w:right="20"/>
        <w:spacing w:after="0" w:line="261" w:lineRule="auto"/>
        <w:rPr>
          <w:sz w:val="20"/>
          <w:szCs w:val="20"/>
          <w:color w:val="auto"/>
        </w:rPr>
      </w:pPr>
      <w:r>
        <w:rPr>
          <w:rFonts w:ascii="Times New Roman" w:cs="Times New Roman" w:eastAsia="Times New Roman" w:hAnsi="Times New Roman"/>
          <w:sz w:val="18"/>
          <w:szCs w:val="18"/>
          <w:color w:val="auto"/>
        </w:rPr>
        <w:t>conduct research on cannabis and the lack of formal Food and Drug Administration oversight of cannabis, there is limited information about the long-term safety and efficacy of cannabis in it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80"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in Canada and the United States.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spacing w:after="0" w:line="183"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Dividends received by U.S. shareholders will not be subject to U.S. withholding tax but will be subject to Canadian withholding tax. Dividends paid by us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 and may incur significant tax liability.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Section 280E, we are not allowed to take any deductions or credits for any amounts paid or incurred during the taxable year in carrying on business if the business (or the activities which comprise the trade or business) consists of trafficking in controlled substances (within the meaning of Schedules I and II of the Controlled Substances Act). The U.S. Internal Revenue Service has applied this provision to cannabis operations, prohibiting them from deducting certain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As a cannabis businesses, we may be subject to civil asset forfeiture.</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We are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 holding company and essentially all of our assets are the capital stock of our subsidiaries in our 14 markets, including California,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84"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p>
    <w:p>
      <w:pPr>
        <w:spacing w:after="0" w:line="183"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Subordinate Voting Shares in connection with such transactions, which would dilute a shareholder’s holdings in the Company.</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 These and other circumstances could also result in the impairment of goodwill and long-lived assets.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companies which may not be able to meet anticipated development targets or be successful in the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that are in early stages of development, or that have high-risk profiles.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88" w:lineRule="exact"/>
        <w:rPr>
          <w:sz w:val="20"/>
          <w:szCs w:val="20"/>
          <w:color w:val="auto"/>
        </w:rPr>
      </w:pPr>
    </w:p>
    <w:p>
      <w:pPr>
        <w:ind w:right="6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both"/>
        <w:ind w:right="1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75" w:lineRule="exact"/>
        <w:rPr>
          <w:sz w:val="20"/>
          <w:szCs w:val="20"/>
          <w:color w:val="auto"/>
        </w:rPr>
      </w:pPr>
    </w:p>
    <w:p>
      <w:pPr>
        <w:ind w:right="220" w:firstLine="749"/>
        <w:spacing w:after="0" w:line="270" w:lineRule="auto"/>
        <w:rPr>
          <w:sz w:val="20"/>
          <w:szCs w:val="20"/>
          <w:color w:val="auto"/>
        </w:rPr>
      </w:pPr>
      <w:r>
        <w:rPr>
          <w:rFonts w:ascii="Times New Roman" w:cs="Times New Roman" w:eastAsia="Times New Roman" w:hAnsi="Times New Roman"/>
          <w:sz w:val="17"/>
          <w:szCs w:val="17"/>
          <w:color w:val="auto"/>
        </w:rPr>
        <w:t>We compete for the acquisition of properties suitable for the cultivation, production and sale of medical and adult-use cannabis with entities engaged in agriculture and real estate investment activities, including corporate agriculture companies, cultivators, producers and sellers of cannabis. In addition, in certain markets the local governments have authority to choose where any cannabis establishment will be located. These authorized areas are frequently removed from other retail operations. Because the‎ cannabis industry remains illegal under U.S. federal law, the disadvantaged tax status of</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businesses deriving‎ their income from cannabis, and the reluctance of the banking industry to support cannabis businesses, it may‎ be difficult for us to locate and obtain the rights to operate at various preferred locations. Property ‎owners may violate their mortgages by leasing to us, and those property owners that are willing to allow ‎use of their facilities may require payment of above fair market value rents to reflect the scarcity of such locations ‎and the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competitors may adopt transaction structures similar to ours, which would decrease our competitive advantage in offering flexible transaction terms. In addition, due to a number of factors,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negatively impacted by the improper conduct by our business partners, employees or agents.</w:t>
      </w:r>
    </w:p>
    <w:p>
      <w:pPr>
        <w:spacing w:after="0" w:line="229" w:lineRule="exact"/>
        <w:rPr>
          <w:sz w:val="20"/>
          <w:szCs w:val="20"/>
          <w:color w:val="auto"/>
        </w:rPr>
      </w:pPr>
    </w:p>
    <w:p>
      <w:pPr>
        <w:jc w:val="both"/>
        <w:ind w:right="240" w:firstLine="749"/>
        <w:spacing w:after="0" w:line="289" w:lineRule="auto"/>
        <w:rPr>
          <w:sz w:val="20"/>
          <w:szCs w:val="20"/>
          <w:color w:val="auto"/>
        </w:rPr>
      </w:pPr>
      <w:r>
        <w:rPr>
          <w:rFonts w:ascii="Times New Roman" w:cs="Times New Roman" w:eastAsia="Times New Roman" w:hAnsi="Times New Roman"/>
          <w:sz w:val="17"/>
          <w:szCs w:val="17"/>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5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 As discussed above under Item 1—“Business - Competitive Conditions and the Company’s Position in the Industry - Competition”, the Company also faces competition from products that are not subject to testing or regulation by state agencies, not subject to the same taxes, and otherwise able to be priced significantly lower than the Company’s products.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Psychoactive hemp-based products are federally illegal if they exceed the limits of the Farm Bill.</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Hemp-derived products that exceed the limits in the Farm Bill are federally illegal. Although currently not a material part of our business, we have begun producing, or licensing third parties to produce, Farm Bill compliant hemp products. Any products we may produce or license that are intended to be Farm Bill compliant but exceed the limits of psychoactive material allowable under the Farm Bill could subject the Company to action by regulatory authorities and/or to lawsuits by consumers, which may have a material adverse effect on the Company, including due to damage to our reputation and our ability to obtain or maintain the licenses supporting our medical and adult use cannabis businesses.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availability.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Company’s cannabis growing operations require energy supply, which makes it vulnerable to rising energy costs. Accordingly, rising or volatile energy costs may adversely affect the business of the Company and our ability to operate profitably. Further, from time to time in some markets in which we operate, our demand for energy may exceed the available supply. In limited circumstances, we have had to rely on alternative power sources such as generators to power our cultivation and processing facilities. A more prolonged disruption in our ability to maintain sufficient power to operate our facilities could result in a significant disruption of our operations, damage to our agricultural products or equipment, and result in a material adverse effect to our business.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unknown environmental risks.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Company will not encounter hazardous conditions, such as asbestos or lead, at the 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373739"/>
        </w:rPr>
        <w:t xml:space="preserve">In addition, the operations of the Company </w:t>
      </w:r>
      <w:r>
        <w:rPr>
          <w:rFonts w:ascii="Times New Roman" w:cs="Times New Roman" w:eastAsia="Times New Roman" w:hAnsi="Times New Roman"/>
          <w:sz w:val="18"/>
          <w:szCs w:val="18"/>
          <w:color w:val="000000"/>
        </w:rPr>
        <w:t>are subject to environmental regulation in the various jurisdictions in which we operate. These</w:t>
      </w:r>
      <w:r>
        <w:rPr>
          <w:rFonts w:ascii="Times New Roman" w:cs="Times New Roman" w:eastAsia="Times New Roman" w:hAnsi="Times New Roman"/>
          <w:sz w:val="18"/>
          <w:szCs w:val="18"/>
          <w:color w:val="373739"/>
        </w:rPr>
        <w:t xml:space="preserve"> </w:t>
      </w:r>
      <w:r>
        <w:rPr>
          <w:rFonts w:ascii="Times New Roman" w:cs="Times New Roman" w:eastAsia="Times New Roman" w:hAnsi="Times New Roman"/>
          <w:sz w:val="18"/>
          <w:szCs w:val="18"/>
          <w:color w:val="000000"/>
        </w:rPr>
        <w:t>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operations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technology systems, and potential cyber-attacks and security breaches.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spacing w:after="0" w:line="18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p>
    <w:p>
      <w:pPr>
        <w:spacing w:after="0" w:line="187"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17"/>
          <w:szCs w:val="17"/>
          <w:color w:val="auto"/>
        </w:rPr>
        <w:t>We are subject to laws, rules and regulations in the United States such as the California Privacy Rights Act, which went into effect on January 1, 2023, Connecticut Personal Data Privacy and Online Monitoring Act (CPDPOMA), which went into effect July 1, 2023 and the Virginia Consumer Data Protection Act (VCDPA), which went into effect on January 1, 2023, and those of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applicable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68" w:lineRule="exact"/>
        <w:rPr>
          <w:sz w:val="20"/>
          <w:szCs w:val="20"/>
          <w:color w:val="auto"/>
        </w:rPr>
      </w:pPr>
    </w:p>
    <w:p>
      <w:pPr>
        <w:ind w:right="7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numerous capabilities that we depend upon on to operate, and a disruption of these systems could adversely affect our business.</w:t>
      </w:r>
    </w:p>
    <w:p>
      <w:pPr>
        <w:spacing w:after="0" w:line="18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the Company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85"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 and fluctuations in the cost or availability of materials we use in our products and supply chain could negatively affect our results.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9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w:t>
      </w:r>
    </w:p>
    <w:p>
      <w:pPr>
        <w:spacing w:after="0" w:line="172"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success largely depends upon the continued services of our executive officers and management team members. If one or more of our executive officers or management members is unable or unwilling to continue in their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maintain key personnel or our business will fail.</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medical and adult-use cannabis industries, laws that prevent widespread participation in and otherwise hinder market research in the medical and adult-use cannabis industry,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failure of states to enforce cannabis regulations, the use of psychoactive hemp-based products or other factors could have a material adverse effect on our business, results of operations and financial condition.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a producer, distributor and retailer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83"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Management believes the medical and adult-use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based on union activity.</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Labor unions are working to organize workforces in the cannabis industry in general, and regulators are increasingly requiring us to enter into labor peace agreements with unions as a condition of receiving a license. Currently, under 15% of our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general economic risks and risks of continued inflation.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operations could be affected by the economic context should the unemployment level, interest rates or inflation reach levels that influence consumer trends and spending and, consequently, impact our sales and profitability. A continued upward rate of inflation could influence the profits that we generate from our business. When the rate of inflation rises, the operational costs of running our company also increases, such as labor costs, raw materials and public utilities, thus affecting our ability to provide our products at competitive prices. An increase in the rate of inflation could force our customers to search for other products, causing us to lose business and revenue.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 may be negatively impacted by challenging global economic conditions. For example, during the COVID-19 pandemic, the U.S and other world economies experienced turmoil due to the pandemic, which resulted in global economic uncertainty, supply chain disruptions and other issues.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84"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disclose personal information of our owners, investors, officers, managers, and directors to regulators and failure to do so could endanger our ability to expand, endanger our licenses, or cause the Company to incur costs to redeem securities held by uncooperative shareholders.</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Ownership in and applications for cannabis licenses can entail lengthy disclosures of personal information to the relevant regulatory authorities. The obligation often extends to all persons holding an ownership interest in the license, whether direct, indirect, present, or future, and often includes those with a mere nominal interest. Analogous disclosures are often required from persons with managerial authority or control over the licenses, as well, including officers, directors, and managers. Disclosures can include providing personal information needed to satisfy extensive criminal history reports and investigations (e.g., fingerprints, address and employment history), tax returns, social security numbers, a history of personal addresses, employment agreements, and other personal information. While some states allow exceptions for individuals with ownership in publicly traded companies like the Company, not all states provide such exceptions. If these requirements were applied to all persons with ownership in the Company, all such persons would be required to comply or the Company would risk losing the opportunity to apply for or renew the license(s), or similarly face the possibility that the license may be revoked.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 public health epidemic, such as the recent COVID-19 pandemic, or the fear of a potential epidemic or pandemic, poses the risk that we or our employees, contractors, suppliers, and other partners may be prevented from conducting business activities for an indefinite period of time, including due to shutdowns or other preventative measures that may be requested or mandated by governmental authorities. Although our operations continued during the COVID-19 pandemic, as the cultivation, processing and sale of cannabis products was considered an essential business by all states in which we operated with respect to all customers when shutdowns were imposed, there can be no assurances that would be the case in any future actual or anticipated epidemic disease outbreak or pandemic. Our ability to continue to operate without any significant negative operational impact from any future public health crisis will in part depend on our ability to protect our employees, customers and supply chain.</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While it is not possible at this time to estimate the impact any actual or potential pandemic could have on our business,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Such an event, and any measures taken to avert significant health crises may also have an adverse impact on global economic conditions which could have an adverse effect on our business and financial condition. Because cannabis remains federally illegal, it is possible that we would not be eligible to participate in any government relief programs (such as federal loans or access to capital) resulting from any actual or potential pandemic.</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 return on our securities is not guaranteed.</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Holding of Subordinate Voting Shares is appropriate only for holders who have the capacity to absorb a loss of some or all of their holdings.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currency fluctuations.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President.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Super Voting Shares, Multiple Voting Shares or Subordinate Voting Shares may result in dilution.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of directors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pacing w:after="0" w:line="188" w:lineRule="exact"/>
        <w:rPr>
          <w:sz w:val="20"/>
          <w:szCs w:val="20"/>
          <w:color w:val="auto"/>
        </w:rPr>
      </w:pPr>
    </w:p>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Subordinate Voting Shares by our shareholders in the public market may have an adverse effect on the market price of the Subordinate Voting Shares.</w:t>
      </w:r>
    </w:p>
    <w:p>
      <w:pPr>
        <w:spacing w:after="0" w:line="15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we desire to do so.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the Subordinate Voting Shares may be volatile.</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global economies and general market conditions, such as interest rates and pharmaceutical product price volatility;</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from a lack of market comparable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companies;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1" w:name="page42"/>
    <w:bookmarkEnd w:id="41"/>
    <w:p>
      <w:pPr>
        <w:ind w:left="1020" w:right="4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62"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185" w:lineRule="exact"/>
        <w:rPr>
          <w:sz w:val="20"/>
          <w:szCs w:val="20"/>
          <w:color w:val="auto"/>
        </w:rPr>
      </w:pPr>
    </w:p>
    <w:p>
      <w:pPr>
        <w:ind w:right="3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liquidity risks.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62"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being a public company in Canada and the United States.</w:t>
      </w:r>
    </w:p>
    <w:p>
      <w:pPr>
        <w:spacing w:after="0" w:line="22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costs of maintaining a public listing.</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76"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Subordinate Voting Shares and, consequently, your ability to achieve a return on your investment will depend on appreciation in the price of our Subordinate Voting Shares.</w:t>
      </w:r>
    </w:p>
    <w:p>
      <w:pPr>
        <w:spacing w:after="0" w:line="15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There is no guarantee that our Subordinate Voting Shares will appreciate in value or even maintain the price at which you purchased them.</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Subordinate Voting Shares may be limited for holders of our securities who live in the United States.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Given the heightened risk profile associated with cannabis in the United States, capital markets participants may be unwilling to assist with the settlement of trades for U.S. resident securityholders of companies with operations in the U.S. cannabis industry, which may prohibit or significantly impair the ability of securityholders in the United States to trade our securities. In the event residents of the United States are unable to settle trades of our securities, this may affect the pricing of such securities in the secondary market, the transparency and availability of trading prices and the liquidity of these securities.</w:t>
      </w:r>
    </w:p>
    <w:p>
      <w:pPr>
        <w:spacing w:after="0" w:line="3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3" w:name="page44"/>
    <w:bookmarkEnd w:id="43"/>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has established monitoring procedures in its effort to mitigate risks related to data breaches or other security incidents originating from third parties. The Company, from time-to-time, may engage third-party consultants, legal advisors, and audit firms to evaluate and test the Company’s risk management systems and assess and remediate certain potential cybersecurity incidents,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part of our enterprise risk management program, the Board of Directors (the “Board”) and Audit Committee meet with our senior management team, which includes our Chief Executive Officer, President, Chief Financial Officer, and General Counsel to address risks associated with cybersecurity threats on a regular basis. The Board and the Audit Committee receive prompt and timely information regarding any cybersecurity incident that meets established reporting thresholds, as well as ongoing updates regarding any such incident until it has been resolved.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Cybersecurity threats are one of the Company’s most critical risks, with our Senior Vice President -Technology assigned as the executive risk owner. Our Senior Vice President - Technology, in coordination with our senior management team, works collaboratively across the Company to implement a program designed to protect the Company’s information systems from cybersecurity threats and to promptly respond to any cybersecurity incidents in accordance with the Company’s incident response and recovery plans. Multidisciplinary teams throughout the Company are deployed to address cybersecurity threats and to respond to cybersecurity incidents. Through ongoing communications with these teams, the Senior Vice President - Technology and the senior management team monitor the prevention, detection, mitigation and remediation of cybersecurity threats and incidents in real time and report such threats and incidents to the Board and Audit Committee, when appropriate.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Senior Vice President - Technology has served in various roles in information technology and information security for over 25 years. He holds undergraduate and graduate degrees in computer science and business.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did not identify any cybersecurity threats that have materially affected or are reasonably likely to materially affect our business strategy, results of operations, or financial condition. However, despite the capabilities, processes, and other security measures we employ that we believe are designed to detect, reduce, and mitigate the risk of cybersecurity incidents, we may not be aware of all vulnerabilities or might not accurately assess the risks of incidents, and such preventative measures cannot provide absolute security and may not be sufficient in all circumstances or mitigate all potential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A. Risk Factors” for more information on the Company’s cybersecurity-related risks.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center"/>
        <w:ind w:left="440" w:right="640"/>
        <w:spacing w:after="0" w:line="303" w:lineRule="auto"/>
        <w:rPr>
          <w:sz w:val="20"/>
          <w:szCs w:val="20"/>
          <w:color w:val="auto"/>
        </w:rPr>
      </w:pPr>
      <w:r>
        <w:rPr>
          <w:rFonts w:ascii="Times New Roman" w:cs="Times New Roman" w:eastAsia="Times New Roman" w:hAnsi="Times New Roman"/>
          <w:sz w:val="18"/>
          <w:szCs w:val="18"/>
          <w:color w:val="auto"/>
        </w:rPr>
        <w:t>Our headquarters is located in Chicago, IL. The following table sets forth the Company’s principal cultivation and processing properties. Production Properties</w:t>
      </w:r>
    </w:p>
    <w:tbl>
      <w:tblPr>
        <w:tblLayout w:type="fixed"/>
        <w:tblInd w:w="0" w:type="dxa"/>
        <w:tblCellMar>
          <w:top w:w="0" w:type="dxa"/>
          <w:left w:w="0" w:type="dxa"/>
          <w:bottom w:w="0" w:type="dxa"/>
          <w:right w:w="0" w:type="dxa"/>
        </w:tblCellMar>
      </w:tblPr>
      <w:tr>
        <w:trPr>
          <w:trHeight w:val="178"/>
        </w:trPr>
        <w:tc>
          <w:tcPr>
            <w:tcW w:w="3640" w:type="dxa"/>
            <w:vAlign w:val="bottom"/>
            <w:tcBorders>
              <w:top w:val="single" w:sz="8" w:color="auto"/>
            </w:tcBorders>
            <w:gridSpan w:val="3"/>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1"/>
              </w:rPr>
              <w:t>Type</w:t>
            </w:r>
          </w:p>
        </w:tc>
        <w:tc>
          <w:tcPr>
            <w:tcW w:w="144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jc w:val="center"/>
              <w:ind w:right="1660"/>
              <w:spacing w:after="0" w:line="178" w:lineRule="exact"/>
              <w:rPr>
                <w:sz w:val="20"/>
                <w:szCs w:val="20"/>
                <w:color w:val="auto"/>
              </w:rPr>
            </w:pPr>
            <w:r>
              <w:rPr>
                <w:rFonts w:ascii="Times New Roman" w:cs="Times New Roman" w:eastAsia="Times New Roman" w:hAnsi="Times New Roman"/>
                <w:sz w:val="18"/>
                <w:szCs w:val="18"/>
                <w:color w:val="auto"/>
                <w:w w:val="99"/>
              </w:rPr>
              <w:t>Location</w:t>
            </w:r>
          </w:p>
        </w:tc>
        <w:tc>
          <w:tcPr>
            <w:tcW w:w="3860" w:type="dxa"/>
            <w:vAlign w:val="bottom"/>
            <w:tcBorders>
              <w:top w:val="single" w:sz="8" w:color="auto"/>
            </w:tcBorders>
            <w:gridSpan w:val="3"/>
          </w:tcPr>
          <w:p>
            <w:pPr>
              <w:jc w:val="center"/>
              <w:ind w:right="120"/>
              <w:spacing w:after="0" w:line="178" w:lineRule="exact"/>
              <w:rPr>
                <w:sz w:val="20"/>
                <w:szCs w:val="20"/>
                <w:color w:val="auto"/>
              </w:rPr>
            </w:pPr>
            <w:r>
              <w:rPr>
                <w:rFonts w:ascii="Times New Roman" w:cs="Times New Roman" w:eastAsia="Times New Roman" w:hAnsi="Times New Roman"/>
                <w:sz w:val="18"/>
                <w:szCs w:val="18"/>
                <w:color w:val="auto"/>
              </w:rPr>
              <w:t>Leased / Owned</w:t>
            </w:r>
          </w:p>
        </w:tc>
      </w:tr>
      <w:tr>
        <w:trPr>
          <w:trHeight w:val="34"/>
        </w:trPr>
        <w:tc>
          <w:tcPr>
            <w:tcW w:w="16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West Haven Facility</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West Haven, CT</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Homestead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Homestead, FL</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Ocala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Ocala, FL</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Oglesby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Oglesby, IL</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Rock Island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Rock Island, IL</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Clinton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Clinton, MA</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Holyoke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Holyoke, MA</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Centreville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Centreville, MD</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Cottage Grove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Cottage Grove, MN</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Hackettstown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Hackettstown, NJ</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Carson City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Carson City, NV</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 Vegas Facility 1</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Las Vegas, NV</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 Vegas Facility 2</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Las Vegas, NV</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Paterson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Paterson, NJ</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Warwick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Warwick, NY</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Toledo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Toledo, OH</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Danville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7"/>
              </w:rPr>
              <w:t>Danville, PA</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Warwick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Warwick, RI</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Abingdon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7"/>
              </w:rPr>
              <w:t>Abingdon, VA</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4"/>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Low Moor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Low Moor, VA</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bl>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to the above properties, as of December 31, 2023, the Company has 91 open and operating retail stores, of which, the Company 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5"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Properties Subject to an Encumbrance. </w:t>
      </w:r>
      <w:r>
        <w:rPr>
          <w:rFonts w:ascii="Times New Roman" w:cs="Times New Roman" w:eastAsia="Times New Roman" w:hAnsi="Times New Roman"/>
          <w:sz w:val="18"/>
          <w:szCs w:val="18"/>
          <w:color w:val="auto"/>
        </w:rPr>
        <w:t>The Company has collateralized the properties in (i) Rock Island, IL, (ii) Homestead, FL,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Centreville, MD, (iv) Las Vegas, NV, (v) Low Moor, VA, (vi) Abingdon, VA, (vii) Ocala, FL, and (viii) Cottage Grove, MN. In addition, the Company has collateralized four retail stores, none of which are considered material.</w:t>
      </w:r>
    </w:p>
    <w:p>
      <w:pPr>
        <w:spacing w:after="0" w:line="3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2023:</w:t>
      </w:r>
    </w:p>
    <w:p>
      <w:pPr>
        <w:spacing w:after="0" w:line="162" w:lineRule="exact"/>
        <w:rPr>
          <w:sz w:val="20"/>
          <w:szCs w:val="20"/>
          <w:color w:val="auto"/>
        </w:rPr>
      </w:pPr>
    </w:p>
    <w:p>
      <w:pPr>
        <w:ind w:left="760" w:right="160"/>
        <w:spacing w:after="0" w:line="258" w:lineRule="auto"/>
        <w:rPr>
          <w:sz w:val="20"/>
          <w:szCs w:val="20"/>
          <w:color w:val="auto"/>
        </w:rPr>
      </w:pPr>
      <w:r>
        <w:rPr>
          <w:rFonts w:ascii="Times New Roman" w:cs="Times New Roman" w:eastAsia="Times New Roman" w:hAnsi="Times New Roman"/>
          <w:sz w:val="18"/>
          <w:szCs w:val="18"/>
          <w:color w:val="auto"/>
        </w:rPr>
        <w:t>Cresco Labs New York, LLC and Cresco Labs LLC (“Plaintiffs”) filed an amended complaint (the “Complaint”) against one of the Company’s subsidiaries, Fiorello Pharmaceuticals, Inc. (“Defendant”) on November 20, 2018, in the Supreme Court of the State of New York, alleging Defendant breached the parties’ Equity Purchase Agreement Letter of Intent relating to the acquisition of Defendant by Plaintiffs. On October 18, 2023, all pending motions were withdrawn and Plaintiffs' claims were dismissed with prejudice. Accordingly, the Company reduced its loss contingency associated with the Complaint from $900 thousand as of December 31, 2022 to $0 at December 31, 2023.</w:t>
      </w:r>
    </w:p>
    <w:p>
      <w:pPr>
        <w:spacing w:after="0" w:line="183"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2023 and 2022, other than as discussed above,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20" w:right="1040" w:hanging="1152"/>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ind w:right="740" w:firstLine="749"/>
        <w:spacing w:after="0" w:line="289" w:lineRule="auto"/>
        <w:rPr>
          <w:sz w:val="20"/>
          <w:szCs w:val="20"/>
          <w:color w:val="auto"/>
        </w:rPr>
      </w:pPr>
      <w:r>
        <w:rPr>
          <w:rFonts w:ascii="Times New Roman" w:cs="Times New Roman" w:eastAsia="Times New Roman" w:hAnsi="Times New Roman"/>
          <w:sz w:val="18"/>
          <w:szCs w:val="18"/>
          <w:color w:val="auto"/>
        </w:rPr>
        <w:t>The Subordinate Voting Shares of the Company are traded on the CSE under the symbol “GTII.”. The following table sets forth trading information for the Subordinate Voting Shares for the periods indicated, as quoted on the CSE.</w:t>
      </w:r>
      <w:r>
        <w:rPr>
          <w:rFonts w:ascii="Times New Roman" w:cs="Times New Roman" w:eastAsia="Times New Roman" w:hAnsi="Times New Roman"/>
          <w:sz w:val="24"/>
          <w:szCs w:val="24"/>
          <w:color w:val="auto"/>
          <w:vertAlign w:val="superscript"/>
        </w:rPr>
        <w:t>(1)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Volume</w:t>
            </w:r>
          </w:p>
        </w:tc>
      </w:tr>
      <w:tr>
        <w:trPr>
          <w:trHeight w:val="226"/>
        </w:trPr>
        <w:tc>
          <w:tcPr>
            <w:tcW w:w="1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1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9"/>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2023)</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21,160,377</w:t>
            </w:r>
          </w:p>
        </w:tc>
        <w:tc>
          <w:tcPr>
            <w:tcW w:w="100" w:type="dxa"/>
            <w:vAlign w:val="bottom"/>
          </w:tcPr>
          <w:p>
            <w:pPr>
              <w:spacing w:after="0"/>
              <w:rPr>
                <w:sz w:val="20"/>
                <w:szCs w:val="20"/>
                <w:color w:val="auto"/>
              </w:rPr>
            </w:pPr>
          </w:p>
        </w:tc>
      </w:tr>
      <w:tr>
        <w:trPr>
          <w:trHeight w:val="247"/>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2023)</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25,159,806</w:t>
            </w:r>
          </w:p>
        </w:tc>
        <w:tc>
          <w:tcPr>
            <w:tcW w:w="100" w:type="dxa"/>
            <w:vAlign w:val="bottom"/>
            <w:shd w:val="clear" w:color="auto" w:fill="CCEEFF"/>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2023)</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32,652,396</w:t>
            </w:r>
          </w:p>
        </w:tc>
        <w:tc>
          <w:tcPr>
            <w:tcW w:w="100" w:type="dxa"/>
            <w:vAlign w:val="bottom"/>
          </w:tcPr>
          <w:p>
            <w:pPr>
              <w:spacing w:after="0"/>
              <w:rPr>
                <w:sz w:val="20"/>
                <w:szCs w:val="20"/>
                <w:color w:val="auto"/>
              </w:rPr>
            </w:pPr>
          </w:p>
        </w:tc>
      </w:tr>
      <w:tr>
        <w:trPr>
          <w:trHeight w:val="247"/>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2023)</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23,126,166</w:t>
            </w:r>
          </w:p>
        </w:tc>
        <w:tc>
          <w:tcPr>
            <w:tcW w:w="100" w:type="dxa"/>
            <w:vAlign w:val="bottom"/>
            <w:shd w:val="clear" w:color="auto" w:fill="CCEEFF"/>
          </w:tcPr>
          <w:p>
            <w:pPr>
              <w:spacing w:after="0"/>
              <w:rPr>
                <w:sz w:val="21"/>
                <w:szCs w:val="21"/>
                <w:color w:val="auto"/>
              </w:rPr>
            </w:pPr>
          </w:p>
        </w:tc>
      </w:tr>
      <w:tr>
        <w:trPr>
          <w:trHeight w:val="189"/>
        </w:trPr>
        <w:tc>
          <w:tcPr>
            <w:tcW w:w="120" w:type="dxa"/>
            <w:vAlign w:val="bottom"/>
          </w:tcPr>
          <w:p>
            <w:pPr>
              <w:spacing w:after="0"/>
              <w:rPr>
                <w:sz w:val="16"/>
                <w:szCs w:val="16"/>
                <w:color w:val="auto"/>
              </w:rPr>
            </w:pPr>
          </w:p>
        </w:tc>
        <w:tc>
          <w:tcPr>
            <w:tcW w:w="4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2022)</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33,236,094</w:t>
            </w:r>
          </w:p>
        </w:tc>
        <w:tc>
          <w:tcPr>
            <w:tcW w:w="100" w:type="dxa"/>
            <w:vAlign w:val="bottom"/>
            <w:shd w:val="clear" w:color="auto" w:fill="CCEEFF"/>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2022)</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26,657,631</w:t>
            </w:r>
          </w:p>
        </w:tc>
        <w:tc>
          <w:tcPr>
            <w:tcW w:w="100" w:type="dxa"/>
            <w:vAlign w:val="bottom"/>
          </w:tcPr>
          <w:p>
            <w:pPr>
              <w:spacing w:after="0"/>
              <w:rPr>
                <w:sz w:val="20"/>
                <w:szCs w:val="20"/>
                <w:color w:val="auto"/>
              </w:rPr>
            </w:pPr>
          </w:p>
        </w:tc>
      </w:tr>
      <w:tr>
        <w:trPr>
          <w:trHeight w:val="247"/>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2022)</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23,496,921</w:t>
            </w:r>
          </w:p>
        </w:tc>
        <w:tc>
          <w:tcPr>
            <w:tcW w:w="100" w:type="dxa"/>
            <w:vAlign w:val="bottom"/>
            <w:shd w:val="clear" w:color="auto" w:fill="CCEEFF"/>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2022)</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39,484,018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Bloomberg.</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Subordinate Voting Shares of the Company are also traded on the OTCQX under the symbol “GTBIF.”</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trading information for the Subordinate Voting Shares for the periods indicated, as quoted on the OTCQX.</w:t>
      </w:r>
      <w:r>
        <w:rPr>
          <w:rFonts w:ascii="Times New Roman" w:cs="Times New Roman" w:eastAsia="Times New Roman" w:hAnsi="Times New Roman"/>
          <w:sz w:val="24"/>
          <w:szCs w:val="24"/>
          <w:color w:val="auto"/>
          <w:vertAlign w:val="superscript"/>
        </w:rPr>
        <w:t>(1)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4500" w:type="dxa"/>
            <w:vAlign w:val="bottom"/>
            <w:gridSpan w:val="3"/>
            <w:vMerge w:val="continue"/>
          </w:tcPr>
          <w:p>
            <w:pPr>
              <w:spacing w:after="0"/>
              <w:rPr>
                <w:sz w:val="16"/>
                <w:szCs w:val="16"/>
                <w:color w:val="auto"/>
              </w:rPr>
            </w:pP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208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2023)</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27,968,283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2023)</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18,713,212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2023)</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26,248,320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2023)</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23,904,216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2022)</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27,366,428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2022)</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21,710,304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2022)</w:t>
            </w:r>
          </w:p>
        </w:tc>
        <w:tc>
          <w:tcPr>
            <w:tcW w:w="176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80" w:type="dxa"/>
            <w:vAlign w:val="bottom"/>
            <w:gridSpan w:val="2"/>
            <w:shd w:val="clear" w:color="auto" w:fill="CCEEFF"/>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27,751,360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2022)</w:t>
            </w:r>
          </w:p>
        </w:tc>
        <w:tc>
          <w:tcPr>
            <w:tcW w:w="176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8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39,455,514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Bloomberg.</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market quotations reflect inter-dealer prices, without retail mark-up or mark-down or commission and may not necessarily represent actual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February 19, 2024, there are 751 holders of record of our Subordinate Voting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has not declared distributions on Subordinate Voting Shares in the past. The Company currently intends to reinvest all future earnings to finance the development and growth of its business. As a result, the Company does not intend to pay dividends on Subordinate Voting Shares in the foreseeable future. Any future determination to pay distributions will be at the discretion of the Company's Board of Directors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more information on equity compensation plans, see Item 12 of Part III of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Green Thumb Industries Inc. Subordinate Voting Shares for the five years ended December 31, 2023, with the comparable cumulative return of the Russell 2000 Index and a selected peer group of companies. The comparison assumes all dividends have been reinvested (if any) and an initial investment of $100 on December 31, 2018.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172200" cy="3780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7"/>
        </w:trPr>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r>
      <w:tr>
        <w:trPr>
          <w:trHeight w:val="175"/>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Green Thumb Industries</w:t>
            </w:r>
          </w:p>
        </w:tc>
        <w:tc>
          <w:tcPr>
            <w:tcW w:w="5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116.58</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305.01</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266.14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110.17</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140.03</w:t>
            </w:r>
          </w:p>
        </w:tc>
      </w:tr>
      <w:tr>
        <w:trPr>
          <w:trHeight w:val="17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2000</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123.40</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146.44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170.68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134.29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156.29</w:t>
            </w:r>
          </w:p>
        </w:tc>
      </w:tr>
      <w:tr>
        <w:trPr>
          <w:trHeight w:val="175"/>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Peer Group</w:t>
            </w:r>
          </w:p>
        </w:tc>
        <w:tc>
          <w:tcPr>
            <w:tcW w:w="5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122.52</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243.84</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153.90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56.70</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53.46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Below are the specific companies included in the peer group.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3700" w:type="dxa"/>
            <w:vAlign w:val="bottom"/>
          </w:tcPr>
          <w:p>
            <w:pPr>
              <w:spacing w:after="0"/>
              <w:rPr>
                <w:sz w:val="17"/>
                <w:szCs w:val="17"/>
                <w:color w:val="auto"/>
              </w:rPr>
            </w:pPr>
          </w:p>
        </w:tc>
      </w:tr>
      <w:tr>
        <w:trPr>
          <w:trHeight w:val="23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Cresco Labs Inc.</w:t>
            </w:r>
          </w:p>
        </w:tc>
        <w:tc>
          <w:tcPr>
            <w:tcW w:w="37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7"/>
              </w:rPr>
              <w:t>- Trulieve Cannabis Corp.</w:t>
            </w: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Curaleaf Holdings, Inc</w:t>
            </w:r>
          </w:p>
        </w:tc>
        <w:tc>
          <w:tcPr>
            <w:tcW w:w="37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Verano Holdings Corp.</w:t>
            </w: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Part II Item 5 of this Annual Report on Form 10-K shall not be deemed to be “soliciting material” or to be “filed” with the SEC or subject to Regulation 14A or 14C, or to the liabilities of Section 18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 Voting Shares</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Beginning on October 1, 2023 through December 31, 2023, our shareholders converted 5,000 Multiple Voting Shares into 500,000 Subordinate Voting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Multiple Voting Shares</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Beginning on October 1, 2023 through December 31, 2023, our shareholders converted 5,000 Multiple Voting Shares into 500,000 Subordinate Voting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 Voting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Beginning on October 1, 2023 through December 31, 2023, our shareholders converted 5,000 Super Voting Shares into 5,000 Multiple Voting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Recent Issuer Purchases of Equity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repurchases of our Subordinate Voting Shares during the year ended December 31, 2023: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2"/>
                <w:szCs w:val="12"/>
                <w:color w:val="auto"/>
              </w:rPr>
            </w:pPr>
          </w:p>
        </w:tc>
        <w:tc>
          <w:tcPr>
            <w:tcW w:w="11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43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10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0" w:type="dxa"/>
            <w:vAlign w:val="bottom"/>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00" w:type="dxa"/>
            <w:vAlign w:val="bottom"/>
            <w:tcBorders>
              <w:bottom w:val="single" w:sz="8" w:color="auto"/>
            </w:tcBorders>
          </w:tcPr>
          <w:p>
            <w:pPr>
              <w:jc w:val="center"/>
              <w:ind w:right="2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Announced Program </w:t>
            </w:r>
            <w:r>
              <w:rPr>
                <w:rFonts w:ascii="Times New Roman" w:cs="Times New Roman" w:eastAsia="Times New Roman" w:hAnsi="Times New Roman"/>
                <w:sz w:val="19"/>
                <w:szCs w:val="19"/>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January 1, 2023 through January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D0D0D"/>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February 1, 2023 through February 28,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spacing w:after="0"/>
              <w:rPr>
                <w:sz w:val="15"/>
                <w:szCs w:val="15"/>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March 1, 2023 through March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April 1, 2023 through April 30,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spacing w:after="0"/>
              <w:rPr>
                <w:sz w:val="15"/>
                <w:szCs w:val="15"/>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May 1, 2023 through May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June 1, 2023 through June 30,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spacing w:after="0"/>
              <w:rPr>
                <w:sz w:val="15"/>
                <w:szCs w:val="15"/>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July 1, 2023 through July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August 1, 2023 through August 31,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spacing w:after="0"/>
              <w:rPr>
                <w:sz w:val="15"/>
                <w:szCs w:val="15"/>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September 1, 2023 through September 30,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2,500,000</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9.96</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2,500,000</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25,110</w:t>
            </w:r>
          </w:p>
        </w:tc>
        <w:tc>
          <w:tcPr>
            <w:tcW w:w="0" w:type="dxa"/>
            <w:vAlign w:val="bottom"/>
          </w:tcPr>
          <w:p>
            <w:pPr>
              <w:spacing w:after="0"/>
              <w:rPr>
                <w:sz w:val="1"/>
                <w:szCs w:val="1"/>
                <w:color w:val="auto"/>
              </w:rPr>
            </w:pPr>
          </w:p>
        </w:tc>
      </w:tr>
      <w:tr>
        <w:trPr>
          <w:trHeight w:val="17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October 1, 2023 through October 31,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shd w:val="clear" w:color="auto" w:fill="CFF0FC"/>
          </w:tcPr>
          <w:p>
            <w:pPr>
              <w:spacing w:after="0"/>
              <w:rPr>
                <w:sz w:val="15"/>
                <w:szCs w:val="15"/>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0D0D0D"/>
              </w:rPr>
              <w:t>November 1, 2023 through November 30,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D0D0D"/>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1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0D0D0D"/>
              </w:rPr>
              <w:t>—</w:t>
            </w:r>
          </w:p>
        </w:tc>
        <w:tc>
          <w:tcPr>
            <w:tcW w:w="0" w:type="dxa"/>
            <w:vAlign w:val="bottom"/>
          </w:tcPr>
          <w:p>
            <w:pPr>
              <w:spacing w:after="0"/>
              <w:rPr>
                <w:sz w:val="1"/>
                <w:szCs w:val="1"/>
                <w:color w:val="auto"/>
              </w:rPr>
            </w:pPr>
          </w:p>
        </w:tc>
      </w:tr>
      <w:tr>
        <w:trPr>
          <w:trHeight w:val="175"/>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0D0D0D"/>
              </w:rPr>
              <w:t>December 1, 2023 through December 31, 2023</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1,343,125</w:t>
            </w: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0D0D0D"/>
              </w:rPr>
              <w:t>11.14</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1,343,125</w:t>
            </w:r>
          </w:p>
        </w:tc>
        <w:tc>
          <w:tcPr>
            <w:tcW w:w="160" w:type="dxa"/>
            <w:vAlign w:val="bottom"/>
            <w:tcBorders>
              <w:bottom w:val="single" w:sz="8" w:color="auto"/>
            </w:tcBorders>
            <w:shd w:val="clear" w:color="auto" w:fill="CFF0FC"/>
          </w:tcPr>
          <w:p>
            <w:pPr>
              <w:spacing w:after="0"/>
              <w:rPr>
                <w:sz w:val="15"/>
                <w:szCs w:val="15"/>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0D0D0D"/>
              </w:rPr>
              <w:t>10,144</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3,843,125</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0D0D0D"/>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0D0D0D"/>
              </w:rPr>
              <w:t>10.37</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3,843,125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D0D0D"/>
              </w:rPr>
              <w:t>10,144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200" w:firstLine="8"/>
        <w:spacing w:after="0" w:line="255" w:lineRule="auto"/>
        <w:tabs>
          <w:tab w:leader="none" w:pos="185"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5, 2023, the Company announced that its Board of Directors authorized the repurchase of up to 5%, or 10,486,951, of its Subordinate Voting Shares, over a 12-month period at a cost of up to $50,000 thousand. Through December 31, 2023, the Company purchased a total of 3,843,125 Subordinate Voting Shares at an average price of $10.37 per share. On February 28, 2024, the Company's Board of Directors authorized an increase in its share repurchase program by $50,000 thousand, bringing the total remaining repurchase ability to approximately $60,000 thousand.</w:t>
      </w:r>
    </w:p>
    <w:p>
      <w:pPr>
        <w:spacing w:after="0" w:line="1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227" w:lineRule="exact"/>
        <w:rPr>
          <w:sz w:val="20"/>
          <w:szCs w:val="20"/>
          <w:color w:val="auto"/>
        </w:rPr>
      </w:pPr>
    </w:p>
    <w:p>
      <w:pPr>
        <w:ind w:right="3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consolidated financial statements and related notes thereto included in this Annual Report on Form 10-K.</w:t>
      </w:r>
    </w:p>
    <w:p>
      <w:pPr>
        <w:spacing w:after="0" w:line="15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“Disclosure Regarding Forward-Looking Statements” included at the beginning of this Annual Report on Form 10-K. The risks and uncertainties can cause actual results to differ significantly from those forecast in forward-looking statements or implied in historical results and trends.</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U.S. Securities and Exchange Commission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2" w:lineRule="exact"/>
        <w:rPr>
          <w:sz w:val="20"/>
          <w:szCs w:val="20"/>
          <w:color w:val="auto"/>
        </w:rPr>
      </w:pPr>
    </w:p>
    <w:p>
      <w:pPr>
        <w:ind w:right="180" w:firstLine="749"/>
        <w:spacing w:after="0" w:line="277" w:lineRule="auto"/>
        <w:rPr>
          <w:sz w:val="20"/>
          <w:szCs w:val="20"/>
          <w:color w:val="auto"/>
        </w:rPr>
      </w:pPr>
      <w:r>
        <w:rPr>
          <w:rFonts w:ascii="Times New Roman" w:cs="Times New Roman" w:eastAsia="Times New Roman" w:hAnsi="Times New Roman"/>
          <w:sz w:val="17"/>
          <w:szCs w:val="17"/>
          <w:color w:val="auto"/>
        </w:rPr>
        <w:t>This management discussion and analysis (“MD&amp;A”) of the financial condition and results of operations of Green Thumb Industries Inc. (the “Company” or “Green Thumb”) is for the years ended December 31, 2023, 2022 and 2021. It is supplemental to, and should be read in conjunction with, the Company’s consolidated financial statements for the years ended December 31, 2023, 2022 and 2021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spacing w:after="0" w:line="16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 Company’s actual results may differ materially from those anticipated in these forward-looking statements and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ind w:right="180" w:firstLine="749"/>
        <w:spacing w:after="0" w:line="289" w:lineRule="auto"/>
        <w:rPr>
          <w:sz w:val="20"/>
          <w:szCs w:val="20"/>
          <w:color w:val="auto"/>
        </w:rPr>
      </w:pPr>
      <w:r>
        <w:rPr>
          <w:rFonts w:ascii="Times New Roman" w:cs="Times New Roman" w:eastAsia="Times New Roman" w:hAnsi="Times New Roman"/>
          <w:sz w:val="17"/>
          <w:szCs w:val="17"/>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2023, Green Thumb has operations in fourteen U.S. markets, employs approximately 4,600 people and serves millions of patients and customers annually.</w:t>
      </w:r>
    </w:p>
    <w:p>
      <w:pPr>
        <w:spacing w:after="0" w:line="15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fourteen of the states in which we operate. As of December 31, 2023, the Company had 91 open and operating retail locations. The Company’s new store opening plans will remain fluid depending on market conditions, obtaining local licensing, construction and other permissions and subject to the Company’s capital allocation plans as described above and under the heading “Liquidity, Financing Activities During the Period, and Capital Resources” below.</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consolidated statements of operations for the years ended December 31, 2023, 2022, 2021 and (ii) consolidated balance sheet as of December 31, 2023 and 2022 have been derived from, and should be read in conjunction with the consolidated financial statements and accompanying notes presented in Item 8 of this Annual Report on Form 10-K.</w:t>
      </w:r>
    </w:p>
    <w:p>
      <w:pPr>
        <w:spacing w:after="0" w:line="193" w:lineRule="exact"/>
        <w:rPr>
          <w:sz w:val="20"/>
          <w:szCs w:val="20"/>
          <w:color w:val="auto"/>
        </w:rPr>
      </w:pPr>
    </w:p>
    <w:p>
      <w:pPr>
        <w:jc w:val="both"/>
        <w:ind w:right="700" w:firstLine="74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Borders>
              <w:bottom w:val="single" w:sz="8" w:color="auto"/>
            </w:tcBorders>
            <w:gridSpan w:val="6"/>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w w:val="99"/>
              </w:rPr>
              <w:t>except share and per share amounts)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1,054,553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1,017,375</w:t>
            </w:r>
          </w:p>
        </w:tc>
        <w:tc>
          <w:tcPr>
            <w:tcW w:w="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893,560</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37,178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123,815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Net</w:t>
            </w:r>
          </w:p>
        </w:tc>
        <w:tc>
          <w:tcPr>
            <w:tcW w:w="28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(528,058)</w:t>
            </w:r>
          </w:p>
        </w:tc>
        <w:tc>
          <w:tcPr>
            <w:tcW w:w="18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(513,412)</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(401,631)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14,646</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111,781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526,495</w:t>
            </w: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503,963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491,929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22,532</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341,863</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294,396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277,087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47,467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2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88,503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(88,503)</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88,503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341,863</w:t>
            </w: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382,899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277,087</w:t>
            </w: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(41,036)</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105,812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9"/>
        </w:trPr>
        <w:tc>
          <w:tcPr>
            <w:tcW w:w="4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80" w:type="dxa"/>
            <w:vAlign w:val="bottom"/>
            <w:tcBorders>
              <w:top w:val="single" w:sz="8" w:color="CFF0FC"/>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184,632</w:t>
            </w:r>
          </w:p>
        </w:tc>
        <w:tc>
          <w:tcPr>
            <w:tcW w:w="180" w:type="dxa"/>
            <w:vAlign w:val="bottom"/>
            <w:tcBorders>
              <w:top w:val="single" w:sz="8" w:color="CFF0FC"/>
            </w:tcBorders>
          </w:tcPr>
          <w:p>
            <w:pPr>
              <w:spacing w:after="0"/>
              <w:rPr>
                <w:sz w:val="14"/>
                <w:szCs w:val="14"/>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121,064</w:t>
            </w: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214,842</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63,568</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(93,778)</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2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(28,583)</w:t>
            </w:r>
          </w:p>
        </w:tc>
        <w:tc>
          <w:tcPr>
            <w:tcW w:w="1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(12,632)</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15,951</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3"/>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Provision for Income Taxes And Non-Controlling</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156,049</w:t>
            </w:r>
          </w:p>
        </w:tc>
        <w:tc>
          <w:tcPr>
            <w:tcW w:w="180" w:type="dxa"/>
            <w:vAlign w:val="bottom"/>
          </w:tcPr>
          <w:p>
            <w:pPr>
              <w:spacing w:after="0"/>
              <w:rPr>
                <w:sz w:val="11"/>
                <w:szCs w:val="11"/>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108,432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204,975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47,617</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(96,543)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118,630</w:t>
            </w:r>
          </w:p>
        </w:tc>
        <w:tc>
          <w:tcPr>
            <w:tcW w:w="1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94,777</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124,612</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23,853</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(29,835)</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37,419</w:t>
            </w:r>
          </w:p>
        </w:tc>
        <w:tc>
          <w:tcPr>
            <w:tcW w:w="18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13,655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23,764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(66,708)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7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1,677</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(525)</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36,267</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11,978</w:t>
            </w:r>
          </w:p>
        </w:tc>
        <w:tc>
          <w:tcPr>
            <w:tcW w:w="220" w:type="dxa"/>
            <w:vAlign w:val="bottom"/>
          </w:tcPr>
          <w:p>
            <w:pPr>
              <w:jc w:val="right"/>
              <w:ind w:right="6"/>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75,436</w:t>
            </w:r>
          </w:p>
        </w:tc>
        <w:tc>
          <w:tcPr>
            <w:tcW w:w="2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24,289</w:t>
            </w: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(63,458)</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0.15</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20" w:type="dxa"/>
            <w:vAlign w:val="bottom"/>
            <w:tcBorders>
              <w:bottom w:val="single" w:sz="8" w:color="CFF0FC"/>
            </w:tcBorders>
            <w:shd w:val="clear" w:color="auto" w:fill="CFF0FC"/>
          </w:tcPr>
          <w:p>
            <w:pPr>
              <w:jc w:val="right"/>
              <w:ind w:right="6"/>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0.34</w:t>
            </w:r>
          </w:p>
        </w:tc>
        <w:tc>
          <w:tcPr>
            <w:tcW w:w="240" w:type="dxa"/>
            <w:vAlign w:val="bottom"/>
            <w:tcBorders>
              <w:bottom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(0.29)</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0.15</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220" w:type="dxa"/>
            <w:vAlign w:val="bottom"/>
          </w:tcPr>
          <w:p>
            <w:pPr>
              <w:jc w:val="right"/>
              <w:ind w:right="6"/>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2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(0.28)</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2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237,927,867</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236,713,056</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223,192,326</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280" w:type="dxa"/>
            <w:vAlign w:val="bottom"/>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239,827,390</w:t>
            </w:r>
          </w:p>
        </w:tc>
        <w:tc>
          <w:tcPr>
            <w:tcW w:w="18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238,080,030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226,758,882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w:t>
            </w: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2,490,057</w:t>
            </w:r>
          </w:p>
        </w:tc>
        <w:tc>
          <w:tcPr>
            <w:tcW w:w="2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2,433,528</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660,751</w:t>
            </w:r>
          </w:p>
        </w:tc>
        <w:tc>
          <w:tcPr>
            <w:tcW w:w="2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-2378710</wp:posOffset>
            </wp:positionV>
            <wp:extent cx="111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-2378710</wp:posOffset>
            </wp:positionV>
            <wp:extent cx="1460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-2378710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-2378710</wp:posOffset>
            </wp:positionV>
            <wp:extent cx="102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-2147570</wp:posOffset>
            </wp:positionV>
            <wp:extent cx="111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-2147570</wp:posOffset>
            </wp:positionV>
            <wp:extent cx="146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-2147570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-2147570</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-1821815</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-1821815</wp:posOffset>
            </wp:positionV>
            <wp:extent cx="1460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-1821815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-1821815</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-1590040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-1590040</wp:posOffset>
            </wp:positionV>
            <wp:extent cx="1460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-1590040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-1590040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-1332865</wp:posOffset>
            </wp:positionV>
            <wp:extent cx="111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-1315720</wp:posOffset>
            </wp:positionV>
            <wp:extent cx="111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-1332865</wp:posOffset>
            </wp:positionV>
            <wp:extent cx="1460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-1315720</wp:posOffset>
            </wp:positionV>
            <wp:extent cx="1460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-1332865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-1315720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-1332865</wp:posOffset>
            </wp:positionV>
            <wp:extent cx="102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-1315720</wp:posOffset>
            </wp:positionV>
            <wp:extent cx="102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-1058545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-1041400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-1058545</wp:posOffset>
            </wp:positionV>
            <wp:extent cx="146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-1041400</wp:posOffset>
            </wp:positionV>
            <wp:extent cx="1460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-1058545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-1041400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Streams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2023 was $1,054,553 thousand, up 4% from $1,017,375 thousand for the year ended December 31, 2022. The increase in revenue was largely due to legalization of adult-use sales in New Jersey that began on April 21, 2022, Rhode Island that began on December 1, 2022, Connecticut that began on January 10, 2023 and Maryland that began on July 1, 2023, continued growth in existing markets, as well as revenue generated from new retail stores opened in the current period, partially offset by price compression.</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 generated revenue from 91 Retail locations during the year compared to 77 in the prior year. During the year ended December 31, 2023, Retail revenue made up 75% of total revenue as compared to 75% of total revenue in 2022. Since December 31, 2022, the Company opened seven new Retail locations in Florida, two in Nevada, two in Virginia, two in Pennsylvania, one in Minnesota, and one in New York that contributed to the increase in Retail revenues. The Company also disposed of one Retail store in Massachusetts.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the launch of adult-use sales in New Jersey, Connecticut, and Maryland, as described above as well as continued growth in existing markets partially offset by price compression. Consumer Packaged Goods revenue made up 25% of total revenues in 2023 and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2023 was $528,058 thousand, up 3% from $513,412 thousand for the year ended December 31, 2022, driven by increased volume from open and operating retail stores, new retail store openings in Florida, Nevada, Virginia, Pennsylvania, Minnesota and New York, and legalization of adult-use sales in New Jersey, Rhode Island, Connecticut, and Maryland.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2023 was $526,495 thousand, representing a gross margin on the sale of branded cannabis flower and processed and packaged products including concentrates, edibles, topicals and other cannabis products, of 50%. This is compared to gross profit for the year ended December 31, 2022 of $503,963 thousand, or a 50% gross margin. The increase in gross profit (dollars) was directly attributable to the revenue increase as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Total expenses for the year ended December 31, 2023 were $341,863 thousand or 32% of revenues, net of discounts, resulting in a decrease of $41,036 thousand compared to the prior year. Total expenses for the year ended December 31, 2022 were $382,899 thousand or 38% of revenues, net of discounts. The decrease in total expenses was primarily due to the impairment charges of $88,503 thousand associated with the Company's goodwill and intangible assets, partially offset by the impact of acquisition related non-cash credits, both recorded during the year ended December 31, 2022. The net decrease was partially offset by an increase in expense attributable to retail salaries and benefits, depreciation expense and other operational and facility expenses mainly as a result of the launch of adult-use sales in New Jersey, Rhode Island, Connecticut and Maryland, as well as the additional stores opened during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2023 was $(28,583) thousand, a change of $15,951 thousand, primarily due to fair value adjustments on the Company's equity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2023 was $156,049 thousand, an increase of $47,617 thousand compared to the year ended December 31, 2022.</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$28,189 thousand and $27,140 thousand, other non-operating items of $12,228 thousand and $(21,893) thousand, and impairment of goodwill and intangible assets of $0 thousand and $88,503 thousand, Adjusted Earnings Before Interest, Taxes, Depreciation, and Amortization (“Adjusted EBITDA”) was $325,839 thousand and $311,478 thousand for the years ended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2023, federal and state income tax expense totaled $118,630 thousand compared to expense of $94,777 thousand for the year ended December 31, 2022.</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$118,630 thousand for the year ended December 31, 2023 includes current tax expense of $133,073 thousand and deferred tax expense of $(14,443) thousand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2022 was $1,017,375 thousand, up 14% from $893,560 thousand for the year ended December 31, 2021, driven by contributions from both Retail and Consumer Packaged Goods, largely due to continued growth in New Jersey, Illinois, Minnesota and Virginia. Key performance drivers for the Retail revenues in 2022 were: legalization of adult-use sales in New Jersey, which began on April 21, 2022, increased store traffic to Green Thumb’s open and operating retail stores, particularly in Illinois, and new store openings including acquired stores, particularly in Minnesota, Massachusetts, Virginia, Rhode Island and Maryland. The Company generated revenue from 77 Retail locations during the year compared to 73 in the prior year. During the year ended December 31, 2022, Retail revenue made up 75% of total revenue as compared to 69% of total revenue in 2021. Since December 31, 2021, the Company acquired one retail store in Illinois, opened two new Retail locations in Virginia and one in Minnesota that contributed to the increase in Retail revenues.</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adult-use sales which began on April 21, 2022, and growth in Illinois and Virginia. Consumer Packaged Goods revenue made up 25% of total revenues in 2022 as compared to 31% in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2022 was $513,412 thousand, up 28% from $401,631 thousand for the year ended December 31, 2021, driven by increased volume from open and operating retail stores, new and acquired retail store openings in Illinois, Minnesota and Virginia, legalization of adult-use sales in New Jersey, and expansion of the consumer products sales primarily in New Jersey and Illinois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2022 was $503,963 thousand, representing a gross margin on the sale of branded cannabis flower and processed and packaged products including concentrates, edibles, topicals and other cannabis products, of 50%. This is compared to gross profit for the year ended December 31, 2021 of $491,929 thousand or a 55% gross margin. The increase in gross profit (dollars) was directly attributable to the revenue increase as described above. The decline in gross margin (percent) was primarily driven by price compression.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Total expenses for the year ended December 31, 2022 were $382,899 thousand or 38% of revenues, net of discounts, resulting in an increase of $105,812 thousand. Total expenses for the year ended December 31, 2021 were $277,087 thousand or 31% of revenues, net of discounts. The increase in total expenses was primarily due to an impairment charge to goodwill of $57,372 thousand and an impairment charge associated with the Company's tradename intangible assets of $31,131 thousand. The remaining increase is attributable to retail salaries and benefits, stock-based compensation expense, depreciation expense and other operational and facility expenses mainly as a result of the Company’s addition of three new and one acquired Retail store during 2022 as well as the five retail stores associated with LeafLine Industries, LLC, which were acquired on December 30, 2021. In addition, an increase in intangible amortization expense and corporate staff salaries also contributed to the overall increase in total expenses, which was partially offset by the remeasurement of the Company's contingent consideration arrangements associated with two acquisitions that occurred in 2021. The reduction in expenses as a percentage of revenue was attributable to measures deployed to control variable expenses as well as inherent operating leverage caused by the significant increase in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2022 was $(12,632) thousand, a change of $2,765 thousand, primarily due to fair value adjustments on the Company's equity investments, partially offset by favorable fair value adjustments on the Company's warrant liability.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2022 was $108,432 thousand, a decrease of $96,543 thousand compared to the year ended December 31, 2021.</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$27,140 thousand and $19,600 thousand, as well as other nonoperating items of $(21,893) thousand and $4,934 thousand, and impairment of goodwill and intangible assets of $88,503 thousand and $0 thousand, Adjusted EBITDA was $311,478 thousand and $307,834 thousand for the years ended December 31,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2022, federal and state income tax expense totaled $94,777 thousand compared to expense of $124,612 thousand for the year ended December 31, 2021.</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$94,777 thousand for the year ended December 31, 2022 includes current tax expense of $142,861 thousand and deferred tax benefit of $(48,084)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with Year Ended December 31,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2021 was $893,560 thousand, up 61% from $556,573 thousand for the year ended December 31, 2020, driven by contributions from both Retail and Consumer Packaged Goods, largely due to continued growth in Illinois and Pennsylvania. Key performance drivers for the Retail revenues in 2021 were: increased store traffic to Green Thumb’s open and operating retail stores, particularly in Illinois and Pennsylvania, and new store openings including acquired stores, particularly in Massachusetts, Virginia, Rhode Island and Maryland. The Company generated revenue from 73 Retail locations during the year compared to 51 in the prior year. During the year ended December 31, 2021, Retail revenue made up 69% of total revenue as compared to 71% in 2020. Since December 31, 2020, the Company acquired one retail store in Maryland, four in Massachusetts, one in Rhode Island, one in Virginia and five in Minnesota and opened ten new Retail locations in Pennsylvania, Illinois, Massachusetts, California, New Jersey, Nevada and Virginia that contributed to the increase in Retail revenues.</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key driver for the Consumer Packaged Goods increase in revenues was the sale of Green Thumb’s branded product portfolio to third-party retailers through the Company’s existing Consumer Packaged Goods cultivation and processing facilities in Illinois, Pennsylvania, Massachusetts, Maryland, Nevada, New Jersey, Ohio and Connecticut due to increased scale and efficiency. The Company also acquired cultivation and processing facilities in Massachusetts, Minnesota, Rhode Island and Virginia during the year ended December 31, 2021. Consumer Packaged Goods revenue made up 31% of total revenues in 2021 as compared to 29% in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2021 was $401,631 thousand, up 59% from $252,404 thousand for the year ended December 31, 2020, driven by increased volume in open and operating retail stores; new and acquired retail store openings in Massachusetts, Virginia, Rhode Island, New Jersey and Pennsylvania and expansion of the consumer products sales primarily in Illinois, Pennsylvania, Massachusetts and New Jersey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2021 was $491,929 thousand, representing a gross margin on the sale of branded cannabis flower and processed and packaged products including concentrates, edibles, topicals and other cannabis products, of 55%. This is compared to gross profit for the year ended December 31, 2020 of $304,169 thousand or a 55% gross margin. The increase in gross profit (dollars) was directly attributable to the revenue increase as described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Total expenses for the year ended December 31, 2021 were $277,087 thousand or 31% of revenues, net of discounts, resulting in an increase of $79,025 thousand. Total expenses for the year ended December 31, 2020 were $198,062 thousand or 36% of revenues, net of discounts. The increase in total expenses was attributable to Retail salaries and benefits, depreciation expense and other operational and facility expenses mainly as a result of the Company’s addition of ten new and twelve acquired Retail stores over the prior year period. In addition, an increase in intangible amortization expense and corporate staff salaries also contributed to the overall increase in total expenses. The reduction in expenses as a percentage of revenue was attributable to measures deployed to control variable expenses as well as inherent operating leverage caused by the significant increase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2021 was $(9,867) thousand, a change of $6,691 thousand, primarily due to an increase in interest expense on the Company's April 30, 2021 Notes and interest on contingent consideration associated with 2021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31,2021 was $204,975 thousand, an increase of $102,044 thousand compared to the year ended December 31, 2020.</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$19,600 thousand and $19,337 thousand, as well as other nonoperating items of $4,934 thousand and $1,635 thousand, Adjusted EBITDA was $307,834 thousand and $179,585 thousand for the years ended December 31, 2021 and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2021, federal and state income tax expense totaled $124,612 thousand compared to expense of $83,853 thousand for the year ended December 31, 2020.</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$124,612 thousand for the year ended December 31, 2021 includes current tax expense of $132,151 thousand and deferred tax benefit of $(7,539)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 by Segment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years ended December 31, 2023,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Borders>
              <w:bottom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280" w:type="dxa"/>
            <w:vAlign w:val="bottom"/>
          </w:tcPr>
          <w:p>
            <w:pPr>
              <w:spacing w:after="0"/>
              <w:rPr>
                <w:sz w:val="16"/>
                <w:szCs w:val="16"/>
                <w:color w:val="auto"/>
              </w:rPr>
            </w:pPr>
          </w:p>
        </w:tc>
        <w:tc>
          <w:tcPr>
            <w:tcW w:w="188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1"/>
                <w:szCs w:val="11"/>
                <w:color w:val="auto"/>
              </w:rPr>
            </w:pPr>
          </w:p>
        </w:tc>
        <w:tc>
          <w:tcPr>
            <w:tcW w:w="14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1"/>
                <w:szCs w:val="11"/>
                <w:color w:val="auto"/>
              </w:rPr>
            </w:pPr>
          </w:p>
        </w:tc>
        <w:tc>
          <w:tcPr>
            <w:tcW w:w="980" w:type="dxa"/>
            <w:vAlign w:val="bottom"/>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1"/>
                <w:szCs w:val="11"/>
                <w:color w:val="auto"/>
              </w:rPr>
            </w:pPr>
          </w:p>
        </w:tc>
        <w:tc>
          <w:tcPr>
            <w:tcW w:w="1020" w:type="dxa"/>
            <w:vAlign w:val="bottom"/>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9"/>
                <w:szCs w:val="9"/>
                <w:color w:val="auto"/>
              </w:rPr>
            </w:pP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2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791,480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763,166</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614,739</w:t>
            </w:r>
          </w:p>
        </w:tc>
        <w:tc>
          <w:tcPr>
            <w:tcW w:w="3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28,314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148,427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559,480</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495,101</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467,258</w:t>
            </w:r>
          </w:p>
        </w:tc>
        <w:tc>
          <w:tcPr>
            <w:tcW w:w="30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64,379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27,843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5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(296,407)</w:t>
            </w:r>
          </w:p>
        </w:tc>
        <w:tc>
          <w:tcPr>
            <w:tcW w:w="18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(240,892)</w:t>
            </w:r>
          </w:p>
        </w:tc>
        <w:tc>
          <w:tcPr>
            <w:tcW w:w="2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(188,437)</w:t>
            </w: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55,515</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52,455</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1,054,553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1,017,375</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893,560</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37,178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123,815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-145415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-145415</wp:posOffset>
            </wp:positionV>
            <wp:extent cx="188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-145415</wp:posOffset>
            </wp:positionV>
            <wp:extent cx="1885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-145415</wp:posOffset>
            </wp:positionV>
            <wp:extent cx="1803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the Year Ended December 31, 2022</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$791,480 thousand, an increase of $28,314 thousand or 4%, compared to the year ended December 31, 2022. The increase in revenue was largely due to legalization of adult-use sales in New Jersey, which began on April 21, 2022, Rhode Island which began on December 1, 2022, Connecticut, which began on January 10, 2023, and Maryland, which began on July 1, 2023, as well as revenue generated from new retail stores opened in the current period, partially offset by price compression.</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$559,480 thousand, an increase of $64,379 thousand or 13%, compared to the year ended December 31, 2022. The increase in revenue was largely due to legalization of adult-use sales in New Jersey, Connecticut and Maryland as discussed above, partially offset by price compression.</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the Year Ended December 31, 2021</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$763,166 thousand for the year ended December 31, 2022, an increase of $148,427 thousand or 24%, compared to the year ended December 31, 2021. The increase in Retail revenues, net of discounts, was primarily driven by legalization of adult-use sales in New Jersey, which began on April 21, 2022, increased store traffic to Green Thumb’s open and operating retail stores, particularly in Illinois, and new store openings including acquired stores, particularly in Minnesota, Virginia and Illinois.</w:t>
      </w:r>
    </w:p>
    <w:p>
      <w:pPr>
        <w:spacing w:after="0" w:line="180"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$495,101 thousand for the year ended December 31, 2022, an increase of $27,843 thousand or 6%, compared to the year ended December 31, 2021. The increase in Consumer Packaged Goods revenues, net of discounts, was primarily driven by legalization of adult-use sales in New Jersey, which began on April 21, 2022 and continued growth in Illinois and Minnesota.</w:t>
      </w:r>
    </w:p>
    <w:p>
      <w:pPr>
        <w:spacing w:after="0" w:line="180"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with the Year Ended December 31, 2020</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$614,739 thousand for the year ended December 31, 2021, an increase of $218,367 thousand or 55%, compared to the year ended December 31, 2020. The increase in Retail revenues, net of discounts, was primarily driven by increased store traffic to Green Thumb’s open and operating retail stores, particularly in Illinois and Pennsylvania, as well as acquired stores in Massachusetts, Virginia, Rhode Island and Maryland.</w:t>
      </w:r>
    </w:p>
    <w:p>
      <w:pPr>
        <w:spacing w:after="0" w:line="180" w:lineRule="exact"/>
        <w:rPr>
          <w:sz w:val="20"/>
          <w:szCs w:val="20"/>
          <w:color w:val="auto"/>
        </w:rPr>
      </w:pPr>
    </w:p>
    <w:p>
      <w:pPr>
        <w:jc w:val="both"/>
        <w:ind w:right="440" w:firstLine="74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$467,258 thousand for the year ended December 31, 2021, an increase of $193,281 thousand or 71%, compared to the year ended December 31, 2020. The increase in Consumer Packaged Goods revenues, net of discounts, was primarily driven by increased sales volume in established markets such as Illinois, Pennsylvania, Massachusetts and New Jersey.</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&amp;Shine, Beboe, Dogwalkers, Doctor Solomon’s, Good Green incredibles, and RYTHM, primarily to third-party retail customers; and a Retail business in which it sells finished goods sourced from third-party cannabis manufacturers in addition to the Company’s own Consumer Packaged Goods products direct to the end consumer in its retail stores, as well as direct-to-consumer delivery where applicable by state law.</w:t>
      </w:r>
    </w:p>
    <w:p>
      <w:pPr>
        <w:spacing w:after="0" w:line="183" w:lineRule="exact"/>
        <w:rPr>
          <w:sz w:val="20"/>
          <w:szCs w:val="20"/>
          <w:color w:val="auto"/>
        </w:rPr>
      </w:pPr>
    </w:p>
    <w:p>
      <w:pPr>
        <w:ind w:right="480" w:firstLine="749"/>
        <w:spacing w:after="0" w:line="312" w:lineRule="auto"/>
        <w:rPr>
          <w:sz w:val="20"/>
          <w:szCs w:val="20"/>
          <w:color w:val="auto"/>
        </w:rPr>
      </w:pPr>
      <w:r>
        <w:rPr>
          <w:rFonts w:ascii="Times New Roman" w:cs="Times New Roman" w:eastAsia="Times New Roman" w:hAnsi="Times New Roman"/>
          <w:sz w:val="17"/>
          <w:szCs w:val="17"/>
          <w:color w:val="auto"/>
        </w:rPr>
        <w:t>For the year ended December 31, 2023, revenue was contributed from Consumer Packaged Goods and Retail sales across California, Connecticut, Florida, Illinois, Maryland, Massachusetts, Minnesota, Nevada, New Jersey, New York, Ohio, Pennsylvania, Rhode Island and Virginia.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9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also includes a significant investment in the corporate infrastructure required to support the Company’s ongoing business.</w:t>
      </w:r>
    </w:p>
    <w:p>
      <w:pPr>
        <w:spacing w:after="0" w:line="20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higher in the newer locations as the business continues to grow.</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7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6540" w:type="dxa"/>
        <w:tblCellMar>
          <w:top w:w="0" w:type="dxa"/>
          <w:left w:w="0" w:type="dxa"/>
          <w:bottom w:w="0" w:type="dxa"/>
          <w:right w:w="0" w:type="dxa"/>
        </w:tblCellMar>
      </w:tblPr>
      <w:tr>
        <w:trPr>
          <w:trHeight w:val="169"/>
        </w:trPr>
        <w:tc>
          <w:tcPr>
            <w:tcW w:w="158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tcBorders>
              <w:top w:val="single" w:sz="8" w:color="auto"/>
            </w:tcBorders>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1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995" w:right="33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 net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 net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Other (Income) Expense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5"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p>
      <w:pPr>
        <w:jc w:val="right"/>
        <w:ind w:right="2700"/>
        <w:spacing w:after="0" w:line="197" w:lineRule="auto"/>
        <w:rPr>
          <w:sz w:val="20"/>
          <w:szCs w:val="20"/>
          <w:color w:val="auto"/>
        </w:rPr>
      </w:pPr>
      <w:r>
        <w:rPr>
          <w:rFonts w:ascii="Times New Roman" w:cs="Times New Roman" w:eastAsia="Times New Roman" w:hAnsi="Times New Roman"/>
          <w:sz w:val="14"/>
          <w:szCs w:val="14"/>
          <w:b w:val="1"/>
          <w:bCs w:val="1"/>
          <w:color w:val="auto"/>
        </w:rPr>
        <w:t>amortization (EBITDA) (non-GAAP measure)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37,419</w:t>
            </w:r>
          </w:p>
        </w:tc>
        <w:tc>
          <w:tcPr>
            <w:tcW w:w="220" w:type="dxa"/>
            <w:vAlign w:val="bottom"/>
            <w:tcBorders>
              <w:top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13,655</w:t>
            </w:r>
          </w:p>
        </w:tc>
        <w:tc>
          <w:tcPr>
            <w:tcW w:w="2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tcBorders>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80,363</w:t>
            </w:r>
          </w:p>
        </w:tc>
      </w:tr>
      <w:tr>
        <w:trPr>
          <w:trHeight w:val="175"/>
        </w:trPr>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2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(1,432)</w:t>
            </w:r>
          </w:p>
        </w:tc>
      </w:tr>
      <w:tr>
        <w:trPr>
          <w:trHeight w:val="176"/>
        </w:trPr>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21,201</w:t>
            </w:r>
          </w:p>
        </w:tc>
        <w:tc>
          <w:tcPr>
            <w:tcW w:w="2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21,976</w:t>
            </w:r>
          </w:p>
        </w:tc>
      </w:tr>
      <w:tr>
        <w:trPr>
          <w:trHeight w:val="176"/>
        </w:trPr>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118,630</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94,777</w:t>
            </w:r>
          </w:p>
        </w:tc>
        <w:tc>
          <w:tcPr>
            <w:tcW w:w="2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124,612</w:t>
            </w:r>
          </w:p>
        </w:tc>
      </w:tr>
      <w:tr>
        <w:trPr>
          <w:trHeight w:val="175"/>
        </w:trPr>
        <w:tc>
          <w:tcPr>
            <w:tcW w:w="1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16,207</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(10,677)</w:t>
            </w:r>
          </w:p>
        </w:tc>
      </w:tr>
      <w:tr>
        <w:trPr>
          <w:trHeight w:val="185"/>
        </w:trPr>
        <w:tc>
          <w:tcPr>
            <w:tcW w:w="14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100,790</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96,664</w:t>
            </w:r>
          </w:p>
        </w:tc>
        <w:tc>
          <w:tcPr>
            <w:tcW w:w="200" w:type="dxa"/>
            <w:vAlign w:val="bottom"/>
          </w:tcPr>
          <w:p>
            <w:pPr>
              <w:spacing w:after="0"/>
              <w:rPr>
                <w:sz w:val="16"/>
                <w:szCs w:val="16"/>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68,458</w:t>
            </w:r>
          </w:p>
        </w:tc>
      </w:tr>
      <w:tr>
        <w:trPr>
          <w:trHeight w:val="240"/>
        </w:trPr>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285,422</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217,728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283,300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-833120</wp:posOffset>
            </wp:positionV>
            <wp:extent cx="7132320" cy="111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-610235</wp:posOffset>
            </wp:positionV>
            <wp:extent cx="7132320" cy="111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-387350</wp:posOffset>
            </wp:positionV>
            <wp:extent cx="7132320"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-156210</wp:posOffset>
            </wp:positionV>
            <wp:extent cx="713232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5680" w:space="720"/>
            <w:col w:w="4840"/>
          </w:cols>
          <w:pgMar w:left="320" w:top="99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142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57,372</w:t>
            </w:r>
          </w:p>
        </w:tc>
        <w:tc>
          <w:tcPr>
            <w:tcW w:w="200" w:type="dxa"/>
            <w:vAlign w:val="bottom"/>
          </w:tcPr>
          <w:p>
            <w:pPr>
              <w:spacing w:after="0"/>
              <w:rPr>
                <w:sz w:val="17"/>
                <w:szCs w:val="17"/>
                <w:color w:val="auto"/>
              </w:rPr>
            </w:pPr>
          </w:p>
        </w:tc>
        <w:tc>
          <w:tcPr>
            <w:tcW w:w="1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Write-off of Trade Names</w:t>
            </w:r>
          </w:p>
        </w:tc>
        <w:tc>
          <w:tcPr>
            <w:tcW w:w="14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Non-cash</w:t>
            </w:r>
          </w:p>
        </w:tc>
        <w:tc>
          <w:tcPr>
            <w:tcW w:w="1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28,189</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27,140</w:t>
            </w:r>
          </w:p>
        </w:tc>
        <w:tc>
          <w:tcPr>
            <w:tcW w:w="2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19,600</w:t>
            </w:r>
          </w:p>
        </w:tc>
      </w:tr>
      <w:tr>
        <w:trPr>
          <w:trHeight w:val="17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Transaction and Other Non-operating (Income) Costs</w:t>
            </w:r>
          </w:p>
        </w:tc>
        <w:tc>
          <w:tcPr>
            <w:tcW w:w="142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22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(21,893)</w:t>
            </w:r>
          </w:p>
        </w:tc>
        <w:tc>
          <w:tcPr>
            <w:tcW w:w="2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4,934</w:t>
            </w: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 Measure)</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325,839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311,478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307,834</w:t>
            </w:r>
          </w:p>
        </w:tc>
      </w:tr>
      <w:tr>
        <w:trPr>
          <w:trHeight w:val="20"/>
        </w:trPr>
        <w:tc>
          <w:tcPr>
            <w:tcW w:w="5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-144780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wp:posOffset>
            </wp:positionV>
            <wp:extent cx="1289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and Capital Resources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had total current liabilities of $126,050 thousand and $146,571 thousand, respectively, and cash and cash equivalents of $161,634 thousand and $177,682 thousand, respectively, to meet its current obligations. The Company had working capital of $216,712 thousand as of December 31, 2023, an increase of $11,932 thousand as compared to December 31, 2022. This increase in working capital was primarily driven by the decrease in accrued liabilities associated with ongoing construction projects during 2022 that were completed in 2023, as well as a decrease in contingent consideration payable.</w:t>
      </w:r>
    </w:p>
    <w:p>
      <w:pPr>
        <w:spacing w:after="0" w:line="183"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The Company generates cash from its operations and deploys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research, design, development and marketing, as well as customer, supplier, and investor and industry relations.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 Investing and Financing Activities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years ended December 31, 2023, 2022, and 2021,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260" w:type="dxa"/>
            <w:vAlign w:val="bottom"/>
            <w:tcBorders>
              <w:bottom w:val="single" w:sz="8" w:color="auto"/>
            </w:tcBorders>
            <w:gridSpan w:val="5"/>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23"/>
        </w:trPr>
        <w:tc>
          <w:tcPr>
            <w:tcW w:w="5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5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158,564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132,048</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(280,730)</w:t>
            </w: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295,344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 and Other Commitments and Contingencies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quantifies the Company’s future contractual obligations as of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3"/>
                <w:szCs w:val="13"/>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3"/>
                <w:szCs w:val="13"/>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300" w:type="dxa"/>
            <w:vAlign w:val="bottom"/>
          </w:tcPr>
          <w:p>
            <w:pPr>
              <w:spacing w:after="0"/>
              <w:rPr>
                <w:sz w:val="13"/>
                <w:szCs w:val="13"/>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300" w:type="dxa"/>
            <w:vAlign w:val="bottom"/>
          </w:tcPr>
          <w:p>
            <w:pPr>
              <w:spacing w:after="0"/>
              <w:rPr>
                <w:sz w:val="13"/>
                <w:szCs w:val="13"/>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6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14"/>
                <w:szCs w:val="14"/>
                <w:color w:val="auto"/>
              </w:rPr>
              <w:t>Notes Payable</w:t>
            </w:r>
            <w:r>
              <w:rPr>
                <w:rFonts w:ascii="Times New Roman" w:cs="Times New Roman" w:eastAsia="Times New Roman" w:hAnsi="Times New Roman"/>
                <w:sz w:val="19"/>
                <w:szCs w:val="19"/>
                <w:color w:val="auto"/>
                <w:vertAlign w:val="superscript"/>
              </w:rPr>
              <w:t>(a)</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224,435</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224,435</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Charitable Contributions</w:t>
            </w: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Mortgage Payable</w:t>
            </w:r>
            <w:r>
              <w:rPr>
                <w:rFonts w:ascii="Times New Roman" w:cs="Times New Roman" w:eastAsia="Times New Roman" w:hAnsi="Times New Roman"/>
                <w:sz w:val="19"/>
                <w:szCs w:val="19"/>
                <w:color w:val="auto"/>
                <w:vertAlign w:val="superscript"/>
              </w:rPr>
              <w:t>(b)</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87,217</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15,197</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58,856</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Due on Notes Payable</w:t>
            </w: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20,875</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15,710</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Due on Mortgage Payable</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46,973</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5,637</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17,609</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Operating Leases - Third-Party</w:t>
            </w:r>
            <w:r>
              <w:rPr>
                <w:rFonts w:ascii="Times New Roman" w:cs="Times New Roman" w:eastAsia="Times New Roman" w:hAnsi="Times New Roman"/>
                <w:sz w:val="19"/>
                <w:szCs w:val="19"/>
                <w:color w:val="auto"/>
                <w:vertAlign w:val="superscript"/>
              </w:rPr>
              <w:t>(c)</w:t>
            </w: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527,424</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43,633</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41,845</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41,073</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41,420</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40,863</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318,590</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Operating Leases - Related Parties</w:t>
            </w:r>
            <w:r>
              <w:rPr>
                <w:rFonts w:ascii="Times New Roman" w:cs="Times New Roman" w:eastAsia="Times New Roman" w:hAnsi="Times New Roman"/>
                <w:sz w:val="19"/>
                <w:szCs w:val="19"/>
                <w:color w:val="auto"/>
                <w:vertAlign w:val="superscript"/>
              </w:rPr>
              <w:t>(c)</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Commitments</w:t>
            </w:r>
          </w:p>
        </w:tc>
        <w:tc>
          <w:tcPr>
            <w:tcW w:w="4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3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3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as of December 31, 2023</w:t>
            </w:r>
          </w:p>
        </w:tc>
        <w:tc>
          <w:tcPr>
            <w:tcW w:w="4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950,940</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76,263</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315,471</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50,301</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50,655</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61,831</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396,419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-24765</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93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94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94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946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amount excludes $2,755 thousand of unamortized debt discount as of December 31, 2023. See Note 8—Notes Payable for details.</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amount excludes $725 thousand of unamortized debt discount as of December 31, 2023. See Note 8—Notes Payable for details.</w:t>
      </w:r>
    </w:p>
    <w:p>
      <w:pPr>
        <w:ind w:left="200" w:hanging="192"/>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These amounts include a total of $268,878 thousand of imputed interest as of December 31, 2023 See Note 7—Leases for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Claims and Litigation</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2023:</w:t>
      </w:r>
    </w:p>
    <w:p>
      <w:pPr>
        <w:spacing w:after="0" w:line="162" w:lineRule="exact"/>
        <w:rPr>
          <w:sz w:val="20"/>
          <w:szCs w:val="20"/>
          <w:color w:val="auto"/>
        </w:rPr>
      </w:pPr>
    </w:p>
    <w:p>
      <w:pPr>
        <w:ind w:left="760" w:right="160"/>
        <w:spacing w:after="0" w:line="258" w:lineRule="auto"/>
        <w:rPr>
          <w:sz w:val="20"/>
          <w:szCs w:val="20"/>
          <w:color w:val="auto"/>
        </w:rPr>
      </w:pPr>
      <w:r>
        <w:rPr>
          <w:rFonts w:ascii="Times New Roman" w:cs="Times New Roman" w:eastAsia="Times New Roman" w:hAnsi="Times New Roman"/>
          <w:sz w:val="18"/>
          <w:szCs w:val="18"/>
          <w:color w:val="auto"/>
        </w:rPr>
        <w:t>Cresco Labs New York, LLC and Cresco Labs LLC (“Plaintiffs”) filed an amended complaint (the “Complaint”) against one of the Company’s subsidiaries, Fiorello Pharmaceuticals, Inc. (“Defendant”) on November 20, 2018, in the Supreme Court of the State of New York, alleging Defendant breached the parties’ Equity Purchase Agreement Letter of Intent relating to the acquisition of Defendant by Plaintiffs. On October 18, 2023, all pending motions were withdrawn and Plaintiffs' claims were dismissed with prejudice. Accordingly, the Company reduced its loss contingency associated with the Complaint from $900 thousand as of December 31, 2022 to $0 at December 31, 2023.</w:t>
      </w:r>
    </w:p>
    <w:p>
      <w:pPr>
        <w:spacing w:after="0" w:line="183"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2023 and 2022, other than as discussed above,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under Part II, Item 8, Notes to Consolidated Financial Statements, Note 2 – Significant Accounting Policies.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Useful Lives and Amortization of Intangible Assets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80" w:firstLine="749"/>
        <w:spacing w:after="0" w:line="273" w:lineRule="auto"/>
        <w:rPr>
          <w:sz w:val="20"/>
          <w:szCs w:val="20"/>
          <w:color w:val="auto"/>
        </w:rPr>
      </w:pPr>
      <w:r>
        <w:rPr>
          <w:rFonts w:ascii="Times New Roman" w:cs="Times New Roman" w:eastAsia="Times New Roman" w:hAnsi="Times New Roman"/>
          <w:sz w:val="17"/>
          <w:szCs w:val="17"/>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Investments in Private Holdings</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Financial Accounting Standards Board (“FASB”)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Reporting Units</w:t>
      </w:r>
    </w:p>
    <w:p>
      <w:pPr>
        <w:spacing w:after="0" w:line="227" w:lineRule="exact"/>
        <w:rPr>
          <w:sz w:val="20"/>
          <w:szCs w:val="20"/>
          <w:color w:val="auto"/>
        </w:rPr>
      </w:pPr>
    </w:p>
    <w:p>
      <w:pPr>
        <w:ind w:right="40" w:firstLine="749"/>
        <w:spacing w:after="0" w:line="277" w:lineRule="auto"/>
        <w:rPr>
          <w:sz w:val="20"/>
          <w:szCs w:val="20"/>
          <w:color w:val="auto"/>
        </w:rPr>
      </w:pPr>
      <w:r>
        <w:rPr>
          <w:rFonts w:ascii="Times New Roman" w:cs="Times New Roman" w:eastAsia="Times New Roman" w:hAnsi="Times New Roman"/>
          <w:sz w:val="17"/>
          <w:szCs w:val="17"/>
          <w:color w:val="auto"/>
        </w:rPr>
        <w:t xml:space="preserve">The Company’s assets are aggregated into two reportable segments (Retail and Consumer Packaged Goods). Prior to October 1, 2022, the Company had 30 reporting units for the purposes of testing goodwill. Management evaluated its existing reporting units under the accounting guidance provided in Accounting Standards Codification (“ASC”) </w:t>
      </w:r>
      <w:r>
        <w:rPr>
          <w:rFonts w:ascii="Times New Roman" w:cs="Times New Roman" w:eastAsia="Times New Roman" w:hAnsi="Times New Roman"/>
          <w:sz w:val="17"/>
          <w:szCs w:val="17"/>
          <w:i w:val="1"/>
          <w:iCs w:val="1"/>
          <w:color w:val="auto"/>
        </w:rPr>
        <w:t>280 Segment Reporting,</w:t>
      </w:r>
      <w:r>
        <w:rPr>
          <w:rFonts w:ascii="Times New Roman" w:cs="Times New Roman" w:eastAsia="Times New Roman" w:hAnsi="Times New Roman"/>
          <w:sz w:val="17"/>
          <w:szCs w:val="17"/>
          <w:color w:val="auto"/>
        </w:rPr>
        <w:t xml:space="preserve"> and determined that the individual components within each respective segment were economically similar and thus, aggregation of those components into two reporting units that align with our reportable segments, was applied. Subsequent to October 1, 2022, the Company aggregated each of the components into two reporting units (Retail and Consumer Packaged Goods).</w:t>
      </w:r>
    </w:p>
    <w:p>
      <w:pPr>
        <w:spacing w:after="0" w:line="168"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As part of the Company's aggregation of the 30 reporting units that existed prior to October 1, 2022, the accounting guidance required the reporting units be tested for impairment through a Step 1 quantitative analysis.</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both the income and market approaches. The income approach required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estimates fair value using comparable marketplace fair value data from within a comparable industry grouping.</w:t>
      </w:r>
    </w:p>
    <w:p>
      <w:pPr>
        <w:spacing w:after="0" w:line="1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required the Company to make significant estimates and assumptions. These estimates and assumptions primarily included, but were not limited to: the discount rate; terminal growth rates; and forecasts of revenue, operating income, depreciation and amortization and capital expenditures.</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As a result of the Company's October 1, 2022 goodwill impairment analysis, the Company determined two of the reporting units were impaired. Management continues to assess whether events or circumstances have occurred that would require additional consideration as part of the Company's goodwill impairment analysis. As of October 1, 2023, no such events or circumstances were present. See Note 5—Intangible Assets and Goodwill for additional detail.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Uncollectible Accounts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Stock-Based Payments</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200" w:lineRule="exact"/>
        <w:rPr>
          <w:sz w:val="20"/>
          <w:szCs w:val="20"/>
          <w:color w:val="auto"/>
        </w:rPr>
      </w:pP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is exposed in varying degrees to a variety of financial instrument related risks. The Company’s Board of Directors (the “Board”) mitigates these risks by assessing, monitoring and approving the Company’s risk management processes.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Liquidity Risk</w:t>
      </w:r>
    </w:p>
    <w:p>
      <w:pPr>
        <w:spacing w:after="0" w:line="225"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raw material and other commodity prices.</w:t>
      </w:r>
    </w:p>
    <w:p>
      <w:pPr>
        <w:spacing w:after="0" w:line="160" w:lineRule="exact"/>
        <w:rPr>
          <w:sz w:val="20"/>
          <w:szCs w:val="20"/>
          <w:color w:val="auto"/>
        </w:rPr>
      </w:pPr>
    </w:p>
    <w:p>
      <w:pPr>
        <w:ind w:right="520" w:firstLine="749"/>
        <w:spacing w:after="0" w:line="262" w:lineRule="auto"/>
        <w:rPr>
          <w:sz w:val="20"/>
          <w:szCs w:val="20"/>
          <w:color w:val="auto"/>
        </w:rPr>
      </w:pPr>
      <w:r>
        <w:rPr>
          <w:rFonts w:ascii="Times New Roman" w:cs="Times New Roman" w:eastAsia="Times New Roman" w:hAnsi="Times New Roman"/>
          <w:sz w:val="18"/>
          <w:szCs w:val="18"/>
          <w:i w:val="1"/>
          <w:iCs w:val="1"/>
          <w:color w:val="auto"/>
        </w:rPr>
        <w:t>Currency Risk</w:t>
      </w:r>
      <w:r>
        <w:rPr>
          <w:rFonts w:ascii="Times New Roman" w:cs="Times New Roman" w:eastAsia="Times New Roman" w:hAnsi="Times New Roman"/>
          <w:sz w:val="18"/>
          <w:szCs w:val="18"/>
          <w:color w:val="auto"/>
        </w:rPr>
        <w:t>. The operating results and financial position of the Company are reported in U.S. dollars. Some of the Company’s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are denominated in currencies other than the U.S. dollar. The results of the Company’s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62" w:name="page63"/>
    <w:bookmarkEnd w:id="62"/>
    <w:p>
      <w:pPr>
        <w:ind w:right="200"/>
        <w:spacing w:after="0" w:line="282" w:lineRule="auto"/>
        <w:rPr>
          <w:sz w:val="20"/>
          <w:szCs w:val="20"/>
          <w:color w:val="auto"/>
        </w:rPr>
      </w:pPr>
      <w:r>
        <w:rPr>
          <w:rFonts w:ascii="Times New Roman" w:cs="Times New Roman" w:eastAsia="Times New Roman" w:hAnsi="Times New Roman"/>
          <w:sz w:val="18"/>
          <w:szCs w:val="18"/>
          <w:color w:val="auto"/>
        </w:rPr>
        <w:t>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60"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Interest rate risk is the risk that the fair value or future cash flows of a financial instrument will fluctuate because of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 interest rates. Cash and cash equivalents bear interest at market rates. The Company’s financial debts have fixed rates of interest and therefore expose the Company to a limited interest rate fair value risk.</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Commodities Price Risk</w:t>
      </w:r>
      <w:r>
        <w:rPr>
          <w:rFonts w:ascii="Times New Roman" w:cs="Times New Roman" w:eastAsia="Times New Roman" w:hAnsi="Times New Roman"/>
          <w:sz w:val="18"/>
          <w:szCs w:val="18"/>
          <w:color w:val="auto"/>
        </w:rPr>
        <w:t>. Commodities Price risk is the risk of variability in fair value due to movements in equity or market prices.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2023. Accordingly, as of December 31, 2023, the Company’s Chief Executive Officer and Chief Financial Officer concluded that the Company’s disclosure controls and procedures were effective as of such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Management, including the Chief Executive Officer and Chief Financial Officer, conducted an assessment of the effectiveness of our internal control over financial reporting based on the criteria established in “Internal Control - Integrated Framework” (2013) issued by the Committee of Sponsoring Organizations of the Treadway Commission (“COSO”). Based on its assessment, management believes that, as of December 31, 2023, our internal control over financial reporting was effective based on those criteria.</w:t>
      </w:r>
    </w:p>
    <w:p>
      <w:pPr>
        <w:spacing w:after="0" w:line="183" w:lineRule="exact"/>
        <w:rPr>
          <w:sz w:val="20"/>
          <w:szCs w:val="20"/>
          <w:color w:val="auto"/>
        </w:rPr>
      </w:pPr>
    </w:p>
    <w:p>
      <w:pPr>
        <w:jc w:val="both"/>
        <w:ind w:right="100" w:firstLine="749"/>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68"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our independent registered public accounting firm, as stated in their attestation report which is included in this Annual Report on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3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(b.) Rule 1065-1 Trading Plans. During the three months ended December 31, 2023, none of the Company's directors or Section 16 officers adopted or terminated a “Rule 1065-1 trading arrangement” or a “non-Rule 1065-1 trading arrangement”, as each term is defined in the Item 408(a) of Regulation S-K.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2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Except for the information about our Code of Conduct below, the information required by this Item regarding directors and executive officers will be included in the 2024 Proxy Statement for the Company's 2024 Annual General Meeting of Shareholders (the </w:t>
      </w:r>
      <w:r>
        <w:rPr>
          <w:rFonts w:ascii="Times New Roman" w:cs="Times New Roman" w:eastAsia="Times New Roman" w:hAnsi="Times New Roman"/>
          <w:sz w:val="19"/>
          <w:szCs w:val="19"/>
          <w:color w:val="auto"/>
        </w:rPr>
        <w:t>“2024 Proxy Statement”)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filed pursuant to Regulation 14A within 120 days after the end of the fiscal year to which this report relates and which sections are </w:t>
      </w:r>
      <w:r>
        <w:rPr>
          <w:rFonts w:ascii="Times New Roman" w:cs="Times New Roman" w:eastAsia="Times New Roman" w:hAnsi="Times New Roman"/>
          <w:sz w:val="17"/>
          <w:szCs w:val="17"/>
          <w:color w:val="auto"/>
        </w:rPr>
        <w:t>incorporated herein by reference.</w:t>
      </w:r>
    </w:p>
    <w:p>
      <w:pPr>
        <w:spacing w:after="0" w:line="18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adopted a Code Ethical Business Conduct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our website at https://www.gtigrows.com/. We intend to satisfy the disclosure requirements under Item 5.05 of Form 8-K regarding amendments to, or waivers from, the Code of Conduct by posting such information on the “Investors – Leadership &amp; Governance” section of our website at https://www.gtigrows.com/. We are not including the information contained on our website as part of, or incorporating it by reference into, this report.</w:t>
      </w:r>
    </w:p>
    <w:p>
      <w:pPr>
        <w:spacing w:after="0" w:line="39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“Executive Compensation” in the 2024 Proxy Statement and which sections are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will be included in the 2024 Proxy Statement under the caption “Security Ownership of Certain Beneficial Owners and Management” and which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equity compensation plans will be included in the 2024 Proxy Statement under the caption “Security Based Compensation Arrangements” and which sections are incorporated herein by reference.</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DIRECTOR INDEPENDENCE</w:t>
      </w:r>
    </w:p>
    <w:p>
      <w:pPr>
        <w:spacing w:after="0" w:line="229"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included in the 2024 Proxy Statement under the caption “Certain Relationships, Related Party Transactions and Policy Regarding Related Party Transactions” and which sections are incorporated herein by reference.</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will be included in the 2024 Proxy Statement under the caption “Principal Audit Fees and Services” and which sections are incorporated herein by reference.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5" w:name="page66"/>
    <w:bookmarkEnd w:id="6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 .</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1020" w:hanging="567"/>
        <w:spacing w:after="0"/>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listed in the accompanying index (page F-1) to the financial statements are filed as part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7" w:lineRule="exact"/>
        <w:rPr>
          <w:sz w:val="20"/>
          <w:szCs w:val="20"/>
          <w:color w:val="auto"/>
        </w:rPr>
      </w:pPr>
    </w:p>
    <w:p>
      <w:pPr>
        <w:ind w:left="1040" w:hanging="600"/>
        <w:spacing w:after="0"/>
        <w:tabs>
          <w:tab w:leader="none" w:pos="10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index (page E-1) are filed as part of this Annual Report on Form 10-K.</w:t>
      </w:r>
    </w:p>
    <w:p>
      <w:pPr>
        <w:spacing w:after="0" w:line="220" w:lineRule="exact"/>
        <w:rPr>
          <w:sz w:val="20"/>
          <w:szCs w:val="20"/>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Schedules omitted</w:t>
      </w:r>
    </w:p>
    <w:p>
      <w:pPr>
        <w:spacing w:after="0" w:line="23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INDEX TO FINANCIAL STATEMENTS</w:t>
            </w:r>
          </w:p>
        </w:tc>
        <w:tc>
          <w:tcPr>
            <w:tcW w:w="560" w:type="dxa"/>
            <w:vAlign w:val="bottom"/>
          </w:tcPr>
          <w:p>
            <w:pPr>
              <w:spacing w:after="0"/>
              <w:rPr>
                <w:sz w:val="20"/>
                <w:szCs w:val="20"/>
                <w:color w:val="auto"/>
              </w:rPr>
            </w:pPr>
          </w:p>
        </w:tc>
      </w:tr>
      <w:tr>
        <w:trPr>
          <w:trHeight w:val="452"/>
        </w:trPr>
        <w:tc>
          <w:tcPr>
            <w:tcW w:w="10580" w:type="dxa"/>
            <w:vAlign w:val="bottom"/>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1"/>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F-1</w:t>
            </w:r>
          </w:p>
        </w:tc>
      </w:tr>
      <w:tr>
        <w:trPr>
          <w:trHeight w:val="229"/>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each of the three years in the period ended December 31, 2023</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r>
      <w:tr>
        <w:trPr>
          <w:trHeight w:val="229"/>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r>
      <w:tr>
        <w:trPr>
          <w:trHeight w:val="230"/>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2023</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F-5</w:t>
            </w:r>
          </w:p>
        </w:tc>
      </w:tr>
      <w:tr>
        <w:trPr>
          <w:trHeight w:val="229"/>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Public Accounting Firm (Baker Tilly PCAOB ID: 23)</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F-57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list of exhibits filed with this Annual Report on Form 10-K is included in the Exhibit Index on page E-1.</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2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88"/>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374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Amended and Restated Articles of Green Thumb Industries Inc.</w:t>
              </w:r>
            </w:hyperlink>
          </w:p>
        </w:tc>
        <w:tc>
          <w:tcPr>
            <w:tcW w:w="66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420" w:type="dxa"/>
            <w:vAlign w:val="bottom"/>
            <w:gridSpan w:val="22"/>
            <w:shd w:val="clear" w:color="auto" w:fill="CFF0FC"/>
          </w:tcPr>
          <w:p>
            <w:pPr>
              <w:spacing w:after="0" w:line="14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Coattail Agreement, dated June 12, 2018, by and among the Shareholders, Green Thumb Industries Inc. and Odyssey Trust Company.</w:t>
              </w:r>
            </w:hyperlink>
          </w:p>
        </w:tc>
        <w:tc>
          <w:tcPr>
            <w:tcW w:w="0" w:type="dxa"/>
            <w:vAlign w:val="bottom"/>
          </w:tcPr>
          <w:p>
            <w:pPr>
              <w:spacing w:after="0"/>
              <w:rPr>
                <w:sz w:val="1"/>
                <w:szCs w:val="1"/>
                <w:color w:val="auto"/>
              </w:rPr>
            </w:pPr>
          </w:p>
        </w:tc>
      </w:tr>
      <w:tr>
        <w:trPr>
          <w:trHeight w:val="148"/>
        </w:trPr>
        <w:tc>
          <w:tcPr>
            <w:tcW w:w="820" w:type="dxa"/>
            <w:vAlign w:val="bottom"/>
            <w:tcBorders>
              <w:top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7700" w:type="dxa"/>
            <w:vAlign w:val="bottom"/>
            <w:tcBorders>
              <w:top w:val="single" w:sz="8" w:color="0000FF"/>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Description of Securities</w:t>
            </w:r>
          </w:p>
        </w:tc>
        <w:tc>
          <w:tcPr>
            <w:tcW w:w="2720" w:type="dxa"/>
            <w:vAlign w:val="bottom"/>
            <w:tcBorders>
              <w:top w:val="single" w:sz="8" w:color="CFF0F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 w:type="dxa"/>
            <w:vAlign w:val="bottom"/>
            <w:vMerge w:val="continue"/>
          </w:tcPr>
          <w:p>
            <w:pPr>
              <w:spacing w:after="0"/>
              <w:rPr>
                <w:sz w:val="14"/>
                <w:szCs w:val="14"/>
                <w:color w:val="auto"/>
              </w:rPr>
            </w:pPr>
          </w:p>
        </w:tc>
        <w:tc>
          <w:tcPr>
            <w:tcW w:w="10420" w:type="dxa"/>
            <w:vAlign w:val="bottom"/>
            <w:gridSpan w:val="22"/>
          </w:tcPr>
          <w:p>
            <w:pPr>
              <w:spacing w:after="0" w:line="155"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Business Combination Agreement, dated June 12, 2018, by and among Bayswater Uranium Corporation, VCP23, LLC, GTI Finco Inc., 1165318 B.C. Ltd. and GTI23, Inc.</w:t>
              </w:r>
            </w:hyperlink>
          </w:p>
        </w:tc>
        <w:tc>
          <w:tcPr>
            <w:tcW w:w="0" w:type="dxa"/>
            <w:vAlign w:val="bottom"/>
          </w:tcPr>
          <w:p>
            <w:pPr>
              <w:spacing w:after="0"/>
              <w:rPr>
                <w:sz w:val="1"/>
                <w:szCs w:val="1"/>
                <w:color w:val="auto"/>
              </w:rPr>
            </w:pPr>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7720" w:type="dxa"/>
            <w:vAlign w:val="bottom"/>
            <w:tcBorders>
              <w:top w:val="single" w:sz="8" w:color="0000FF"/>
              <w:bottom w:val="single" w:sz="8" w:color="0000FF"/>
            </w:tcBorders>
            <w:gridSpan w:val="19"/>
            <w:shd w:val="clear" w:color="auto" w:fill="CFF0FC"/>
          </w:tcPr>
          <w:p>
            <w:pPr>
              <w:spacing w:after="0" w:line="14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Second Amendment to the Note Purchase Agreement, dated April 30, 2021, by and among the Issuers, the Purchasers and the Agents.</w:t>
              </w:r>
            </w:hyperlink>
          </w:p>
        </w:tc>
        <w:tc>
          <w:tcPr>
            <w:tcW w:w="2140" w:type="dxa"/>
            <w:vAlign w:val="bottom"/>
            <w:tcBorders>
              <w:top w:val="single" w:sz="8" w:color="0000FF"/>
              <w:bottom w:val="single" w:sz="8" w:color="CFF0FC"/>
            </w:tcBorders>
            <w:gridSpan w:val="2"/>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4720" w:type="dxa"/>
            <w:vAlign w:val="bottom"/>
            <w:tcBorders>
              <w:bottom w:val="single" w:sz="8" w:color="0000FF"/>
            </w:tcBorders>
            <w:gridSpan w:val="10"/>
          </w:tcPr>
          <w:p>
            <w:pPr>
              <w:spacing w:after="0" w:line="14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Green Thumb Industries Inc. 2018 Stock and Incentive Plan, dated June 11, 2018.</w:t>
              </w:r>
            </w:hyperlink>
          </w:p>
        </w:tc>
        <w:tc>
          <w:tcPr>
            <w:tcW w:w="57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420" w:type="dxa"/>
            <w:vAlign w:val="bottom"/>
            <w:gridSpan w:val="22"/>
            <w:shd w:val="clear" w:color="auto" w:fill="CFF0FC"/>
          </w:tcPr>
          <w:p>
            <w:pPr>
              <w:spacing w:after="0" w:line="14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Amendment No. 1 to the Green Thumb Industries Inc. 2018 Stock and Incentive Plan, dated August 30, 2019.</w:t>
              </w:r>
            </w:hyperlink>
          </w:p>
        </w:tc>
        <w:tc>
          <w:tcPr>
            <w:tcW w:w="0" w:type="dxa"/>
            <w:vAlign w:val="bottom"/>
          </w:tcPr>
          <w:p>
            <w:pPr>
              <w:spacing w:after="0"/>
              <w:rPr>
                <w:sz w:val="1"/>
                <w:szCs w:val="1"/>
                <w:color w:val="auto"/>
              </w:rPr>
            </w:pPr>
          </w:p>
        </w:tc>
      </w:tr>
      <w:tr>
        <w:trPr>
          <w:trHeight w:val="155"/>
        </w:trPr>
        <w:tc>
          <w:tcPr>
            <w:tcW w:w="820" w:type="dxa"/>
            <w:vAlign w:val="bottom"/>
            <w:tcBorders>
              <w:top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6320" w:type="dxa"/>
            <w:vAlign w:val="bottom"/>
            <w:tcBorders>
              <w:top w:val="single" w:sz="8" w:color="0000FF"/>
            </w:tcBorders>
            <w:gridSpan w:val="17"/>
          </w:tcPr>
          <w:p>
            <w:pPr>
              <w:spacing w:after="0" w:line="14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Amendment No. 2 to the Green Thumb Industries Inc. 2018 Stock and Incentive Plan, dated April 7, 2023.</w:t>
              </w:r>
            </w:hyperlink>
          </w:p>
        </w:tc>
        <w:tc>
          <w:tcPr>
            <w:tcW w:w="4100" w:type="dxa"/>
            <w:vAlign w:val="bottom"/>
            <w:tcBorders>
              <w:top w:val="single" w:sz="8" w:color="CFF0FC"/>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6140" w:type="dxa"/>
            <w:vAlign w:val="bottom"/>
            <w:tcBorders>
              <w:top w:val="single" w:sz="8" w:color="0000FF"/>
            </w:tcBorders>
            <w:gridSpan w:val="15"/>
            <w:shd w:val="clear" w:color="auto" w:fill="CFF0FC"/>
          </w:tcPr>
          <w:p>
            <w:pPr>
              <w:spacing w:after="0" w:line="14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Notice of Option Grant (awards granted prior to April 2023).</w:t>
              </w:r>
            </w:hyperlink>
          </w:p>
        </w:tc>
        <w:tc>
          <w:tcPr>
            <w:tcW w:w="4280" w:type="dxa"/>
            <w:vAlign w:val="bottom"/>
            <w:gridSpan w:val="7"/>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Borders>
              <w:top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4000" w:type="dxa"/>
            <w:vAlign w:val="bottom"/>
            <w:tcBorders>
              <w:top w:val="single" w:sz="8" w:color="0000FF"/>
            </w:tcBorders>
            <w:gridSpan w:val="6"/>
          </w:tcPr>
          <w:p>
            <w:pPr>
              <w:spacing w:after="0" w:line="14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Option Agreement (awards granted prior to April 2023).</w:t>
              </w:r>
            </w:hyperlink>
          </w:p>
        </w:tc>
        <w:tc>
          <w:tcPr>
            <w:tcW w:w="6420" w:type="dxa"/>
            <w:vAlign w:val="bottom"/>
            <w:tcBorders>
              <w:top w:val="single" w:sz="8" w:color="CFF0FC"/>
            </w:tcBorders>
            <w:gridSpan w:val="16"/>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4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420" w:type="dxa"/>
            <w:vAlign w:val="bottom"/>
            <w:gridSpan w:val="22"/>
            <w:shd w:val="clear" w:color="auto" w:fill="CFF0FC"/>
          </w:tcPr>
          <w:p>
            <w:pPr>
              <w:spacing w:after="0" w:line="14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Notice of RSU Grant and Agreement (awards granted prior to April 2023).</w:t>
              </w:r>
            </w:hyperlink>
          </w:p>
        </w:tc>
        <w:tc>
          <w:tcPr>
            <w:tcW w:w="0" w:type="dxa"/>
            <w:vAlign w:val="bottom"/>
          </w:tcPr>
          <w:p>
            <w:pPr>
              <w:spacing w:after="0"/>
              <w:rPr>
                <w:sz w:val="1"/>
                <w:szCs w:val="1"/>
                <w:color w:val="auto"/>
              </w:rPr>
            </w:pPr>
          </w:p>
        </w:tc>
      </w:tr>
      <w:tr>
        <w:trPr>
          <w:trHeight w:val="156"/>
        </w:trPr>
        <w:tc>
          <w:tcPr>
            <w:tcW w:w="820" w:type="dxa"/>
            <w:vAlign w:val="bottom"/>
            <w:tcBorders>
              <w:top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140" w:type="dxa"/>
            <w:vAlign w:val="bottom"/>
            <w:tcBorders>
              <w:top w:val="single" w:sz="8" w:color="0000FF"/>
              <w:bottom w:val="single" w:sz="8" w:color="0000FF"/>
            </w:tcBorders>
            <w:gridSpan w:val="3"/>
          </w:tcPr>
          <w:p>
            <w:pPr>
              <w:spacing w:after="0" w:line="14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Indemnification Agreement.</w:t>
              </w:r>
            </w:hyperlink>
          </w:p>
        </w:tc>
        <w:tc>
          <w:tcPr>
            <w:tcW w:w="2660" w:type="dxa"/>
            <w:vAlign w:val="bottom"/>
            <w:tcBorders>
              <w:top w:val="single" w:sz="8" w:color="0000FF"/>
            </w:tcBorders>
            <w:gridSpan w:val="8"/>
          </w:tcPr>
          <w:p>
            <w:pPr>
              <w:spacing w:after="0"/>
              <w:rPr>
                <w:sz w:val="13"/>
                <w:szCs w:val="13"/>
                <w:color w:val="auto"/>
              </w:rPr>
            </w:pPr>
          </w:p>
        </w:tc>
        <w:tc>
          <w:tcPr>
            <w:tcW w:w="5620" w:type="dxa"/>
            <w:vAlign w:val="bottom"/>
            <w:tcBorders>
              <w:top w:val="single" w:sz="8" w:color="CFF0FC"/>
            </w:tcBorders>
            <w:gridSpan w:val="11"/>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0420" w:type="dxa"/>
            <w:vAlign w:val="bottom"/>
            <w:gridSpan w:val="22"/>
            <w:shd w:val="clear" w:color="auto" w:fill="CFF0FC"/>
          </w:tcPr>
          <w:p>
            <w:pPr>
              <w:spacing w:after="0" w:line="14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Annual Bonus Plan</w:t>
              </w:r>
            </w:hyperlink>
          </w:p>
        </w:tc>
        <w:tc>
          <w:tcPr>
            <w:tcW w:w="0" w:type="dxa"/>
            <w:vAlign w:val="bottom"/>
          </w:tcPr>
          <w:p>
            <w:pPr>
              <w:spacing w:after="0"/>
              <w:rPr>
                <w:sz w:val="1"/>
                <w:szCs w:val="1"/>
                <w:color w:val="auto"/>
              </w:rPr>
            </w:pPr>
          </w:p>
        </w:tc>
      </w:tr>
      <w:tr>
        <w:trPr>
          <w:trHeight w:val="27"/>
        </w:trPr>
        <w:tc>
          <w:tcPr>
            <w:tcW w:w="820" w:type="dxa"/>
            <w:vAlign w:val="bottom"/>
            <w:shd w:val="clear" w:color="auto" w:fill="CFF0FC"/>
          </w:tcPr>
          <w:p>
            <w:pPr>
              <w:spacing w:after="0"/>
              <w:rPr>
                <w:sz w:val="2"/>
                <w:szCs w:val="2"/>
                <w:color w:val="auto"/>
              </w:rPr>
            </w:pPr>
          </w:p>
        </w:tc>
        <w:tc>
          <w:tcPr>
            <w:tcW w:w="14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8840" w:type="dxa"/>
            <w:vAlign w:val="bottom"/>
            <w:tcBorders>
              <w:bottom w:val="single" w:sz="8" w:color="0000FF"/>
            </w:tcBorders>
            <w:gridSpan w:val="20"/>
          </w:tcPr>
          <w:p>
            <w:pPr>
              <w:spacing w:after="0" w:line="14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Executive Confidentiality, Non-Compete, Non-Solicitation, Non-Disparagement and Invention Assignment Agreement (Kovler and Georgiadis).</w:t>
              </w:r>
            </w:hyperlink>
          </w:p>
        </w:tc>
        <w:tc>
          <w:tcPr>
            <w:tcW w:w="1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5520" w:type="dxa"/>
            <w:vAlign w:val="bottom"/>
            <w:tcBorders>
              <w:bottom w:val="single" w:sz="8" w:color="0000FF"/>
            </w:tcBorders>
            <w:gridSpan w:val="13"/>
            <w:shd w:val="clear" w:color="auto" w:fill="CFF0FC"/>
          </w:tcPr>
          <w:p>
            <w:pPr>
              <w:spacing w:after="0" w:line="14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Kravitz Confidentiality, Non-Compete, Non-Solicitation and Invention Assignment Agreement.</w:t>
              </w:r>
            </w:hyperlink>
          </w:p>
        </w:tc>
        <w:tc>
          <w:tcPr>
            <w:tcW w:w="4900" w:type="dxa"/>
            <w:vAlign w:val="bottom"/>
            <w:tcBorders>
              <w:bottom w:val="single" w:sz="8" w:color="CFF0FC"/>
            </w:tcBorders>
            <w:gridSpan w:val="9"/>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10420" w:type="dxa"/>
            <w:vAlign w:val="bottom"/>
            <w:gridSpan w:val="22"/>
          </w:tcPr>
          <w:p>
            <w:pPr>
              <w:spacing w:after="0" w:line="14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Faulkner Executive Confidentiality, Non-Compete, Non-Solicitation and Invention Assignment Agreement.</w:t>
              </w:r>
            </w:hyperlink>
          </w:p>
        </w:tc>
        <w:tc>
          <w:tcPr>
            <w:tcW w:w="0" w:type="dxa"/>
            <w:vAlign w:val="bottom"/>
          </w:tcPr>
          <w:p>
            <w:pPr>
              <w:spacing w:after="0"/>
              <w:rPr>
                <w:sz w:val="1"/>
                <w:szCs w:val="1"/>
                <w:color w:val="auto"/>
              </w:rPr>
            </w:pPr>
          </w:p>
        </w:tc>
      </w:tr>
      <w:tr>
        <w:trPr>
          <w:trHeight w:val="156"/>
        </w:trPr>
        <w:tc>
          <w:tcPr>
            <w:tcW w:w="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10.14@%</w:t>
            </w:r>
          </w:p>
        </w:tc>
        <w:tc>
          <w:tcPr>
            <w:tcW w:w="4700" w:type="dxa"/>
            <w:vAlign w:val="bottom"/>
            <w:tcBorders>
              <w:top w:val="single" w:sz="8" w:color="0000FF"/>
              <w:bottom w:val="single" w:sz="8" w:color="0000FF"/>
            </w:tcBorders>
            <w:gridSpan w:val="9"/>
          </w:tcPr>
          <w:p>
            <w:pPr>
              <w:spacing w:after="0" w:line="155"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2023 Form of Option Grant Agreement (awards granted beginning in April 2023)</w:t>
              </w:r>
            </w:hyperlink>
          </w:p>
        </w:tc>
        <w:tc>
          <w:tcPr>
            <w:tcW w:w="1500" w:type="dxa"/>
            <w:vAlign w:val="bottom"/>
            <w:tcBorders>
              <w:top w:val="single" w:sz="8" w:color="0000FF"/>
            </w:tcBorders>
            <w:gridSpan w:val="7"/>
          </w:tcPr>
          <w:p>
            <w:pPr>
              <w:spacing w:after="0"/>
              <w:rPr>
                <w:sz w:val="13"/>
                <w:szCs w:val="13"/>
                <w:color w:val="auto"/>
              </w:rPr>
            </w:pPr>
          </w:p>
        </w:tc>
        <w:tc>
          <w:tcPr>
            <w:tcW w:w="4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10.15@%</w:t>
            </w:r>
          </w:p>
        </w:tc>
        <w:tc>
          <w:tcPr>
            <w:tcW w:w="10420" w:type="dxa"/>
            <w:vAlign w:val="bottom"/>
            <w:gridSpan w:val="22"/>
          </w:tcPr>
          <w:p>
            <w:pPr>
              <w:spacing w:after="0" w:line="155"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2023 Form of RSU Agreement (awards granted beginning in April 2023)</w:t>
              </w:r>
            </w:hyperlink>
          </w:p>
        </w:tc>
        <w:tc>
          <w:tcPr>
            <w:tcW w:w="0" w:type="dxa"/>
            <w:vAlign w:val="bottom"/>
          </w:tcPr>
          <w:p>
            <w:pPr>
              <w:spacing w:after="0"/>
              <w:rPr>
                <w:sz w:val="1"/>
                <w:szCs w:val="1"/>
                <w:color w:val="auto"/>
              </w:rPr>
            </w:pPr>
          </w:p>
        </w:tc>
      </w:tr>
      <w:tr>
        <w:trPr>
          <w:trHeight w:val="163"/>
        </w:trPr>
        <w:tc>
          <w:tcPr>
            <w:tcW w:w="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21.1</w:t>
            </w:r>
          </w:p>
        </w:tc>
        <w:tc>
          <w:tcPr>
            <w:tcW w:w="3640" w:type="dxa"/>
            <w:vAlign w:val="bottom"/>
            <w:tcBorders>
              <w:top w:val="single" w:sz="8" w:color="0000FF"/>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4"/>
                <w:szCs w:val="14"/>
                <w:color w:val="0000FF"/>
              </w:rPr>
              <w:t>List of Significant Subsidiaries of Green Thumb Industries Inc.</w:t>
            </w:r>
          </w:p>
        </w:tc>
        <w:tc>
          <w:tcPr>
            <w:tcW w:w="560" w:type="dxa"/>
            <w:vAlign w:val="bottom"/>
            <w:tcBorders>
              <w:top w:val="single" w:sz="8" w:color="0000FF"/>
            </w:tcBorders>
            <w:gridSpan w:val="3"/>
          </w:tcPr>
          <w:p>
            <w:pPr>
              <w:spacing w:after="0"/>
              <w:rPr>
                <w:sz w:val="14"/>
                <w:szCs w:val="14"/>
                <w:color w:val="auto"/>
              </w:rPr>
            </w:pPr>
          </w:p>
        </w:tc>
        <w:tc>
          <w:tcPr>
            <w:tcW w:w="62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4280" w:type="dxa"/>
            <w:vAlign w:val="bottom"/>
            <w:tcBorders>
              <w:bottom w:val="single" w:sz="8" w:color="0000FF"/>
            </w:tcBorders>
            <w:gridSpan w:val="8"/>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 (Baker Tilly).</w:t>
            </w:r>
          </w:p>
        </w:tc>
        <w:tc>
          <w:tcPr>
            <w:tcW w:w="6140" w:type="dxa"/>
            <w:vAlign w:val="bottom"/>
            <w:tcBorders>
              <w:bottom w:val="single" w:sz="8" w:color="CFF0FC"/>
            </w:tcBorders>
            <w:gridSpan w:val="14"/>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042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required by Rule 13a-14(a) of the Exchange Act.</w:t>
            </w:r>
          </w:p>
        </w:tc>
        <w:tc>
          <w:tcPr>
            <w:tcW w:w="0" w:type="dxa"/>
            <w:vAlign w:val="bottom"/>
          </w:tcPr>
          <w:p>
            <w:pPr>
              <w:spacing w:after="0"/>
              <w:rPr>
                <w:sz w:val="1"/>
                <w:szCs w:val="1"/>
                <w:color w:val="auto"/>
              </w:rPr>
            </w:pPr>
          </w:p>
        </w:tc>
      </w:tr>
      <w:tr>
        <w:trPr>
          <w:trHeight w:val="148"/>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140" w:type="dxa"/>
            <w:vAlign w:val="bottom"/>
            <w:tcBorders>
              <w:top w:val="single" w:sz="8" w:color="0000FF"/>
              <w:right w:val="single" w:sz="8" w:color="CFF0FC"/>
            </w:tcBorders>
            <w:gridSpan w:val="1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required by Rule 13a-14(a) of the Exchange Act.</w:t>
            </w:r>
          </w:p>
        </w:tc>
        <w:tc>
          <w:tcPr>
            <w:tcW w:w="5280" w:type="dxa"/>
            <w:vAlign w:val="bottom"/>
            <w:gridSpan w:val="10"/>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CFF0FC"/>
          </w:tcPr>
          <w:p>
            <w:pPr>
              <w:spacing w:after="0"/>
              <w:rPr>
                <w:sz w:val="2"/>
                <w:szCs w:val="2"/>
                <w:color w:val="auto"/>
              </w:rPr>
            </w:pPr>
          </w:p>
        </w:tc>
        <w:tc>
          <w:tcPr>
            <w:tcW w:w="14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Borders>
              <w:right w:val="single" w:sz="8" w:color="CFF0FC"/>
            </w:tcBorders>
            <w:shd w:val="clear" w:color="auto" w:fill="0000FF"/>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042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Section 1350 of Chapter 63 of the United States Code.</w:t>
            </w:r>
          </w:p>
        </w:tc>
        <w:tc>
          <w:tcPr>
            <w:tcW w:w="0" w:type="dxa"/>
            <w:vAlign w:val="bottom"/>
          </w:tcPr>
          <w:p>
            <w:pPr>
              <w:spacing w:after="0"/>
              <w:rPr>
                <w:sz w:val="1"/>
                <w:szCs w:val="1"/>
                <w:color w:val="auto"/>
              </w:rPr>
            </w:pPr>
          </w:p>
        </w:tc>
      </w:tr>
      <w:tr>
        <w:trPr>
          <w:trHeight w:val="156"/>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6140" w:type="dxa"/>
            <w:vAlign w:val="bottom"/>
            <w:tcBorders>
              <w:top w:val="single" w:sz="8" w:color="0000FF"/>
            </w:tcBorders>
            <w:gridSpan w:val="15"/>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Section 1350 of Chapter 63 of the United States Code.</w:t>
            </w:r>
          </w:p>
        </w:tc>
        <w:tc>
          <w:tcPr>
            <w:tcW w:w="4280" w:type="dxa"/>
            <w:vAlign w:val="bottom"/>
            <w:gridSpan w:val="7"/>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61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4320" w:type="dxa"/>
            <w:vAlign w:val="bottom"/>
            <w:tcBorders>
              <w:top w:val="single" w:sz="8" w:color="CFF0FC"/>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0420" w:type="dxa"/>
            <w:vAlign w:val="bottom"/>
            <w:gridSpan w:val="22"/>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7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104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75"/>
        </w:trPr>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10420" w:type="dxa"/>
            <w:vAlign w:val="bottom"/>
            <w:gridSpan w:val="22"/>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7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104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75"/>
        </w:trPr>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10420" w:type="dxa"/>
            <w:vAlign w:val="bottom"/>
            <w:gridSpan w:val="22"/>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4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File)</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20" w:right="460" w:hanging="799"/>
        <w:spacing w:after="0" w:line="191" w:lineRule="auto"/>
        <w:tabs>
          <w:tab w:leader="none" w:pos="82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Certain confidential information has been excluded from this exhibit because it is both (i) not material and (ii) would be competitively harmful if publicly disclosed.</w:t>
      </w:r>
    </w:p>
    <w:p>
      <w:pPr>
        <w:ind w:left="820" w:hanging="799"/>
        <w:spacing w:after="0" w:line="185" w:lineRule="auto"/>
        <w:tabs>
          <w:tab w:leader="none" w:pos="82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our Current Report on Form 8-K dated April 30, 2021 filed on May 6, 2021.</w:t>
      </w:r>
    </w:p>
    <w:p>
      <w:pPr>
        <w:ind w:left="820" w:hanging="799"/>
        <w:spacing w:after="0" w:line="184" w:lineRule="auto"/>
        <w:tabs>
          <w:tab w:leader="none" w:pos="82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our registration statement on Form 10 filed on December 20, 2019.</w:t>
      </w:r>
    </w:p>
    <w:p>
      <w:pPr>
        <w:ind w:left="820" w:hanging="799"/>
        <w:spacing w:after="0" w:line="184" w:lineRule="auto"/>
        <w:tabs>
          <w:tab w:leader="none" w:pos="82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Exhibit 10.13 to our Annual Report on Form 10-K for the year ended December 31, 2021.</w:t>
      </w:r>
    </w:p>
    <w:p>
      <w:pPr>
        <w:ind w:left="820" w:hanging="799"/>
        <w:spacing w:after="0" w:line="184" w:lineRule="auto"/>
        <w:tabs>
          <w:tab w:leader="none" w:pos="82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Exhibits to our Annual Report for the year ended December 31, 2022.</w:t>
      </w:r>
    </w:p>
    <w:p>
      <w:pPr>
        <w:ind w:left="820" w:hanging="799"/>
        <w:spacing w:after="0" w:line="184" w:lineRule="auto"/>
        <w:tabs>
          <w:tab w:leader="none" w:pos="82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the applicable exhibits to our Quarterly Report for the period ended March, 31, 2023.</w:t>
      </w:r>
    </w:p>
    <w:p>
      <w:pPr>
        <w:ind w:left="820" w:hanging="799"/>
        <w:spacing w:after="0" w:line="185" w:lineRule="auto"/>
        <w:tabs>
          <w:tab w:leader="none" w:pos="82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This Exhibit is a management contract or compensatory arrangement.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27305</wp:posOffset>
            </wp:positionV>
            <wp:extent cx="282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44450</wp:posOffset>
            </wp:positionV>
            <wp:extent cx="28289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Signature</w:t>
            </w:r>
          </w:p>
        </w:tc>
        <w:tc>
          <w:tcPr>
            <w:tcW w:w="320" w:type="dxa"/>
            <w:vAlign w:val="bottom"/>
          </w:tcPr>
          <w:p>
            <w:pPr>
              <w:spacing w:after="0"/>
              <w:rPr>
                <w:sz w:val="21"/>
                <w:szCs w:val="21"/>
                <w:color w:val="auto"/>
              </w:rPr>
            </w:pPr>
          </w:p>
        </w:tc>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/s/Benjamin Kovler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/s/Mathew Faulkner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w:t>
            </w: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Mathew Faulkner</w:t>
            </w:r>
          </w:p>
        </w:tc>
        <w:tc>
          <w:tcPr>
            <w:tcW w:w="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/s/Anthony Georgiadis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/s/Wendy Berger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Wendy Berger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/s/Dawn Wilson Barnes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/s/Jeff Goldman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 Goldman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/s/Ethan Nadelmann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/s/Richard Reisin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/s/Hannah (Buchan) Ross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S-1</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2023 and December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5"/>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8200" w:type="dxa"/>
            <w:vAlign w:val="bottom"/>
            <w:shd w:val="clear" w:color="auto" w:fill="CFF0FC"/>
          </w:tcPr>
          <w:p>
            <w:pPr>
              <w:ind w:left="37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161,634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177,682</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30,975</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Receivable</w:t>
            </w:r>
          </w:p>
        </w:tc>
        <w:tc>
          <w:tcPr>
            <w:tcW w:w="1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7,473</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Inventories, Net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112,970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115,675</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19,801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13,364</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6,182</w:t>
            </w:r>
          </w:p>
        </w:tc>
        <w:tc>
          <w:tcPr>
            <w:tcW w:w="100" w:type="dxa"/>
            <w:vAlign w:val="bottom"/>
          </w:tcPr>
          <w:p>
            <w:pPr>
              <w:spacing w:after="0"/>
              <w:rPr>
                <w:sz w:val="16"/>
                <w:szCs w:val="16"/>
                <w:color w:val="auto"/>
              </w:rPr>
            </w:pPr>
          </w:p>
        </w:tc>
      </w:tr>
      <w:tr>
        <w:trPr>
          <w:trHeight w:val="183"/>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342,762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351,351</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687,106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557,873</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238,369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242,357</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64,361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74,169</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24,942</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25,508</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 Receivable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538,678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589,519</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100" w:type="dxa"/>
            <w:vAlign w:val="bottom"/>
          </w:tcPr>
          <w:p>
            <w:pPr>
              <w:spacing w:after="0"/>
              <w:rPr>
                <w:sz w:val="16"/>
                <w:szCs w:val="16"/>
                <w:color w:val="auto"/>
              </w:rPr>
            </w:pPr>
          </w:p>
        </w:tc>
      </w:tr>
      <w:tr>
        <w:trPr>
          <w:trHeight w:val="223"/>
        </w:trPr>
        <w:tc>
          <w:tcPr>
            <w:tcW w:w="820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2,490,057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2,433,528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8200" w:type="dxa"/>
            <w:vAlign w:val="bottom"/>
          </w:tcPr>
          <w:p>
            <w:pPr>
              <w:ind w:left="236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24,495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18,423</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59,552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86,971</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16,005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13,476</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12,297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10,906</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100" w:type="dxa"/>
            <w:vAlign w:val="bottom"/>
          </w:tcPr>
          <w:p>
            <w:pPr>
              <w:spacing w:after="0"/>
              <w:rPr>
                <w:sz w:val="16"/>
                <w:szCs w:val="16"/>
                <w:color w:val="auto"/>
              </w:rPr>
            </w:pPr>
          </w:p>
        </w:tc>
      </w:tr>
      <w:tr>
        <w:trPr>
          <w:trHeight w:val="189"/>
        </w:trPr>
        <w:tc>
          <w:tcPr>
            <w:tcW w:w="8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10,705</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2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146,571</w:t>
            </w:r>
          </w:p>
        </w:tc>
        <w:tc>
          <w:tcPr>
            <w:tcW w:w="100" w:type="dxa"/>
            <w:vAlign w:val="bottom"/>
          </w:tcPr>
          <w:p>
            <w:pPr>
              <w:spacing w:after="0"/>
              <w:rPr>
                <w:sz w:val="15"/>
                <w:szCs w:val="15"/>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249,464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249,281</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305,527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274,631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33,250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30,543</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Warrant Liability</w:t>
            </w:r>
          </w:p>
        </w:tc>
        <w:tc>
          <w:tcPr>
            <w:tcW w:w="1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4,520</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72,510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62,550</w:t>
            </w:r>
          </w:p>
        </w:tc>
        <w:tc>
          <w:tcPr>
            <w:tcW w:w="100" w:type="dxa"/>
            <w:vAlign w:val="bottom"/>
          </w:tcPr>
          <w:p>
            <w:pPr>
              <w:spacing w:after="0"/>
              <w:rPr>
                <w:sz w:val="16"/>
                <w:szCs w:val="16"/>
                <w:color w:val="auto"/>
              </w:rPr>
            </w:pPr>
          </w:p>
        </w:tc>
      </w:tr>
      <w:tr>
        <w:trPr>
          <w:trHeight w:val="183"/>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786,801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768,096</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58"/>
        </w:trPr>
        <w:tc>
          <w:tcPr>
            <w:tcW w:w="8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December 31, 2023:</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209,871,792, and 209,871,792, respectively, at December 31, 2022:</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206,991,275, and 206,991,275, respectively)</w:t>
            </w:r>
          </w:p>
        </w:tc>
        <w:tc>
          <w:tcPr>
            <w:tcW w:w="1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2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December 31, 2023:</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38,531 and 38,531, respectively, at December 31, 2022:</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1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December 31, 2023:</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2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216,690 and 216,690, respectively, at December 31, 2022:</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251,690 and 251,690, respectively)</w:t>
            </w:r>
          </w:p>
        </w:tc>
        <w:tc>
          <w:tcPr>
            <w:tcW w:w="1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1,703,852</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1,663,557</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Contributed Surplus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23,233</w:t>
            </w:r>
          </w:p>
        </w:tc>
        <w:tc>
          <w:tcPr>
            <w:tcW w:w="100" w:type="dxa"/>
            <w:vAlign w:val="bottom"/>
          </w:tcPr>
          <w:p>
            <w:pPr>
              <w:spacing w:after="0"/>
              <w:rPr>
                <w:sz w:val="16"/>
                <w:szCs w:val="16"/>
                <w:color w:val="auto"/>
              </w:rPr>
            </w:pPr>
          </w:p>
        </w:tc>
      </w:tr>
      <w:tr>
        <w:trPr>
          <w:trHeight w:val="189"/>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12,973</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36,211</w:t>
            </w:r>
          </w:p>
        </w:tc>
        <w:tc>
          <w:tcPr>
            <w:tcW w:w="100" w:type="dxa"/>
            <w:vAlign w:val="bottom"/>
            <w:shd w:val="clear" w:color="auto" w:fill="CFF0FC"/>
          </w:tcPr>
          <w:p>
            <w:pPr>
              <w:spacing w:after="0"/>
              <w:rPr>
                <w:sz w:val="16"/>
                <w:szCs w:val="16"/>
                <w:color w:val="auto"/>
              </w:rPr>
            </w:pPr>
          </w:p>
        </w:tc>
      </w:tr>
      <w:tr>
        <w:trPr>
          <w:trHeight w:val="189"/>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(21,818 )</w:t>
            </w:r>
          </w:p>
        </w:tc>
        <w:tc>
          <w:tcPr>
            <w:tcW w:w="18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(58,085 )</w:t>
            </w:r>
          </w:p>
        </w:tc>
      </w:tr>
      <w:tr>
        <w:trPr>
          <w:trHeight w:val="183"/>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1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1,702,878</w:t>
            </w: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1,664,916</w:t>
            </w:r>
          </w:p>
        </w:tc>
        <w:tc>
          <w:tcPr>
            <w:tcW w:w="100" w:type="dxa"/>
            <w:vAlign w:val="bottom"/>
            <w:shd w:val="clear" w:color="auto" w:fill="CFF0FC"/>
          </w:tcPr>
          <w:p>
            <w:pPr>
              <w:spacing w:after="0"/>
              <w:rPr>
                <w:sz w:val="15"/>
                <w:szCs w:val="15"/>
                <w:color w:val="auto"/>
              </w:rPr>
            </w:pPr>
          </w:p>
        </w:tc>
      </w:tr>
      <w:tr>
        <w:trPr>
          <w:trHeight w:val="189"/>
        </w:trPr>
        <w:tc>
          <w:tcPr>
            <w:tcW w:w="82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100" w:type="dxa"/>
            <w:vAlign w:val="bottom"/>
          </w:tcPr>
          <w:p>
            <w:pPr>
              <w:spacing w:after="0"/>
              <w:rPr>
                <w:sz w:val="16"/>
                <w:szCs w:val="16"/>
                <w:color w:val="auto"/>
              </w:rPr>
            </w:pPr>
          </w:p>
        </w:tc>
      </w:tr>
      <w:tr>
        <w:trPr>
          <w:trHeight w:val="183"/>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1,703,256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1,665,432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20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8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2,490,057</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2,433,528</w:t>
            </w:r>
          </w:p>
        </w:tc>
        <w:tc>
          <w:tcPr>
            <w:tcW w:w="100" w:type="dxa"/>
            <w:vAlign w:val="bottom"/>
          </w:tcPr>
          <w:p>
            <w:pPr>
              <w:spacing w:after="0"/>
              <w:rPr>
                <w:sz w:val="15"/>
                <w:szCs w:val="15"/>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-4431030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-4413885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-3205480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1"/>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37"/>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1,054,553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1,017,375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893,560</w:t>
            </w:r>
          </w:p>
        </w:tc>
        <w:tc>
          <w:tcPr>
            <w:tcW w:w="160" w:type="dxa"/>
            <w:vAlign w:val="bottom"/>
            <w:shd w:val="clear" w:color="auto" w:fill="CFF0FC"/>
          </w:tcPr>
          <w:p>
            <w:pPr>
              <w:spacing w:after="0"/>
              <w:rPr>
                <w:sz w:val="20"/>
                <w:szCs w:val="20"/>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(528,058)</w:t>
            </w:r>
          </w:p>
        </w:tc>
        <w:tc>
          <w:tcPr>
            <w:tcW w:w="20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(513,412)</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(401,631)</w:t>
            </w:r>
          </w:p>
        </w:tc>
        <w:tc>
          <w:tcPr>
            <w:tcW w:w="160" w:type="dxa"/>
            <w:vAlign w:val="bottom"/>
          </w:tcPr>
          <w:p>
            <w:pPr>
              <w:spacing w:after="0"/>
              <w:rPr>
                <w:sz w:val="21"/>
                <w:szCs w:val="21"/>
                <w:color w:val="auto"/>
              </w:rPr>
            </w:pP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526,495</w:t>
            </w:r>
          </w:p>
        </w:tc>
        <w:tc>
          <w:tcPr>
            <w:tcW w:w="2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503,963</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491,929</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5"/>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341,863</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294,396</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277,087</w:t>
            </w:r>
          </w:p>
        </w:tc>
        <w:tc>
          <w:tcPr>
            <w:tcW w:w="160" w:type="dxa"/>
            <w:vAlign w:val="bottom"/>
            <w:shd w:val="clear" w:color="auto" w:fill="CFF0FC"/>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88,503</w:t>
            </w:r>
          </w:p>
        </w:tc>
        <w:tc>
          <w:tcPr>
            <w:tcW w:w="22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341,863</w:t>
            </w:r>
          </w:p>
        </w:tc>
        <w:tc>
          <w:tcPr>
            <w:tcW w:w="2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382,899</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277,087</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184,632</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121,064</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214,842</w:t>
            </w:r>
          </w:p>
        </w:tc>
        <w:tc>
          <w:tcPr>
            <w:tcW w:w="160" w:type="dxa"/>
            <w:vAlign w:val="bottom"/>
          </w:tcPr>
          <w:p>
            <w:pPr>
              <w:spacing w:after="0"/>
              <w:rPr>
                <w:sz w:val="20"/>
                <w:szCs w:val="20"/>
                <w:color w:val="auto"/>
              </w:rPr>
            </w:pPr>
          </w:p>
        </w:tc>
      </w:tr>
      <w:tr>
        <w:trPr>
          <w:trHeight w:val="23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r>
      <w:tr>
        <w:trPr>
          <w:trHeight w:val="23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6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shd w:val="clear" w:color="auto" w:fill="CFF0FC"/>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20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160" w:type="dxa"/>
            <w:vAlign w:val="bottom"/>
          </w:tcPr>
          <w:p>
            <w:pPr>
              <w:spacing w:after="0"/>
              <w:rPr>
                <w:sz w:val="21"/>
                <w:szCs w:val="21"/>
                <w:color w:val="auto"/>
              </w:rPr>
            </w:pPr>
          </w:p>
        </w:tc>
      </w:tr>
      <w:tr>
        <w:trPr>
          <w:trHeight w:val="237"/>
        </w:trPr>
        <w:tc>
          <w:tcPr>
            <w:tcW w:w="5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0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201"/>
        </w:trPr>
        <w:tc>
          <w:tcPr>
            <w:tcW w:w="50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156,049</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204,975</w:t>
            </w:r>
          </w:p>
        </w:tc>
        <w:tc>
          <w:tcPr>
            <w:tcW w:w="160" w:type="dxa"/>
            <w:vAlign w:val="bottom"/>
          </w:tcPr>
          <w:p>
            <w:pPr>
              <w:spacing w:after="0"/>
              <w:rPr>
                <w:sz w:val="21"/>
                <w:szCs w:val="21"/>
                <w:color w:val="auto"/>
              </w:rPr>
            </w:pPr>
          </w:p>
        </w:tc>
      </w:tr>
      <w:tr>
        <w:trPr>
          <w:trHeight w:val="25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2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118,630</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94,777</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124,612</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80,363</w:t>
            </w:r>
          </w:p>
        </w:tc>
        <w:tc>
          <w:tcPr>
            <w:tcW w:w="160" w:type="dxa"/>
            <w:vAlign w:val="bottom"/>
          </w:tcPr>
          <w:p>
            <w:pPr>
              <w:spacing w:after="0"/>
              <w:rPr>
                <w:sz w:val="20"/>
                <w:szCs w:val="20"/>
                <w:color w:val="auto"/>
              </w:rPr>
            </w:pPr>
          </w:p>
        </w:tc>
      </w:tr>
      <w:tr>
        <w:trPr>
          <w:trHeight w:val="245"/>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2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75,436</w:t>
            </w:r>
          </w:p>
        </w:tc>
        <w:tc>
          <w:tcPr>
            <w:tcW w:w="1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Borders>
              <w:bottom w:val="single" w:sz="8" w:color="CFF0FC"/>
            </w:tcBorders>
            <w:shd w:val="clear" w:color="auto" w:fill="CFF0FC"/>
          </w:tcPr>
          <w:p>
            <w:pPr>
              <w:spacing w:after="0"/>
              <w:rPr>
                <w:sz w:val="22"/>
                <w:szCs w:val="22"/>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20" w:type="dxa"/>
            <w:vAlign w:val="bottom"/>
            <w:tcBorders>
              <w:bottom w:val="single" w:sz="8" w:color="CFF0FC"/>
            </w:tcBorders>
            <w:shd w:val="clear" w:color="auto" w:fill="CFF0FC"/>
          </w:tcPr>
          <w:p>
            <w:pPr>
              <w:spacing w:after="0"/>
              <w:rPr>
                <w:sz w:val="22"/>
                <w:szCs w:val="22"/>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237,927,867</w:t>
            </w:r>
          </w:p>
        </w:tc>
        <w:tc>
          <w:tcPr>
            <w:tcW w:w="200" w:type="dxa"/>
            <w:vAlign w:val="bottom"/>
            <w:tcBorders>
              <w:bottom w:val="single" w:sz="8" w:color="CFF0FC"/>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236,713,056</w:t>
            </w:r>
          </w:p>
        </w:tc>
        <w:tc>
          <w:tcPr>
            <w:tcW w:w="2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223,192,326</w:t>
            </w:r>
          </w:p>
        </w:tc>
        <w:tc>
          <w:tcPr>
            <w:tcW w:w="160" w:type="dxa"/>
            <w:vAlign w:val="bottom"/>
            <w:tcBorders>
              <w:bottom w:val="single" w:sz="8" w:color="CFF0FC"/>
            </w:tcBorders>
            <w:shd w:val="clear" w:color="auto" w:fill="CFF0FC"/>
          </w:tcPr>
          <w:p>
            <w:pPr>
              <w:spacing w:after="0"/>
              <w:rPr>
                <w:sz w:val="22"/>
                <w:szCs w:val="22"/>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2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239,827,390</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238,080,030</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226,758,882</w:t>
            </w:r>
          </w:p>
        </w:tc>
        <w:tc>
          <w:tcPr>
            <w:tcW w:w="1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-3265170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-3265170</wp:posOffset>
            </wp:positionV>
            <wp:extent cx="128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-3265170</wp:posOffset>
            </wp:positionV>
            <wp:extent cx="11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-2630805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-2630805</wp:posOffset>
            </wp:positionV>
            <wp:extent cx="128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-2630805</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-1679575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-1679575</wp:posOffset>
            </wp:positionV>
            <wp:extent cx="128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-1679575</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-1224915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-1224915</wp:posOffset>
            </wp:positionV>
            <wp:extent cx="1289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-1224915</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-908050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-908050</wp:posOffset>
            </wp:positionV>
            <wp:extent cx="128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-908050</wp:posOffset>
            </wp:positionV>
            <wp:extent cx="1111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-565150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-548005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-565150</wp:posOffset>
            </wp:positionV>
            <wp:extent cx="1289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-548005</wp:posOffset>
            </wp:positionV>
            <wp:extent cx="128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-565150</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-548005</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-205105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-205105</wp:posOffset>
            </wp:positionV>
            <wp:extent cx="1289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128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-205105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8"/>
                <w:szCs w:val="8"/>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8"/>
                <w:szCs w:val="8"/>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60" w:type="dxa"/>
            <w:vAlign w:val="bottom"/>
          </w:tcPr>
          <w:p>
            <w:pPr>
              <w:spacing w:after="0"/>
              <w:rPr>
                <w:sz w:val="8"/>
                <w:szCs w:val="8"/>
                <w:color w:val="auto"/>
              </w:rPr>
            </w:pP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vMerge w:val="restart"/>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1,048,640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(145,499 )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for redemption of</w:t>
            </w: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40" w:type="dxa"/>
            <w:vAlign w:val="bottom"/>
          </w:tcPr>
          <w:p>
            <w:pPr>
              <w:spacing w:after="0"/>
              <w:rPr>
                <w:sz w:val="17"/>
                <w:szCs w:val="17"/>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(4,996 )</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60" w:type="dxa"/>
            <w:vAlign w:val="bottom"/>
          </w:tcPr>
          <w:p>
            <w:pPr>
              <w:spacing w:after="0"/>
              <w:rPr>
                <w:sz w:val="17"/>
                <w:szCs w:val="17"/>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1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343,281</w:t>
            </w:r>
          </w:p>
        </w:tc>
        <w:tc>
          <w:tcPr>
            <w:tcW w:w="2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and investments</w:t>
            </w:r>
          </w:p>
        </w:tc>
        <w:tc>
          <w:tcPr>
            <w:tcW w:w="18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2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(3,890 )</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registered shares pursuant to</w:t>
            </w:r>
          </w:p>
        </w:tc>
        <w:tc>
          <w:tcPr>
            <w:tcW w:w="1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155,803</w:t>
            </w:r>
          </w:p>
        </w:tc>
        <w:tc>
          <w:tcPr>
            <w:tcW w:w="2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(305 )</w:t>
            </w:r>
          </w:p>
        </w:tc>
        <w:tc>
          <w:tcPr>
            <w:tcW w:w="16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2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Form S-1</w:t>
            </w:r>
          </w:p>
        </w:tc>
        <w:tc>
          <w:tcPr>
            <w:tcW w:w="18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60" w:type="dxa"/>
            <w:vAlign w:val="bottom"/>
            <w:gridSpan w:val="2"/>
            <w:vMerge w:val="continue"/>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80" w:type="dxa"/>
            <w:vAlign w:val="bottom"/>
            <w:gridSpan w:val="2"/>
            <w:vMerge w:val="continue"/>
            <w:shd w:val="clear" w:color="auto" w:fill="CFF0FC"/>
          </w:tcPr>
          <w:p>
            <w:pPr>
              <w:spacing w:after="0"/>
              <w:rPr>
                <w:sz w:val="8"/>
                <w:szCs w:val="8"/>
                <w:color w:val="auto"/>
              </w:rPr>
            </w:pPr>
          </w:p>
        </w:tc>
        <w:tc>
          <w:tcPr>
            <w:tcW w:w="104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20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ind w:left="20" w:right="760"/>
        <w:spacing w:after="0" w:line="299" w:lineRule="auto"/>
        <w:rPr>
          <w:sz w:val="20"/>
          <w:szCs w:val="20"/>
          <w:color w:val="auto"/>
        </w:rPr>
      </w:pPr>
      <w:r>
        <w:rPr>
          <w:rFonts w:ascii="Times New Roman" w:cs="Times New Roman" w:eastAsia="Times New Roman" w:hAnsi="Times New Roman"/>
          <w:sz w:val="16"/>
          <w:szCs w:val="16"/>
          <w:color w:val="auto"/>
        </w:rPr>
        <w:t>Exercise of options, RSUs and warrants Stock-based compensation</w:t>
      </w:r>
    </w:p>
    <w:p>
      <w:pPr>
        <w:ind w:left="20" w:right="340"/>
        <w:spacing w:after="0" w:line="281" w:lineRule="auto"/>
        <w:rPr>
          <w:sz w:val="20"/>
          <w:szCs w:val="20"/>
          <w:color w:val="auto"/>
        </w:rPr>
      </w:pPr>
      <w:r>
        <w:rPr>
          <w:rFonts w:ascii="Times New Roman" w:cs="Times New Roman" w:eastAsia="Times New Roman" w:hAnsi="Times New Roman"/>
          <w:sz w:val="16"/>
          <w:szCs w:val="16"/>
          <w:color w:val="auto"/>
        </w:rPr>
        <w:t>Warrants and shares issued in association with note payable</w:t>
      </w:r>
    </w:p>
    <w:p>
      <w:pPr>
        <w:spacing w:after="0" w:line="1" w:lineRule="exact"/>
        <w:rPr>
          <w:sz w:val="20"/>
          <w:szCs w:val="20"/>
          <w:color w:val="auto"/>
        </w:rPr>
      </w:pPr>
    </w:p>
    <w:p>
      <w:pPr>
        <w:ind w:left="20" w:right="760"/>
        <w:spacing w:after="0" w:line="281" w:lineRule="auto"/>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1" w:lineRule="exact"/>
        <w:rPr>
          <w:sz w:val="20"/>
          <w:szCs w:val="20"/>
          <w:color w:val="auto"/>
        </w:rPr>
      </w:pPr>
    </w:p>
    <w:p>
      <w:pPr>
        <w:ind w:left="20" w:right="360"/>
        <w:spacing w:after="0" w:line="282"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5"/>
              </w:rPr>
              <w:t>46,758</w:t>
            </w:r>
          </w:p>
        </w:tc>
        <w:tc>
          <w:tcPr>
            <w:tcW w:w="15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(32,498 )</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w:t>
            </w:r>
          </w:p>
        </w:tc>
      </w:tr>
      <w:tr>
        <w:trPr>
          <w:trHeight w:val="229"/>
        </w:trPr>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19,600</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w:t>
            </w:r>
          </w:p>
        </w:tc>
      </w:tr>
      <w:tr>
        <w:trPr>
          <w:trHeight w:val="324"/>
        </w:trPr>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271</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24,875</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25,146</w:t>
            </w:r>
          </w:p>
        </w:tc>
      </w:tr>
      <w:tr>
        <w:trPr>
          <w:trHeight w:val="432"/>
        </w:trPr>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7,135</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r>
      <w:tr>
        <w:trPr>
          <w:trHeight w:val="432"/>
        </w:trPr>
        <w:tc>
          <w:tcPr>
            <w:tcW w:w="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(11,028 )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-887095</wp:posOffset>
            </wp:positionV>
            <wp:extent cx="71323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-467360</wp:posOffset>
            </wp:positionV>
            <wp:extent cx="7132320" cy="274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3360" w:space="720"/>
            <w:col w:w="71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75,436</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(70,063 )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(1,638 )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10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-179070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-179070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-179070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ind w:left="20"/>
        <w:spacing w:after="0"/>
        <w:tabs>
          <w:tab w:leader="none" w:pos="3260" w:val="left"/>
        </w:tabs>
        <w:rPr>
          <w:sz w:val="20"/>
          <w:szCs w:val="20"/>
          <w:color w:val="auto"/>
        </w:rPr>
      </w:pPr>
      <w:r>
        <w:rPr>
          <w:rFonts w:ascii="Times New Roman" w:cs="Times New Roman" w:eastAsia="Times New Roman" w:hAnsi="Times New Roman"/>
          <w:sz w:val="16"/>
          <w:szCs w:val="16"/>
          <w:b w:val="1"/>
          <w:bCs w:val="1"/>
          <w:color w:val="auto"/>
        </w:rPr>
        <w:t>Balance, January 1, 2022</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20" w:right="120"/>
        <w:spacing w:after="0" w:line="281" w:lineRule="auto"/>
        <w:rPr>
          <w:sz w:val="20"/>
          <w:szCs w:val="20"/>
          <w:color w:val="auto"/>
        </w:rPr>
      </w:pPr>
      <w:r>
        <w:rPr>
          <w:rFonts w:ascii="Times New Roman" w:cs="Times New Roman" w:eastAsia="Times New Roman" w:hAnsi="Times New Roman"/>
          <w:sz w:val="16"/>
          <w:szCs w:val="16"/>
          <w:color w:val="auto"/>
        </w:rPr>
        <w:t>Noncontrolling interests adjustment for change in ownership</w:t>
      </w:r>
    </w:p>
    <w:p>
      <w:pPr>
        <w:spacing w:after="0" w:line="1" w:lineRule="exact"/>
        <w:rPr>
          <w:sz w:val="20"/>
          <w:szCs w:val="20"/>
          <w:color w:val="auto"/>
        </w:rPr>
      </w:pPr>
    </w:p>
    <w:p>
      <w:pPr>
        <w:ind w:left="20" w:right="240"/>
        <w:spacing w:after="0" w:line="281"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1,633,672</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21,245</w:t>
            </w:r>
          </w:p>
        </w:tc>
        <w:tc>
          <w:tcPr>
            <w:tcW w:w="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(70,063 ) $</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(1,638 )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1,619,478</w:t>
            </w:r>
          </w:p>
        </w:tc>
      </w:tr>
      <w:tr>
        <w:trPr>
          <w:trHeight w:val="324"/>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(17,735 )</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15,356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2"/>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46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-193040</wp:posOffset>
            </wp:positionV>
            <wp:extent cx="7132320"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360" w:space="500"/>
            <w:col w:w="73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as contingent consideration</w:t>
            </w:r>
          </w:p>
        </w:tc>
        <w:tc>
          <w:tcPr>
            <w:tcW w:w="16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13,111</w:t>
            </w:r>
          </w:p>
        </w:tc>
        <w:tc>
          <w:tcPr>
            <w:tcW w:w="1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13,111</w:t>
            </w:r>
          </w:p>
        </w:tc>
        <w:tc>
          <w:tcPr>
            <w:tcW w:w="0" w:type="dxa"/>
            <w:vAlign w:val="bottom"/>
          </w:tcPr>
          <w:p>
            <w:pPr>
              <w:spacing w:after="0"/>
              <w:rPr>
                <w:sz w:val="1"/>
                <w:szCs w:val="1"/>
                <w:color w:val="auto"/>
              </w:rPr>
            </w:pPr>
          </w:p>
        </w:tc>
      </w:tr>
      <w:tr>
        <w:trPr>
          <w:trHeight w:val="212"/>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Indemnification of deferred shares associated</w:t>
            </w:r>
          </w:p>
        </w:tc>
        <w:tc>
          <w:tcPr>
            <w:tcW w:w="1600" w:type="dxa"/>
            <w:vAlign w:val="bottom"/>
            <w:vMerge w:val="restart"/>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(51 )</w:t>
            </w:r>
          </w:p>
        </w:tc>
        <w:tc>
          <w:tcPr>
            <w:tcW w:w="124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102"/>
        </w:trPr>
        <w:tc>
          <w:tcPr>
            <w:tcW w:w="35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 post acquisition costs</w:t>
            </w:r>
          </w:p>
        </w:tc>
        <w:tc>
          <w:tcPr>
            <w:tcW w:w="1600" w:type="dxa"/>
            <w:vAlign w:val="bottom"/>
            <w:vMerge w:val="continue"/>
            <w:shd w:val="clear" w:color="auto" w:fill="CFF0FC"/>
          </w:tcPr>
          <w:p>
            <w:pPr>
              <w:spacing w:after="0"/>
              <w:rPr>
                <w:sz w:val="8"/>
                <w:szCs w:val="8"/>
                <w:color w:val="auto"/>
              </w:rPr>
            </w:pPr>
          </w:p>
        </w:tc>
        <w:tc>
          <w:tcPr>
            <w:tcW w:w="1320" w:type="dxa"/>
            <w:vAlign w:val="bottom"/>
            <w:vMerge w:val="continue"/>
            <w:shd w:val="clear" w:color="auto" w:fill="CFF0FC"/>
          </w:tcPr>
          <w:p>
            <w:pPr>
              <w:spacing w:after="0"/>
              <w:rPr>
                <w:sz w:val="8"/>
                <w:szCs w:val="8"/>
                <w:color w:val="auto"/>
              </w:rPr>
            </w:pPr>
          </w:p>
        </w:tc>
        <w:tc>
          <w:tcPr>
            <w:tcW w:w="1380" w:type="dxa"/>
            <w:vAlign w:val="bottom"/>
            <w:vMerge w:val="continue"/>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100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520" w:type="dxa"/>
            <w:vAlign w:val="bottom"/>
            <w:vMerge w:val="continue"/>
            <w:shd w:val="clear" w:color="auto" w:fill="CFF0FC"/>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type w:val="continuous"/>
        </w:sectPr>
      </w:pPr>
    </w:p>
    <w:p>
      <w:pPr>
        <w:ind w:left="20" w:right="760"/>
        <w:spacing w:after="0" w:line="299" w:lineRule="auto"/>
        <w:rPr>
          <w:sz w:val="20"/>
          <w:szCs w:val="20"/>
          <w:color w:val="auto"/>
        </w:rPr>
      </w:pPr>
      <w:r>
        <w:rPr>
          <w:rFonts w:ascii="Times New Roman" w:cs="Times New Roman" w:eastAsia="Times New Roman" w:hAnsi="Times New Roman"/>
          <w:sz w:val="16"/>
          <w:szCs w:val="16"/>
          <w:color w:val="auto"/>
        </w:rPr>
        <w:t>Exercise of options, RSUs and warrants Stock-based compensation</w:t>
      </w:r>
    </w:p>
    <w:p>
      <w:pPr>
        <w:ind w:left="20" w:right="760"/>
        <w:spacing w:after="0" w:line="281" w:lineRule="auto"/>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1" w:lineRule="exact"/>
        <w:rPr>
          <w:sz w:val="20"/>
          <w:szCs w:val="20"/>
          <w:color w:val="auto"/>
        </w:rPr>
      </w:pPr>
    </w:p>
    <w:p>
      <w:pPr>
        <w:ind w:left="20" w:right="360"/>
        <w:spacing w:after="0" w:line="281"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5"/>
              </w:rPr>
              <w:t>11,215</w:t>
            </w:r>
          </w:p>
        </w:tc>
        <w:tc>
          <w:tcPr>
            <w:tcW w:w="15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(7,393 )</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r>
      <w:tr>
        <w:trPr>
          <w:trHeight w:val="229"/>
        </w:trPr>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27,140</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27,140</w:t>
            </w:r>
          </w:p>
        </w:tc>
      </w:tr>
      <w:tr>
        <w:trPr>
          <w:trHeight w:val="324"/>
        </w:trPr>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1,774</w:t>
            </w:r>
          </w:p>
        </w:tc>
        <w:tc>
          <w:tcPr>
            <w:tcW w:w="15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(24 )</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432"/>
        </w:trPr>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(14,879 )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-612775</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-192405</wp:posOffset>
            </wp:positionV>
            <wp:extent cx="7132320" cy="274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360" w:space="720"/>
            <w:col w:w="71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13,655</w:t>
            </w:r>
          </w:p>
        </w:tc>
        <w:tc>
          <w:tcPr>
            <w:tcW w:w="100" w:type="dxa"/>
            <w:vAlign w:val="bottom"/>
          </w:tcPr>
          <w:p>
            <w:pPr>
              <w:spacing w:after="0"/>
              <w:rPr>
                <w:sz w:val="19"/>
                <w:szCs w:val="19"/>
                <w:color w:val="auto"/>
              </w:rPr>
            </w:pPr>
          </w:p>
        </w:tc>
      </w:tr>
      <w:tr>
        <w:trPr>
          <w:trHeight w:val="26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(58,085 )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00" w:type="dxa"/>
            <w:vAlign w:val="bottom"/>
            <w:shd w:val="clear" w:color="auto" w:fill="CFF0FC"/>
          </w:tcPr>
          <w:p>
            <w:pPr>
              <w:spacing w:after="0"/>
              <w:rPr>
                <w:sz w:val="23"/>
                <w:szCs w:val="23"/>
                <w:color w:val="auto"/>
              </w:rPr>
            </w:pPr>
          </w:p>
        </w:tc>
      </w:tr>
      <w:tr>
        <w:trPr>
          <w:trHeight w:val="92"/>
        </w:trPr>
        <w:tc>
          <w:tcPr>
            <w:tcW w:w="2620" w:type="dxa"/>
            <w:vAlign w:val="bottom"/>
            <w:tcBorders>
              <w:top w:val="single" w:sz="8" w:color="CFF0FC"/>
              <w:bottom w:val="single" w:sz="8" w:color="auto"/>
            </w:tcBorders>
          </w:tcPr>
          <w:p>
            <w:pPr>
              <w:spacing w:after="0"/>
              <w:rPr>
                <w:sz w:val="7"/>
                <w:szCs w:val="7"/>
                <w:color w:val="auto"/>
              </w:rPr>
            </w:pPr>
          </w:p>
        </w:tc>
        <w:tc>
          <w:tcPr>
            <w:tcW w:w="760" w:type="dxa"/>
            <w:vAlign w:val="bottom"/>
            <w:tcBorders>
              <w:top w:val="single" w:sz="8" w:color="CFF0FC"/>
              <w:bottom w:val="single" w:sz="8" w:color="auto"/>
            </w:tcBorders>
          </w:tcPr>
          <w:p>
            <w:pPr>
              <w:spacing w:after="0"/>
              <w:rPr>
                <w:sz w:val="7"/>
                <w:szCs w:val="7"/>
                <w:color w:val="auto"/>
              </w:rPr>
            </w:pPr>
          </w:p>
        </w:tc>
        <w:tc>
          <w:tcPr>
            <w:tcW w:w="116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CFF0FC"/>
              <w:bottom w:val="single" w:sz="8" w:color="auto"/>
            </w:tcBorders>
          </w:tcPr>
          <w:p>
            <w:pPr>
              <w:spacing w:after="0"/>
              <w:rPr>
                <w:sz w:val="7"/>
                <w:szCs w:val="7"/>
                <w:color w:val="auto"/>
              </w:rPr>
            </w:pPr>
          </w:p>
        </w:tc>
        <w:tc>
          <w:tcPr>
            <w:tcW w:w="112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CFF0FC"/>
              <w:bottom w:val="single" w:sz="8" w:color="auto"/>
            </w:tcBorders>
          </w:tcPr>
          <w:p>
            <w:pPr>
              <w:spacing w:after="0"/>
              <w:rPr>
                <w:sz w:val="7"/>
                <w:szCs w:val="7"/>
                <w:color w:val="auto"/>
              </w:rPr>
            </w:pPr>
          </w:p>
        </w:tc>
        <w:tc>
          <w:tcPr>
            <w:tcW w:w="106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CFF0FC"/>
              <w:bottom w:val="single" w:sz="8" w:color="auto"/>
            </w:tcBorders>
          </w:tcPr>
          <w:p>
            <w:pPr>
              <w:spacing w:after="0"/>
              <w:rPr>
                <w:sz w:val="7"/>
                <w:szCs w:val="7"/>
                <w:color w:val="auto"/>
              </w:rPr>
            </w:pPr>
          </w:p>
        </w:tc>
        <w:tc>
          <w:tcPr>
            <w:tcW w:w="104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CFF0FC"/>
              <w:bottom w:val="single" w:sz="8" w:color="auto"/>
            </w:tcBorders>
          </w:tcPr>
          <w:p>
            <w:pPr>
              <w:spacing w:after="0"/>
              <w:rPr>
                <w:sz w:val="7"/>
                <w:szCs w:val="7"/>
                <w:color w:val="auto"/>
              </w:rPr>
            </w:pPr>
          </w:p>
        </w:tc>
        <w:tc>
          <w:tcPr>
            <w:tcW w:w="104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CFF0FC"/>
              <w:bottom w:val="single" w:sz="8" w:color="auto"/>
            </w:tcBorders>
          </w:tcPr>
          <w:p>
            <w:pPr>
              <w:spacing w:after="0"/>
              <w:rPr>
                <w:sz w:val="7"/>
                <w:szCs w:val="7"/>
                <w:color w:val="auto"/>
              </w:rPr>
            </w:pPr>
          </w:p>
        </w:tc>
        <w:tc>
          <w:tcPr>
            <w:tcW w:w="10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CFF0FC"/>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-102235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-85090</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-102235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-85090</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-102235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-85090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-102235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-85090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-102235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-85090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26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260" w:type="dxa"/>
            <w:vAlign w:val="bottom"/>
          </w:tcPr>
          <w:p>
            <w:pPr>
              <w:spacing w:after="0"/>
              <w:rPr>
                <w:sz w:val="8"/>
                <w:szCs w:val="8"/>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8"/>
                <w:szCs w:val="8"/>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60" w:type="dxa"/>
            <w:vAlign w:val="bottom"/>
          </w:tcPr>
          <w:p>
            <w:pPr>
              <w:spacing w:after="0"/>
              <w:rPr>
                <w:sz w:val="8"/>
                <w:szCs w:val="8"/>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60" w:type="dxa"/>
            <w:vAlign w:val="bottom"/>
          </w:tcPr>
          <w:p>
            <w:pPr>
              <w:spacing w:after="0"/>
              <w:rPr>
                <w:sz w:val="9"/>
                <w:szCs w:val="9"/>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vMerge w:val="restart"/>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(58,085 )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deferred shares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(20,454 )</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 of contingent consideration</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Indemnification of deferred shares associated</w:t>
            </w:r>
          </w:p>
        </w:tc>
        <w:tc>
          <w:tcPr>
            <w:tcW w:w="2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(2,784 )</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(2,784 )</w:t>
            </w:r>
          </w:p>
        </w:tc>
        <w:tc>
          <w:tcPr>
            <w:tcW w:w="0" w:type="dxa"/>
            <w:vAlign w:val="bottom"/>
          </w:tcPr>
          <w:p>
            <w:pPr>
              <w:spacing w:after="0"/>
              <w:rPr>
                <w:sz w:val="1"/>
                <w:szCs w:val="1"/>
                <w:color w:val="auto"/>
              </w:rPr>
            </w:pPr>
          </w:p>
        </w:tc>
      </w:tr>
      <w:tr>
        <w:trPr>
          <w:trHeight w:val="10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with post acquisition costs</w:t>
            </w:r>
          </w:p>
        </w:tc>
        <w:tc>
          <w:tcPr>
            <w:tcW w:w="2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981"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Exercise of options and RSUs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20" w:right="440"/>
        <w:spacing w:after="0" w:line="281"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4"/>
              </w:rPr>
              <w:t>7,317</w:t>
            </w:r>
          </w:p>
        </w:tc>
        <w:tc>
          <w:tcPr>
            <w:tcW w:w="15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(3,695 )</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r>
      <w:tr>
        <w:trPr>
          <w:trHeight w:val="230"/>
        </w:trPr>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28,189</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r>
      <w:tr>
        <w:trPr>
          <w:trHeight w:val="324"/>
        </w:trPr>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(1,290 )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-484505</wp:posOffset>
            </wp:positionV>
            <wp:extent cx="71323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-193040</wp:posOffset>
            </wp:positionV>
            <wp:extent cx="7132320"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440" w:space="720"/>
            <w:col w:w="70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(39,856 )</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(39,856 )</w:t>
            </w:r>
          </w:p>
        </w:tc>
      </w:tr>
      <w:tr>
        <w:trPr>
          <w:trHeight w:val="233"/>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1,703,852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(21,818 )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1,703,256</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
        </w:trPr>
        <w:tc>
          <w:tcPr>
            <w:tcW w:w="3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-256540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-256540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-256540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-256540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-256540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2" w:name="page73"/>
    <w:bookmarkEnd w:id="72"/>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0"/>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r>
      <w:tr>
        <w:trPr>
          <w:trHeight w:val="223"/>
        </w:trPr>
        <w:tc>
          <w:tcPr>
            <w:tcW w:w="7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75,436</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100,790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96,664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68,458</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34,124</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(1,283 )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88,503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long-lived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(earnings) on equity method investments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(1,799 )</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from lease modification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(3,330 )</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(17,477 )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(4,763 )</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Decrease (increase) in fair value of investments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(6,377 )</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fair value of contingent consideration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(29,012 )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(8,273 )</w:t>
            </w: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Decrease in fair value of warrants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(1,403 )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(20,357 )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(14,577 )</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indemnification of deferred shares associated with post acquisition costs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(2,784 )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(51 )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(12,000 )</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(8,841 )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(158 )</w:t>
            </w: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(19,791 )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(16,439 )</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(5,603 )</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(3,222 )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(4,863 )</w:t>
            </w: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(419 )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(749 )</w:t>
            </w: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(9,525 )</w:t>
            </w:r>
          </w:p>
        </w:tc>
      </w:tr>
      <w:tr>
        <w:trPr>
          <w:trHeight w:val="23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(42,721 )</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(38,258 )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(28,597 )</w:t>
            </w:r>
          </w:p>
        </w:tc>
      </w:tr>
      <w:tr>
        <w:trPr>
          <w:trHeight w:val="233"/>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 receivable and payable, net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(5,244 )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(14,615 )</w:t>
            </w:r>
          </w:p>
        </w:tc>
      </w:tr>
      <w:tr>
        <w:trPr>
          <w:trHeight w:val="223"/>
        </w:trPr>
        <w:tc>
          <w:tcPr>
            <w:tcW w:w="70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224,968</w:t>
            </w: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158,564</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132,048</w:t>
            </w:r>
          </w:p>
        </w:tc>
        <w:tc>
          <w:tcPr>
            <w:tcW w:w="100" w:type="dxa"/>
            <w:vAlign w:val="bottom"/>
            <w:tcBorders>
              <w:top w:val="single" w:sz="8" w:color="CFF0FC"/>
            </w:tcBorders>
          </w:tcPr>
          <w:p>
            <w:pPr>
              <w:spacing w:after="0"/>
              <w:rPr>
                <w:sz w:val="19"/>
                <w:szCs w:val="19"/>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(220,035 )</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(179,500 )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(187,850 )</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 in securities and associates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(8,800 )</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(5,804 )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(79,050 )</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equity investments and notes receivable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18,417</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of acquisition consideration payable</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(31,732 )</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businesses, net of cash acquired</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(7,350 )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(32,356 )</w:t>
            </w:r>
          </w:p>
        </w:tc>
      </w:tr>
      <w:tr>
        <w:trPr>
          <w:trHeight w:val="23"/>
        </w:trPr>
        <w:tc>
          <w:tcPr>
            <w:tcW w:w="70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(227,908 )</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(219,946 )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(280,730 )</w:t>
            </w: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limited liability company unit holders</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Distributions to limited liability company unit holders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(1,290 )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(14,879 )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(11,028 )</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unconsolidated subsidiaries</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proceeds from issuance of registered shares pursuant to Form S-1</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(39,856 )</w:t>
            </w: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options and RSUs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208,700</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repayment of notes payable</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(25,485 )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(950 )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(70,507 )</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Prepayment penalty and other costs associated with refinancing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(3,254 )</w:t>
            </w:r>
          </w:p>
        </w:tc>
      </w:tr>
      <w:tr>
        <w:trPr>
          <w:trHeight w:val="23"/>
        </w:trPr>
        <w:tc>
          <w:tcPr>
            <w:tcW w:w="7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(13,108 )</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8,644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295,344</w:t>
            </w:r>
          </w:p>
        </w:tc>
        <w:tc>
          <w:tcPr>
            <w:tcW w:w="100" w:type="dxa"/>
            <w:vAlign w:val="bottom"/>
            <w:shd w:val="clear" w:color="auto" w:fill="CFF0FC"/>
          </w:tcPr>
          <w:p>
            <w:pPr>
              <w:spacing w:after="0"/>
              <w:rPr>
                <w:sz w:val="19"/>
                <w:szCs w:val="19"/>
                <w:color w:val="auto"/>
              </w:rPr>
            </w:pPr>
          </w:p>
        </w:tc>
      </w:tr>
      <w:tr>
        <w:trPr>
          <w:trHeight w:val="221"/>
        </w:trPr>
        <w:tc>
          <w:tcPr>
            <w:tcW w:w="7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(16,048 )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(52,738 )</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146,662</w:t>
            </w:r>
          </w:p>
        </w:tc>
        <w:tc>
          <w:tcPr>
            <w:tcW w:w="100" w:type="dxa"/>
            <w:vAlign w:val="bottom"/>
            <w:shd w:val="clear" w:color="auto" w:fill="CFF0FC"/>
          </w:tcPr>
          <w:p>
            <w:pPr>
              <w:spacing w:after="0"/>
              <w:rPr>
                <w:sz w:val="20"/>
                <w:szCs w:val="20"/>
                <w:color w:val="auto"/>
              </w:rPr>
            </w:pPr>
          </w:p>
        </w:tc>
      </w:tr>
      <w:tr>
        <w:trPr>
          <w:trHeight w:val="223"/>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177,682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83,758</w:t>
            </w:r>
          </w:p>
        </w:tc>
        <w:tc>
          <w:tcPr>
            <w:tcW w:w="100" w:type="dxa"/>
            <w:vAlign w:val="bottom"/>
          </w:tcPr>
          <w:p>
            <w:pPr>
              <w:spacing w:after="0"/>
              <w:rPr>
                <w:sz w:val="19"/>
                <w:szCs w:val="19"/>
                <w:color w:val="auto"/>
              </w:rPr>
            </w:pPr>
          </w:p>
        </w:tc>
      </w:tr>
      <w:tr>
        <w:trPr>
          <w:trHeight w:val="248"/>
        </w:trPr>
        <w:tc>
          <w:tcPr>
            <w:tcW w:w="7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161,634</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177,682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230,420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
        </w:trPr>
        <w:tc>
          <w:tcPr>
            <w:tcW w:w="702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-3590925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-3590925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-2407920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-2407920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-633730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-633730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-33655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-16510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-33655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-16510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623" w:gutter="0" w:footer="0" w:header="0"/>
        </w:sectPr>
      </w:pPr>
    </w:p>
    <w:bookmarkStart w:id="73" w:name="page74"/>
    <w:bookmarkEnd w:id="73"/>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23"/>
        </w:trPr>
        <w:tc>
          <w:tcPr>
            <w:tcW w:w="7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3"/>
        </w:trPr>
        <w:tc>
          <w:tcPr>
            <w:tcW w:w="7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15,311</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(30,966 )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22,096</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increase in right of use asset</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(7,174 )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(74,996 )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(27,035 )</w:t>
            </w:r>
          </w:p>
        </w:tc>
      </w:tr>
      <w:tr>
        <w:trPr>
          <w:trHeight w:val="210"/>
        </w:trPr>
        <w:tc>
          <w:tcPr>
            <w:tcW w:w="7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Noncash increase in lease liability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74,996</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27,035</w:t>
            </w:r>
          </w:p>
        </w:tc>
        <w:tc>
          <w:tcPr>
            <w:tcW w:w="100" w:type="dxa"/>
            <w:vAlign w:val="bottom"/>
            <w:tcBorders>
              <w:top w:val="single" w:sz="8" w:color="CFF0FC"/>
            </w:tcBorders>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issuance associated with note payable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associated with operating properties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6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for purchase of noncontrolling interest</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100" w:type="dxa"/>
            <w:vAlign w:val="bottom"/>
            <w:shd w:val="clear" w:color="auto" w:fill="CFF0FC"/>
          </w:tcPr>
          <w:p>
            <w:pPr>
              <w:spacing w:after="0"/>
              <w:rPr>
                <w:sz w:val="21"/>
                <w:szCs w:val="21"/>
                <w:color w:val="auto"/>
              </w:rPr>
            </w:pPr>
          </w:p>
        </w:tc>
      </w:tr>
      <w:tr>
        <w:trPr>
          <w:trHeight w:val="210"/>
        </w:trPr>
        <w:tc>
          <w:tcPr>
            <w:tcW w:w="7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Issuance of shares associated with contingent consideration</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100" w:type="dxa"/>
            <w:vAlign w:val="bottom"/>
            <w:tcBorders>
              <w:top w:val="single" w:sz="8" w:color="CFF0FC"/>
            </w:tcBorders>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share issuances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share distributions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(20,454 )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(3,890 )</w:t>
            </w: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343,303</w:t>
            </w:r>
          </w:p>
        </w:tc>
        <w:tc>
          <w:tcPr>
            <w:tcW w:w="100" w:type="dxa"/>
            <w:vAlign w:val="bottom"/>
            <w:shd w:val="clear" w:color="auto" w:fill="CFF0FC"/>
          </w:tcPr>
          <w:p>
            <w:pPr>
              <w:spacing w:after="0"/>
              <w:rPr>
                <w:sz w:val="21"/>
                <w:szCs w:val="21"/>
                <w:color w:val="auto"/>
              </w:rPr>
            </w:pPr>
          </w:p>
        </w:tc>
      </w:tr>
      <w:tr>
        <w:trPr>
          <w:trHeight w:val="201"/>
        </w:trPr>
        <w:tc>
          <w:tcPr>
            <w:tcW w:w="7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ACQUISITIONS AND DISPOSITIONS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8"/>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30,789</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314,457</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250,152</w:t>
            </w:r>
          </w:p>
        </w:tc>
        <w:tc>
          <w:tcPr>
            <w:tcW w:w="100" w:type="dxa"/>
            <w:vAlign w:val="bottom"/>
            <w:shd w:val="clear" w:color="auto" w:fill="CFF0FC"/>
          </w:tcPr>
          <w:p>
            <w:pPr>
              <w:spacing w:after="0"/>
              <w:rPr>
                <w:sz w:val="20"/>
                <w:szCs w:val="20"/>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9"/>
                <w:szCs w:val="19"/>
                <w:color w:val="auto"/>
              </w:rPr>
            </w:pP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(1,222 )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(13,692 )</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(743 )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(19,003 )</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Notes Payable</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(5,627 )</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Contingent liabilities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(200 )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(98,500 )</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interests issued</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(3,785 )</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(374,244 )</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 value of previously held equity interest</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(11,336 )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consideration payable</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(32,092 )</w:t>
            </w:r>
          </w:p>
        </w:tc>
      </w:tr>
      <w:tr>
        <w:trPr>
          <w:trHeight w:val="239"/>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consideration receivable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(51,051 )</w:t>
            </w:r>
          </w:p>
        </w:tc>
      </w:tr>
      <w:tr>
        <w:trPr>
          <w:trHeight w:val="23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Settlement of noncontrolling interests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(15,356 )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7,350</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32,356</w:t>
            </w:r>
          </w:p>
        </w:tc>
        <w:tc>
          <w:tcPr>
            <w:tcW w:w="100" w:type="dxa"/>
            <w:vAlign w:val="bottom"/>
            <w:tcBorders>
              <w:top w:val="single" w:sz="8" w:color="CFF0FC"/>
            </w:tcBorders>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SUPPLEMENTAL INFORMATION</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Decrease in fair value of investments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22,606</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(6,377 )</w:t>
            </w:r>
          </w:p>
        </w:tc>
      </w:tr>
      <w:tr>
        <w:trPr>
          <w:trHeight w:val="23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Increase in fair value of equity method investments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(10,955 )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DECREASE IN FAIR VALUE OF INVESTMENTS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17,460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11,651</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(6,377 )</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-5116830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-5099685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-5116830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-5099685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-5116830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-5099685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-4773930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-4757420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-4773930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-4757420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-4757420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-4431030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-4414520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-4431030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-4414520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-4414520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-4088130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-4071620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-4088130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-4071620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-4071620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-3745230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-3728720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-3745230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-3728720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-3728720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-805180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-805180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stores. The Company also owns and operates retail cannabis stores that include a national chain named RISE, which sell our products and third-party products. As of December 31, 2023, Green Thumb has revenue in fourteen markets (California, Connecticut, Florida, Illinois, Maryland, Massachusetts, Minnesota, Nevada, New Jersey, New York, Ohio, Pennsylvania, Rhode Island and Virginia), employs approximately 4,600 people and serves millions of patients and customers annually.</w:t>
      </w:r>
    </w:p>
    <w:p>
      <w:pPr>
        <w:spacing w:after="0" w:line="195"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 headquarters is at 325 W. Huron St., Suite 700, Chicago, IL 60654.</w:t>
      </w:r>
    </w:p>
    <w:p>
      <w:pPr>
        <w:spacing w:after="0" w:line="194"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Statement of Compliance</w:t>
      </w:r>
    </w:p>
    <w:p>
      <w:pPr>
        <w:spacing w:after="0" w:line="256"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2022 and 2021 (the “Consolidated Financial Statements”), have been prepared in accordance with accounting principles generally accepted in the United States of America (“GAAP”).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previously reported amounts have been reclassified between line items to conform to the current period presentation.</w:t>
      </w:r>
    </w:p>
    <w:p>
      <w:pPr>
        <w:spacing w:after="0" w:line="113"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56"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5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56"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as determined by management, is the United States (“US”) dollar. These consolidated financial statements are presented in U.S. dollars.</w:t>
      </w:r>
    </w:p>
    <w:p>
      <w:pPr>
        <w:spacing w:after="0" w:line="50"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520" w:right="3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176" w:lineRule="exact"/>
        <w:rPr>
          <w:sz w:val="20"/>
          <w:szCs w:val="20"/>
          <w:color w:val="auto"/>
        </w:rPr>
      </w:pPr>
    </w:p>
    <w:p>
      <w:pPr>
        <w:ind w:left="520" w:right="100"/>
        <w:spacing w:after="0" w:line="289" w:lineRule="auto"/>
        <w:rPr>
          <w:sz w:val="20"/>
          <w:szCs w:val="20"/>
          <w:color w:val="auto"/>
        </w:rPr>
      </w:pPr>
      <w:r>
        <w:rPr>
          <w:rFonts w:ascii="Times New Roman" w:cs="Times New Roman" w:eastAsia="Times New Roman" w:hAnsi="Times New Roman"/>
          <w:sz w:val="17"/>
          <w:szCs w:val="17"/>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58"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The following are the Company’s wholly owned subsidiaries that are included in these consolidated financial statements as of and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620" w:type="dxa"/>
            <w:vAlign w:val="bottom"/>
            <w:tcBorders>
              <w:bottom w:val="single" w:sz="8" w:color="auto"/>
            </w:tcBorders>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700" w:type="dxa"/>
            <w:vAlign w:val="bottom"/>
          </w:tcPr>
          <w:p>
            <w:pPr>
              <w:spacing w:after="0"/>
              <w:rPr>
                <w:sz w:val="21"/>
                <w:szCs w:val="21"/>
                <w:color w:val="auto"/>
              </w:rPr>
            </w:pPr>
          </w:p>
        </w:tc>
        <w:tc>
          <w:tcPr>
            <w:tcW w:w="26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GTI23, Inc.</w:t>
            </w:r>
          </w:p>
        </w:tc>
        <w:tc>
          <w:tcPr>
            <w:tcW w:w="462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VCP23, LLC</w:t>
            </w:r>
          </w:p>
        </w:tc>
        <w:tc>
          <w:tcPr>
            <w:tcW w:w="46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r>
      <w:tr>
        <w:trPr>
          <w:trHeight w:val="24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Core, LLC</w:t>
            </w:r>
          </w:p>
        </w:tc>
        <w:tc>
          <w:tcPr>
            <w:tcW w:w="462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r>
      <w:tr>
        <w:trPr>
          <w:trHeight w:val="648"/>
        </w:trPr>
        <w:tc>
          <w:tcPr>
            <w:tcW w:w="3320" w:type="dxa"/>
            <w:vAlign w:val="bottom"/>
          </w:tcPr>
          <w:p>
            <w:pPr>
              <w:spacing w:after="0"/>
              <w:rPr>
                <w:sz w:val="24"/>
                <w:szCs w:val="24"/>
                <w:color w:val="auto"/>
              </w:rPr>
            </w:pPr>
          </w:p>
        </w:tc>
        <w:tc>
          <w:tcPr>
            <w:tcW w:w="4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F-7</w:t>
            </w:r>
          </w:p>
        </w:tc>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736"/>
        </w:trPr>
        <w:tc>
          <w:tcPr>
            <w:tcW w:w="33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960" w:hanging="443"/>
        <w:spacing w:after="0"/>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The following are VCP23, LLC’s and GTI Core, LLC’s wholly owned subsidiaries and entities over which the Company has control, that are included in these consolidated financial statements for the years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540" w:type="dxa"/>
            <w:vAlign w:val="bottom"/>
          </w:tcPr>
          <w:p>
            <w:pPr>
              <w:spacing w:after="0"/>
              <w:rPr>
                <w:sz w:val="21"/>
                <w:szCs w:val="21"/>
                <w:color w:val="auto"/>
              </w:rPr>
            </w:pPr>
          </w:p>
        </w:tc>
        <w:tc>
          <w:tcPr>
            <w:tcW w:w="1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Pr>
          <w:p>
            <w:pPr>
              <w:spacing w:after="0"/>
              <w:rPr>
                <w:sz w:val="21"/>
                <w:szCs w:val="21"/>
                <w:color w:val="auto"/>
              </w:rPr>
            </w:pPr>
          </w:p>
        </w:tc>
        <w:tc>
          <w:tcPr>
            <w:tcW w:w="26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JB17,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GTI-Clinic Illinois Holdings,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ILDISP,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 Holdings, Inc.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Compassion Inc.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Maryland,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Investors 2017,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Ohio,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Nevada,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Pennsylvania,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Florida,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KSGNF,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New Jersey,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KW Ventures Holdings,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Chesapeake Alternatives,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Meshow,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 Health and Wellness Center, Inc.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Grow Labs,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Bluepoint Wellness of Westport,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Bluepoint Apothecary,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CT Wellness and Healing</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Dharma Pharmaceuticals,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Summit Medical Compassion Center, Inc.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LeafLine Industries,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 Brands,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Success Holding Company</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IP Holdings,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Vision Management Services,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TWD18, LLC</w:t>
            </w:r>
          </w:p>
        </w:tc>
        <w:tc>
          <w:tcPr>
            <w:tcW w:w="2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company</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VCP Real Estate Holdings, LLC</w:t>
            </w:r>
          </w:p>
        </w:tc>
        <w:tc>
          <w:tcPr>
            <w:tcW w:w="2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holding company</w:t>
            </w:r>
          </w:p>
        </w:tc>
      </w:tr>
      <w:tr>
        <w:trPr>
          <w:trHeight w:val="648"/>
        </w:trPr>
        <w:tc>
          <w:tcPr>
            <w:tcW w:w="3860" w:type="dxa"/>
            <w:vAlign w:val="bottom"/>
          </w:tcPr>
          <w:p>
            <w:pPr>
              <w:spacing w:after="0"/>
              <w:rPr>
                <w:sz w:val="24"/>
                <w:szCs w:val="24"/>
                <w:color w:val="auto"/>
              </w:rPr>
            </w:pPr>
          </w:p>
        </w:tc>
        <w:tc>
          <w:tcPr>
            <w:tcW w:w="27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F-8</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49"/>
        </w:trPr>
        <w:tc>
          <w:tcPr>
            <w:tcW w:w="38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Associates</w:t>
      </w:r>
    </w:p>
    <w:p>
      <w:pPr>
        <w:spacing w:after="0" w:line="229" w:lineRule="exact"/>
        <w:rPr>
          <w:sz w:val="20"/>
          <w:szCs w:val="20"/>
          <w:color w:val="auto"/>
        </w:rPr>
      </w:pPr>
    </w:p>
    <w:p>
      <w:pPr>
        <w:ind w:left="520" w:right="340"/>
        <w:spacing w:after="0" w:line="266" w:lineRule="auto"/>
        <w:rPr>
          <w:sz w:val="20"/>
          <w:szCs w:val="20"/>
          <w:color w:val="auto"/>
        </w:rPr>
      </w:pPr>
      <w:r>
        <w:rPr>
          <w:rFonts w:ascii="Times New Roman" w:cs="Times New Roman" w:eastAsia="Times New Roman" w:hAnsi="Times New Roman"/>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spacing w:after="0" w:line="176"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28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29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26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jc w:val="both"/>
        <w:ind w:left="520" w:right="80"/>
        <w:spacing w:after="0" w:line="272" w:lineRule="auto"/>
        <w:rPr>
          <w:sz w:val="20"/>
          <w:szCs w:val="20"/>
          <w:color w:val="auto"/>
        </w:rPr>
      </w:pPr>
      <w:r>
        <w:rPr>
          <w:rFonts w:ascii="Times New Roman" w:cs="Times New Roman" w:eastAsia="Times New Roman" w:hAnsi="Times New Roman"/>
          <w:sz w:val="17"/>
          <w:szCs w:val="17"/>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2023 and 2022 the Company recorded approximately $1,658 thousand and $928 thousand, respectively, in allowance for doubtful accounts.</w:t>
      </w:r>
    </w:p>
    <w:p>
      <w:pPr>
        <w:spacing w:after="0" w:line="2" w:lineRule="exact"/>
        <w:rPr>
          <w:sz w:val="20"/>
          <w:szCs w:val="20"/>
          <w:color w:val="auto"/>
        </w:rPr>
      </w:pPr>
    </w:p>
    <w:p>
      <w:pPr>
        <w:ind w:left="520" w:right="26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bad debt expense of $729 thousand, $423 thousand and $488 thousand, respectively.</w:t>
      </w:r>
    </w:p>
    <w:p>
      <w:pPr>
        <w:spacing w:after="0" w:line="28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Inventories of purchased finished goods and packing materials are initially valued at cost and subsequently at the lower of cost and net realizable value.</w:t>
      </w:r>
    </w:p>
    <w:p>
      <w:pPr>
        <w:spacing w:after="0" w:line="162"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162"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194" w:lineRule="exact"/>
        <w:rPr>
          <w:sz w:val="20"/>
          <w:szCs w:val="20"/>
          <w:color w:val="auto"/>
        </w:rPr>
      </w:pPr>
    </w:p>
    <w:tbl>
      <w:tblPr>
        <w:tblLayout w:type="fixed"/>
        <w:tblInd w:w="2160" w:type="dxa"/>
        <w:tblCellMar>
          <w:top w:w="0" w:type="dxa"/>
          <w:left w:w="0" w:type="dxa"/>
          <w:bottom w:w="0" w:type="dxa"/>
          <w:right w:w="0" w:type="dxa"/>
        </w:tblCellMar>
      </w:tblPr>
      <w:tr>
        <w:trPr>
          <w:trHeight w:val="243"/>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306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Not Depreciated</w:t>
            </w:r>
          </w:p>
        </w:tc>
      </w:tr>
      <w:tr>
        <w:trPr>
          <w:trHeight w:val="23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 Improvements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30 Years</w:t>
            </w:r>
          </w:p>
        </w:tc>
      </w:tr>
      <w:tr>
        <w:trPr>
          <w:trHeight w:val="247"/>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6"/>
              </w:rPr>
              <w:t>39 Years</w:t>
            </w:r>
          </w:p>
        </w:tc>
      </w:tr>
      <w:tr>
        <w:trPr>
          <w:trHeight w:val="23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7 Years</w:t>
            </w:r>
          </w:p>
        </w:tc>
      </w:tr>
      <w:tr>
        <w:trPr>
          <w:trHeight w:val="247"/>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w w:val="93"/>
              </w:rPr>
              <w:t>5 Years</w:t>
            </w:r>
          </w:p>
        </w:tc>
      </w:tr>
      <w:tr>
        <w:trPr>
          <w:trHeight w:val="23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306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Remaining Life of Lease</w:t>
            </w:r>
          </w:p>
        </w:tc>
      </w:tr>
      <w:tr>
        <w:trPr>
          <w:trHeight w:val="247"/>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Processing Equipment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 Years</w:t>
            </w:r>
          </w:p>
        </w:tc>
      </w:tr>
      <w:tr>
        <w:trPr>
          <w:trHeight w:val="234"/>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306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Not Depreciated</w:t>
            </w:r>
          </w:p>
        </w:tc>
      </w:tr>
    </w:tbl>
    <w:p>
      <w:pPr>
        <w:spacing w:after="0" w:line="20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180" w:lineRule="exact"/>
        <w:rPr>
          <w:sz w:val="20"/>
          <w:szCs w:val="20"/>
          <w:color w:val="auto"/>
        </w:rPr>
      </w:pPr>
    </w:p>
    <w:p>
      <w:pPr>
        <w:ind w:left="520" w:right="100"/>
        <w:spacing w:after="0" w:line="253"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During the years ended December 31, 2023, 2022 and 2021, the Company recorded impairment charges of $5,467 thousand, $1,419 thousand and $4,744 thousand respectively, within selling, general, and administrative expenses on the consolidated statement of operations.</w:t>
      </w:r>
    </w:p>
    <w:p>
      <w:pPr>
        <w:spacing w:after="0" w:line="29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 and Investments</w:t>
      </w:r>
    </w:p>
    <w:p>
      <w:pPr>
        <w:spacing w:after="0" w:line="256"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Convertible notes investments and investments in equity of private companies are classified as financial assets at fair value. Upon initial recognition, the investment is recognized at fair value with directly attributable transaction costs expensed as incurred. Subsequent changes in fair value are recognized in profit or loss.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2023:</w:t>
      </w:r>
    </w:p>
    <w:p>
      <w:pPr>
        <w:spacing w:after="0" w:line="194" w:lineRule="exact"/>
        <w:rPr>
          <w:sz w:val="20"/>
          <w:szCs w:val="20"/>
          <w:color w:val="auto"/>
        </w:rPr>
      </w:pPr>
    </w:p>
    <w:tbl>
      <w:tblPr>
        <w:tblLayout w:type="fixed"/>
        <w:tblInd w:w="2160" w:type="dxa"/>
        <w:tblCellMar>
          <w:top w:w="0" w:type="dxa"/>
          <w:left w:w="0" w:type="dxa"/>
          <w:bottom w:w="0" w:type="dxa"/>
          <w:right w:w="0" w:type="dxa"/>
        </w:tblCellMar>
      </w:tblP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 and Permits</w:t>
            </w:r>
          </w:p>
        </w:tc>
        <w:tc>
          <w:tcPr>
            <w:tcW w:w="31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39"/>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Tradenames</w:t>
            </w:r>
          </w:p>
        </w:tc>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5-15 years</w:t>
            </w:r>
          </w:p>
        </w:tc>
      </w:tr>
      <w:tr>
        <w:trPr>
          <w:trHeight w:val="247"/>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31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6"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162" w:lineRule="exact"/>
        <w:rPr>
          <w:sz w:val="20"/>
          <w:szCs w:val="20"/>
          <w:color w:val="auto"/>
        </w:rPr>
      </w:pPr>
    </w:p>
    <w:p>
      <w:pPr>
        <w:ind w:left="520" w:right="80"/>
        <w:spacing w:after="0" w:line="257" w:lineRule="auto"/>
        <w:rPr>
          <w:sz w:val="20"/>
          <w:szCs w:val="20"/>
          <w:color w:val="auto"/>
        </w:rPr>
      </w:pPr>
      <w:r>
        <w:rPr>
          <w:rFonts w:ascii="Times New Roman" w:cs="Times New Roman" w:eastAsia="Times New Roman" w:hAnsi="Times New Roman"/>
          <w:sz w:val="18"/>
          <w:szCs w:val="18"/>
          <w:color w:val="auto"/>
        </w:rPr>
        <w:t>During the 2022 annual review, management determined that certain tradenames associated with the 2019 acquisition of Integral Associates,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Integral</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should be written-off. The Company's decisions to re-brand Essence retail stores into RISE retail locations and, discontinue production of the Desert Grown Farms brand, both acquired as part of the Integral acquisition, resulted in an impairment charge of $31,131 thousand as of the year ended December 31, 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such impairment charges were recorded during the years ended December 31, 2023 or 2021.</w:t>
      </w:r>
    </w:p>
    <w:p>
      <w:pPr>
        <w:spacing w:after="0" w:line="113"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6"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October 1, for impairment or more frequently if events or circumstances indicate that the carrying value may not be recoverable. An impaired asset is written down to its estimated fair value based on the most recent information available.</w:t>
      </w:r>
    </w:p>
    <w:p>
      <w:pPr>
        <w:spacing w:after="0" w:line="178"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w:t>
      </w:r>
      <w:r>
        <w:rPr>
          <w:rFonts w:ascii="Times New Roman" w:cs="Times New Roman" w:eastAsia="Times New Roman" w:hAnsi="Times New Roman"/>
          <w:sz w:val="18"/>
          <w:szCs w:val="18"/>
          <w:i w:val="1"/>
          <w:iCs w:val="1"/>
          <w:color w:val="auto"/>
        </w:rPr>
        <w:t>Accounting Standards Update (“ASU”) 2011-08, Intangibles-Goodwill and Other-Testing Goodwill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8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2023, the Company performed the Step Zero analysis for its goodwill impairment test. As a result of the Company's Step Zero analysis, no further quantitative impairment test was deemed necessary.</w:t>
      </w:r>
    </w:p>
    <w:p>
      <w:pPr>
        <w:spacing w:after="0" w:line="160"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 xml:space="preserve">During 2022, the Company evaluated its existing reporting units under the accounting guidance provided in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thus, 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82"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As part of the Company's aggregation of the 30 reporting units that existed prior to October 1, 2022, the accounting guidance required the reporting units be tested for impairment through a Step 1 quantitative analysis prior to aggregation.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requires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estimates fair value using comparable marketplace fair value data from within a comparable industry grouping.</w:t>
      </w:r>
    </w:p>
    <w:p>
      <w:pPr>
        <w:spacing w:after="0" w:line="180"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17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As a result, for the year ended December 31, 2022, the Company recognized an impairment charge of $44,392 thousand associated with its Nevada Consumer Packaged Goods operations and $12,980 thousand associated with its Nevada Retail operations as the carrying values of the reporting units exceeded the estimated fair value by such amounts. No such impairment charges were recorded for the years ended December 31, 2023 or 2021.</w:t>
      </w:r>
    </w:p>
    <w:p>
      <w:pPr>
        <w:spacing w:after="0" w:line="28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180"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the enacted taxes rates. The effect on deferred tax assets and liabilities of a change in tax law or tax rates is recognized in income in the period that enactment occurs. As discussed further in Note 11—Income Taxes, the Company is subject to the limitations of Internal Revenue Code of 1986, as amended (“IRC”) Section 280E.</w:t>
      </w:r>
    </w:p>
    <w:p>
      <w:pPr>
        <w:spacing w:after="0" w:line="280"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520" w:right="180"/>
        <w:spacing w:after="0" w:line="267" w:lineRule="auto"/>
        <w:rPr>
          <w:sz w:val="20"/>
          <w:szCs w:val="20"/>
          <w:color w:val="auto"/>
        </w:rPr>
      </w:pPr>
      <w:r>
        <w:rPr>
          <w:rFonts w:ascii="Times New Roman" w:cs="Times New Roman" w:eastAsia="Times New Roman" w:hAnsi="Times New Roman"/>
          <w:sz w:val="18"/>
          <w:szCs w:val="18"/>
          <w:color w:val="auto"/>
        </w:rPr>
        <w:t xml:space="preserve">Revenue is recognized by the Company in accordance with </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 (Topic 606)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recognize revenue under ASU 2014-09, the Company applies the following five (5) steps:</w:t>
      </w:r>
    </w:p>
    <w:p>
      <w:pPr>
        <w:spacing w:after="0" w:line="225" w:lineRule="exact"/>
        <w:rPr>
          <w:sz w:val="20"/>
          <w:szCs w:val="20"/>
          <w:color w:val="auto"/>
        </w:rPr>
      </w:pPr>
    </w:p>
    <w:p>
      <w:pPr>
        <w:ind w:left="1480" w:hanging="352"/>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238"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238" w:lineRule="exact"/>
        <w:rPr>
          <w:rFonts w:ascii="Times New Roman" w:cs="Times New Roman" w:eastAsia="Times New Roman" w:hAnsi="Times New Roman"/>
          <w:sz w:val="18"/>
          <w:szCs w:val="18"/>
          <w:color w:val="auto"/>
        </w:rPr>
      </w:pPr>
    </w:p>
    <w:p>
      <w:pPr>
        <w:ind w:left="1480" w:right="320" w:hanging="338"/>
        <w:spacing w:after="0" w:line="282" w:lineRule="auto"/>
        <w:tabs>
          <w:tab w:leader="none" w:pos="14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spacing w:after="0" w:line="175"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38"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2023, 2022 and 2021, sales discounts totaled $232,031 thousand, $167,288 thousand and $83,851 thousand, respectively.</w:t>
      </w:r>
    </w:p>
    <w:p>
      <w:pPr>
        <w:spacing w:after="0" w:line="180"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Revenue is recognized upon the satisfaction of the performance obligation. The Company satisfies its performance obligation and transfers control upon delivery and acceptance by the customer.</w:t>
      </w:r>
    </w:p>
    <w:p>
      <w:pPr>
        <w:spacing w:after="0" w:line="162"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At some locations, the Company offers a loyalty reward program to its retail customers. A portion of the revenue generated in a sale must be allocated to the loyalty points earned. The amount allocated to the points earned is deferred until the loyalty points are redeemed or expire. As of December 31, 2023 and 2022, the loyalty liability totaled $4,839 thousand and $4,871 thousand, respectively, and is included in accrued liabilities on the consolidated balance sheets.</w:t>
      </w:r>
    </w:p>
    <w:p>
      <w:pPr>
        <w:spacing w:after="0" w:line="28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229"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183" w:lineRule="exact"/>
        <w:rPr>
          <w:sz w:val="20"/>
          <w:szCs w:val="20"/>
          <w:color w:val="auto"/>
        </w:rPr>
      </w:pPr>
    </w:p>
    <w:p>
      <w:pPr>
        <w:ind w:left="520" w:right="1000"/>
        <w:spacing w:after="0" w:line="282" w:lineRule="auto"/>
        <w:rPr>
          <w:sz w:val="20"/>
          <w:szCs w:val="20"/>
          <w:color w:val="auto"/>
        </w:rPr>
      </w:pPr>
      <w:r>
        <w:rPr>
          <w:rFonts w:ascii="Times New Roman" w:cs="Times New Roman" w:eastAsia="Times New Roman" w:hAnsi="Times New Roman"/>
          <w:sz w:val="18"/>
          <w:szCs w:val="18"/>
          <w:color w:val="auto"/>
        </w:rPr>
        <w:t>Equity settled stock-based payments under stock-based payments plans are ultimately recognized as an expense in profit or loss with a corresponding credit to contributed surplus, in equity.</w:t>
      </w:r>
    </w:p>
    <w:p>
      <w:pPr>
        <w:spacing w:after="0" w:line="162"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No adjustment is made to any expense recognized in a prior period if share options ultimately exercised are different to that estimated on vesting.</w:t>
      </w:r>
    </w:p>
    <w:p>
      <w:pPr>
        <w:spacing w:after="0" w:line="28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left="520" w:right="20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29" w:lineRule="exact"/>
        <w:rPr>
          <w:sz w:val="20"/>
          <w:szCs w:val="20"/>
          <w:color w:val="auto"/>
        </w:rPr>
      </w:pPr>
    </w:p>
    <w:p>
      <w:pPr>
        <w:ind w:left="760" w:right="2060"/>
        <w:spacing w:after="0" w:line="260"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r>
        <w:rPr>
          <w:rFonts w:ascii="Times New Roman" w:cs="Times New Roman" w:eastAsia="Times New Roman" w:hAnsi="Times New Roman"/>
          <w:sz w:val="18"/>
          <w:szCs w:val="18"/>
          <w:i w:val="1"/>
          <w:iCs w:val="1"/>
          <w:color w:val="auto"/>
        </w:rPr>
        <w:t xml:space="preserve"> 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further details, see Note 14—Fair Value Measurements.</w:t>
      </w:r>
    </w:p>
    <w:p>
      <w:pPr>
        <w:spacing w:after="0" w:line="329"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520" w:right="22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207"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280"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520" w:right="80"/>
        <w:spacing w:after="0" w:line="281" w:lineRule="auto"/>
        <w:rPr>
          <w:sz w:val="20"/>
          <w:szCs w:val="20"/>
          <w:color w:val="auto"/>
        </w:rPr>
      </w:pPr>
      <w:r>
        <w:rPr>
          <w:rFonts w:ascii="Times New Roman" w:cs="Times New Roman" w:eastAsia="Times New Roman" w:hAnsi="Times New Roman"/>
          <w:sz w:val="17"/>
          <w:szCs w:val="17"/>
          <w:color w:val="auto"/>
        </w:rPr>
        <w:t xml:space="preserve">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w:t>
      </w:r>
      <w:r>
        <w:rPr>
          <w:rFonts w:ascii="Times New Roman" w:cs="Times New Roman" w:eastAsia="Times New Roman" w:hAnsi="Times New Roman"/>
          <w:sz w:val="17"/>
          <w:szCs w:val="17"/>
          <w:i w:val="1"/>
          <w:iCs w:val="1"/>
          <w:color w:val="auto"/>
        </w:rPr>
        <w:t>ASC 740, Income Taxes</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options and warrants. As of December 31, 2023, the Company had 10,071,467 options, 3,620,638 RSUs and 3,734,555 warrants outstanding. As of December 31, 2022, the Company had 9,577,947 options, 947,502 RSUs and 3,734,555 warrants outstanding. As of December 31, 2021, the Company had 5,383,275 options, 376,127 RSUs and 3,835,278 warrants outstanding.</w:t>
      </w:r>
    </w:p>
    <w:p>
      <w:pPr>
        <w:spacing w:after="0" w:line="192"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exercise of dilutive unvested RSUs, options, and warrants would be used to repurchase Common Shares at the average market price during the period. Under the treasury stock method, the diluted earnings per share calculation excludes any potential conversion of options and convertible debt that would increase earnings per share or decrease loss per share. For the year ended December 31, 2023, the computation of diluted earnings per share included 220,325 options, 1,679,198 RSUs and 0 warrants. For the year ended December 31, 2022, the computation of diluted earnings per share included 1,001,835 options, 243,194 RSUs and 121,945 warrants. For the year ended December 31, 2021, the computation of diluted earnings per share included 2,323,625 options, 200,732 RSUs and 1,042,199 warrants.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weighted average number of anti-dilutive options excluded from the computation of diluted earnings per share were 2,477,120; 1,895,273; and 626,930, respectively.</w:t>
      </w:r>
    </w:p>
    <w:p>
      <w:pPr>
        <w:spacing w:after="0" w:line="26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189" w:lineRule="exact"/>
        <w:rPr>
          <w:sz w:val="20"/>
          <w:szCs w:val="20"/>
          <w:color w:val="auto"/>
        </w:rPr>
      </w:pPr>
    </w:p>
    <w:p>
      <w:pPr>
        <w:jc w:val="both"/>
        <w:ind w:left="520" w:right="100"/>
        <w:spacing w:after="0" w:line="261" w:lineRule="auto"/>
        <w:rPr>
          <w:sz w:val="20"/>
          <w:szCs w:val="20"/>
          <w:color w:val="auto"/>
        </w:rPr>
      </w:pPr>
      <w:r>
        <w:rPr>
          <w:rFonts w:ascii="Times New Roman" w:cs="Times New Roman" w:eastAsia="Times New Roman" w:hAnsi="Times New Roman"/>
          <w:sz w:val="18"/>
          <w:szCs w:val="18"/>
          <w:color w:val="auto"/>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p>
    <w:p>
      <w:pPr>
        <w:spacing w:after="0" w:line="284"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Green Thumb’s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income (loss) for the period. During the years ended December 31, 2023, 2022, and 2021, there were no significant transactions in currencies other than US Dollars.</w:t>
      </w:r>
    </w:p>
    <w:p>
      <w:pPr>
        <w:spacing w:after="0" w:line="28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87"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w:t>
      </w:r>
    </w:p>
    <w:p>
      <w:pPr>
        <w:spacing w:after="0" w:line="180" w:lineRule="exact"/>
        <w:rPr>
          <w:sz w:val="20"/>
          <w:szCs w:val="20"/>
          <w:color w:val="auto"/>
        </w:rPr>
      </w:pPr>
    </w:p>
    <w:p>
      <w:pPr>
        <w:ind w:left="520" w:right="2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impairment charges associated with long-lived fixed assets of $5,467 thousand, $1,419 thousand and $4,744 thousand respectively, within selling, general, and administrative expenses on the consolidated statement of operations.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29"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ind w:left="1480" w:hanging="460"/>
        <w:spacing w:after="0"/>
        <w:tabs>
          <w:tab w:leader="none" w:pos="148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Estimated Useful Lives and Amortization of Intangible Assets (Also see 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 and Goodwill)</w:t>
      </w:r>
    </w:p>
    <w:p>
      <w:pPr>
        <w:spacing w:after="0" w:line="241"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w:t>
      </w:r>
    </w:p>
    <w:p>
      <w:pPr>
        <w:spacing w:after="0" w:line="160" w:lineRule="exact"/>
        <w:rPr>
          <w:sz w:val="20"/>
          <w:szCs w:val="20"/>
          <w:color w:val="auto"/>
        </w:rPr>
      </w:pPr>
    </w:p>
    <w:p>
      <w:pPr>
        <w:ind w:left="1460" w:hanging="453"/>
        <w:spacing w:after="0"/>
        <w:tabs>
          <w:tab w:leader="none" w:pos="14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Combinations</w:t>
      </w:r>
    </w:p>
    <w:p>
      <w:pPr>
        <w:spacing w:after="0" w:line="241"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89"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ind w:left="1040"/>
        <w:spacing w:after="0"/>
        <w:tabs>
          <w:tab w:leader="none" w:pos="1440" w:val="left"/>
        </w:tabs>
        <w:rPr>
          <w:sz w:val="20"/>
          <w:szCs w:val="20"/>
          <w:color w:val="auto"/>
        </w:rPr>
      </w:pPr>
      <w:r>
        <w:rPr>
          <w:rFonts w:ascii="Times New Roman" w:cs="Times New Roman" w:eastAsia="Times New Roman" w:hAnsi="Times New Roman"/>
          <w:sz w:val="18"/>
          <w:szCs w:val="18"/>
          <w:i w:val="1"/>
          <w:iCs w:val="1"/>
          <w:color w:val="auto"/>
        </w:rPr>
        <w:t>(iii)</w:t>
      </w:r>
      <w:r>
        <w:rPr>
          <w:sz w:val="20"/>
          <w:szCs w:val="20"/>
          <w:color w:val="auto"/>
        </w:rPr>
        <w:tab/>
      </w:r>
      <w:r>
        <w:rPr>
          <w:rFonts w:ascii="Times New Roman" w:cs="Times New Roman" w:eastAsia="Times New Roman" w:hAnsi="Times New Roman"/>
          <w:sz w:val="17"/>
          <w:szCs w:val="17"/>
          <w:i w:val="1"/>
          <w:iCs w:val="1"/>
          <w:color w:val="auto"/>
        </w:rPr>
        <w:t>Inventories</w:t>
      </w:r>
    </w:p>
    <w:p>
      <w:pPr>
        <w:spacing w:after="0" w:line="241" w:lineRule="exact"/>
        <w:rPr>
          <w:sz w:val="20"/>
          <w:szCs w:val="20"/>
          <w:color w:val="auto"/>
        </w:rPr>
      </w:pPr>
    </w:p>
    <w:p>
      <w:pPr>
        <w:ind w:left="520" w:right="120"/>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Judgments, Estimates and Assumptions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ind w:left="1460" w:hanging="467"/>
        <w:spacing w:after="0"/>
        <w:tabs>
          <w:tab w:leader="none" w:pos="146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Private Holdings</w:t>
      </w:r>
    </w:p>
    <w:p>
      <w:pPr>
        <w:spacing w:after="0" w:line="241" w:lineRule="exact"/>
        <w:rPr>
          <w:sz w:val="20"/>
          <w:szCs w:val="20"/>
          <w:color w:val="auto"/>
        </w:rPr>
      </w:pPr>
    </w:p>
    <w:p>
      <w:pPr>
        <w:ind w:left="520" w:right="380"/>
        <w:spacing w:after="0" w:line="289" w:lineRule="auto"/>
        <w:rPr>
          <w:sz w:val="20"/>
          <w:szCs w:val="20"/>
          <w:color w:val="auto"/>
        </w:rPr>
      </w:pPr>
      <w:r>
        <w:rPr>
          <w:rFonts w:ascii="Times New Roman" w:cs="Times New Roman" w:eastAsia="Times New Roman" w:hAnsi="Times New Roman"/>
          <w:sz w:val="17"/>
          <w:szCs w:val="17"/>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156" w:lineRule="exact"/>
        <w:rPr>
          <w:sz w:val="20"/>
          <w:szCs w:val="20"/>
          <w:color w:val="auto"/>
        </w:rPr>
      </w:pPr>
    </w:p>
    <w:p>
      <w:pPr>
        <w:ind w:left="1460" w:hanging="426"/>
        <w:spacing w:after="0"/>
        <w:tabs>
          <w:tab w:leader="none" w:pos="14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Impairment</w:t>
      </w:r>
    </w:p>
    <w:p>
      <w:pPr>
        <w:spacing w:after="0" w:line="241"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 xml:space="preserve">Goodwill is tested for impairment annually and whenever events or changes in circumstances indicate that the carrying amount of goodwill has been impaired. As described in Notes 2(l) and 2(m), the Company applies the guidance in </w:t>
      </w:r>
      <w:r>
        <w:rPr>
          <w:rFonts w:ascii="Times New Roman" w:cs="Times New Roman" w:eastAsia="Times New Roman" w:hAnsi="Times New Roman"/>
          <w:sz w:val="18"/>
          <w:szCs w:val="18"/>
          <w:i w:val="1"/>
          <w:iCs w:val="1"/>
          <w:color w:val="auto"/>
        </w:rPr>
        <w:t>ASU 2011-08 Intangibles-Goodwill and Other-Testing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9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2021, the Company performed the Step Zero analysis for its goodwill impairment test. As a result of the Company's Step Zero analysis, no further quantitative impairment test was deemed necessary.</w:t>
      </w:r>
    </w:p>
    <w:p>
      <w:pPr>
        <w:spacing w:after="0" w:line="160" w:lineRule="exact"/>
        <w:rPr>
          <w:sz w:val="20"/>
          <w:szCs w:val="20"/>
          <w:color w:val="auto"/>
        </w:rPr>
      </w:pPr>
    </w:p>
    <w:p>
      <w:pPr>
        <w:ind w:left="520" w:right="260"/>
        <w:spacing w:after="0" w:line="261" w:lineRule="auto"/>
        <w:rPr>
          <w:sz w:val="20"/>
          <w:szCs w:val="20"/>
          <w:color w:val="auto"/>
        </w:rPr>
      </w:pPr>
      <w:r>
        <w:rPr>
          <w:rFonts w:ascii="Times New Roman" w:cs="Times New Roman" w:eastAsia="Times New Roman" w:hAnsi="Times New Roman"/>
          <w:sz w:val="18"/>
          <w:szCs w:val="18"/>
          <w:color w:val="auto"/>
        </w:rPr>
        <w:t xml:space="preserve">During 2022, the Company evaluated its existing reporting units under the accounting guidance provided in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 thus, aggregation of these components into two reporting units that align with our reportable segments, should be applied. Beginning October 1, 2022, the Company identified two reporting units (Retail and Consumer Packaged Goods).</w:t>
      </w:r>
    </w:p>
    <w:p>
      <w:pPr>
        <w:spacing w:after="0" w:line="182" w:lineRule="exact"/>
        <w:rPr>
          <w:sz w:val="20"/>
          <w:szCs w:val="20"/>
          <w:color w:val="auto"/>
        </w:rPr>
      </w:pPr>
    </w:p>
    <w:p>
      <w:pPr>
        <w:ind w:left="520" w:right="80"/>
        <w:spacing w:after="0" w:line="312" w:lineRule="auto"/>
        <w:rPr>
          <w:sz w:val="20"/>
          <w:szCs w:val="20"/>
          <w:color w:val="auto"/>
        </w:rPr>
      </w:pPr>
      <w:r>
        <w:rPr>
          <w:rFonts w:ascii="Times New Roman" w:cs="Times New Roman" w:eastAsia="Times New Roman" w:hAnsi="Times New Roman"/>
          <w:sz w:val="17"/>
          <w:szCs w:val="17"/>
          <w:color w:val="auto"/>
        </w:rPr>
        <w:t>As part of the Company's aggregation of the 30 reporting units that existed prior to October 1, 2022, the accounting guidance required the reporting units be tested for impairment through a Step 1 quantitative analysis prior to aggregation to determine if any of the reporting units was impaired.</w:t>
      </w:r>
    </w:p>
    <w:p>
      <w:pPr>
        <w:spacing w:after="0" w:line="140"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both the income and market approaches. The income approach requires management to estimate a number of factors for each reporting unit, including projected future operating results, economic projections, anticipated future cash flows, discount rates and the allocation of shared or corporate costs. The market approach estimates fair value using comparable marketplace fair value data from within a comparable industry grouping.</w:t>
      </w:r>
    </w:p>
    <w:p>
      <w:pPr>
        <w:spacing w:after="0" w:line="180"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capital expenditures and the eventual repeal of 280E.</w:t>
      </w:r>
    </w:p>
    <w:p>
      <w:pPr>
        <w:spacing w:after="0" w:line="176"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As a result of the Company's goodwill impairment analysis, the Company determined two of the reporting units were impaired. See Note 5— Intangible Assets and Goodwill for additional detail.</w:t>
      </w:r>
    </w:p>
    <w:p>
      <w:pPr>
        <w:spacing w:after="0" w:line="160" w:lineRule="exact"/>
        <w:rPr>
          <w:sz w:val="20"/>
          <w:szCs w:val="20"/>
          <w:color w:val="auto"/>
        </w:rPr>
      </w:pPr>
    </w:p>
    <w:p>
      <w:pPr>
        <w:ind w:left="1460" w:hanging="467"/>
        <w:spacing w:after="0"/>
        <w:tabs>
          <w:tab w:leader="none" w:pos="146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Reporting Units</w:t>
      </w:r>
    </w:p>
    <w:p>
      <w:pPr>
        <w:spacing w:after="0" w:line="241"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assets are aggregated into two reportable segments Retail and Consumer Packaged Goods. During 2022, the Company evaluated its existing reporting units under the accounting guidance provided in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 thus, aggregation of these components into two reporting units that align with our reportable segments, should be applied. Beginning October 1, 2022, the Company identified two reporting units (Retail and Consumer Packaged Goods).</w:t>
      </w:r>
    </w:p>
    <w:p>
      <w:pPr>
        <w:sectPr>
          <w:pgSz w:w="11900" w:h="16838" w:orient="portrait"/>
          <w:cols w:equalWidth="0" w:num="1">
            <w:col w:w="11220"/>
          </w:cols>
          <w:pgMar w:left="320" w:top="765"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 Estimates and Assumptions </w:t>
      </w:r>
      <w:r>
        <w:rPr>
          <w:rFonts w:ascii="Times New Roman" w:cs="Times New Roman" w:eastAsia="Times New Roman" w:hAnsi="Times New Roman"/>
          <w:sz w:val="18"/>
          <w:szCs w:val="18"/>
          <w:color w:val="auto"/>
        </w:rPr>
        <w:t>(Continued)</w:t>
      </w:r>
    </w:p>
    <w:p>
      <w:pPr>
        <w:spacing w:after="0" w:line="227" w:lineRule="exact"/>
        <w:rPr>
          <w:rFonts w:ascii="Times New Roman" w:cs="Times New Roman" w:eastAsia="Times New Roman" w:hAnsi="Times New Roman"/>
          <w:sz w:val="18"/>
          <w:szCs w:val="18"/>
          <w:b w:val="1"/>
          <w:bCs w:val="1"/>
          <w:color w:val="auto"/>
        </w:rPr>
      </w:pPr>
    </w:p>
    <w:p>
      <w:pPr>
        <w:ind w:left="1480" w:hanging="473"/>
        <w:spacing w:after="0"/>
        <w:tabs>
          <w:tab w:leader="none" w:pos="1480" w:val="left"/>
        </w:tabs>
        <w:numPr>
          <w:ilvl w:val="1"/>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Consolidation</w:t>
      </w:r>
    </w:p>
    <w:p>
      <w:pPr>
        <w:spacing w:after="0" w:line="241"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3" w:lineRule="exact"/>
        <w:rPr>
          <w:sz w:val="20"/>
          <w:szCs w:val="20"/>
          <w:color w:val="auto"/>
        </w:rPr>
      </w:pPr>
    </w:p>
    <w:p>
      <w:pPr>
        <w:ind w:left="1480" w:hanging="568"/>
        <w:spacing w:after="0"/>
        <w:tabs>
          <w:tab w:leader="none" w:pos="148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Allowance for Uncollectible Accounts</w:t>
      </w:r>
    </w:p>
    <w:p>
      <w:pPr>
        <w:spacing w:after="0" w:line="239"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78" w:lineRule="exact"/>
        <w:rPr>
          <w:sz w:val="20"/>
          <w:szCs w:val="20"/>
          <w:color w:val="auto"/>
        </w:rPr>
      </w:pPr>
    </w:p>
    <w:p>
      <w:pPr>
        <w:ind w:left="1500" w:hanging="466"/>
        <w:spacing w:after="0"/>
        <w:tabs>
          <w:tab w:leader="none" w:pos="150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Payments</w:t>
      </w:r>
    </w:p>
    <w:p>
      <w:pPr>
        <w:spacing w:after="0" w:line="241"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ind w:left="1500" w:hanging="466"/>
        <w:spacing w:after="0"/>
        <w:tabs>
          <w:tab w:leader="none" w:pos="150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Financial Instruments</w:t>
      </w:r>
    </w:p>
    <w:p>
      <w:pPr>
        <w:spacing w:after="0" w:line="241"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or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91"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and Revised Standards</w:t>
      </w:r>
    </w:p>
    <w:p>
      <w:pPr>
        <w:spacing w:after="0" w:line="335" w:lineRule="exact"/>
        <w:rPr>
          <w:rFonts w:ascii="Times New Roman" w:cs="Times New Roman" w:eastAsia="Times New Roman" w:hAnsi="Times New Roman"/>
          <w:sz w:val="18"/>
          <w:szCs w:val="18"/>
          <w:b w:val="1"/>
          <w:bCs w:val="1"/>
          <w:color w:val="auto"/>
        </w:rPr>
      </w:pPr>
    </w:p>
    <w:p>
      <w:pPr>
        <w:ind w:left="1420" w:right="20" w:hanging="514"/>
        <w:spacing w:after="0" w:line="258" w:lineRule="auto"/>
        <w:tabs>
          <w:tab w:leader="none" w:pos="14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Income Taxes (Topic 740) - Simplifying the Accounting for Income Taxes</w:t>
      </w:r>
      <w:r>
        <w:rPr>
          <w:rFonts w:ascii="Times New Roman" w:cs="Times New Roman" w:eastAsia="Times New Roman" w:hAnsi="Times New Roman"/>
          <w:sz w:val="18"/>
          <w:szCs w:val="18"/>
          <w:color w:val="auto"/>
        </w:rPr>
        <w:t xml:space="preserve">, which is intended to simplify various aspects related to accounting for income taxes </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xml:space="preserve"> removes certain exceptions to the general principles in Topic 740 and also clarifies and amends existing guidance to improve consistent application. The Company adopted </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xml:space="preserve"> on January 1, 2021. The adoption of the standard did not have a material impact on the Company’s consolidated financial statements.</w:t>
      </w:r>
    </w:p>
    <w:p>
      <w:pPr>
        <w:spacing w:after="0" w:line="75" w:lineRule="exact"/>
        <w:rPr>
          <w:rFonts w:ascii="Times New Roman" w:cs="Times New Roman" w:eastAsia="Times New Roman" w:hAnsi="Times New Roman"/>
          <w:sz w:val="18"/>
          <w:szCs w:val="18"/>
          <w:color w:val="auto"/>
        </w:rPr>
      </w:pPr>
    </w:p>
    <w:p>
      <w:pPr>
        <w:ind w:left="1420" w:hanging="514"/>
        <w:spacing w:after="0" w:line="277" w:lineRule="auto"/>
        <w:tabs>
          <w:tab w:leader="none" w:pos="142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January 2020, the FASB issued </w:t>
      </w:r>
      <w:r>
        <w:rPr>
          <w:rFonts w:ascii="Times New Roman" w:cs="Times New Roman" w:eastAsia="Times New Roman" w:hAnsi="Times New Roman"/>
          <w:sz w:val="17"/>
          <w:szCs w:val="17"/>
          <w:i w:val="1"/>
          <w:iCs w:val="1"/>
          <w:color w:val="auto"/>
        </w:rPr>
        <w:t>ASU 2020-01, Investments - Equity Securities (Topic 321), Investments - Equity Method and Joint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Ventures (Topic 323), and Derivatives and Hedging (Topic 815) (“ASU 2020-01”)</w:t>
      </w:r>
      <w:r>
        <w:rPr>
          <w:rFonts w:ascii="Times New Roman" w:cs="Times New Roman" w:eastAsia="Times New Roman" w:hAnsi="Times New Roman"/>
          <w:sz w:val="17"/>
          <w:szCs w:val="17"/>
          <w:color w:val="auto"/>
        </w:rPr>
        <w:t>, which is intended to clarify the interaction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accounting for equity securities under Topic 321 and investments accounted for under the equity method of accounting in Topic 323 and the accounting for certain forward contracts and purchased options accounted for under Topic 815. The Company adopted </w:t>
      </w:r>
      <w:r>
        <w:rPr>
          <w:rFonts w:ascii="Times New Roman" w:cs="Times New Roman" w:eastAsia="Times New Roman" w:hAnsi="Times New Roman"/>
          <w:sz w:val="17"/>
          <w:szCs w:val="17"/>
          <w:i w:val="1"/>
          <w:iCs w:val="1"/>
          <w:color w:val="auto"/>
        </w:rPr>
        <w:t>ASU 2020-01</w:t>
      </w:r>
      <w:r>
        <w:rPr>
          <w:rFonts w:ascii="Times New Roman" w:cs="Times New Roman" w:eastAsia="Times New Roman" w:hAnsi="Times New Roman"/>
          <w:sz w:val="17"/>
          <w:szCs w:val="17"/>
          <w:color w:val="auto"/>
        </w:rPr>
        <w:t xml:space="preserve"> on January 1, 2021. The adoption of the standard did not have a material impact on the Company’s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460" w:hanging="452"/>
        <w:spacing w:after="0"/>
        <w:tabs>
          <w:tab w:leader="none" w:pos="4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and Revised Standards </w:t>
      </w:r>
      <w:r>
        <w:rPr>
          <w:rFonts w:ascii="Times New Roman" w:cs="Times New Roman" w:eastAsia="Times New Roman" w:hAnsi="Times New Roman"/>
          <w:sz w:val="18"/>
          <w:szCs w:val="18"/>
          <w:color w:val="auto"/>
        </w:rPr>
        <w:t>(Continued)</w:t>
      </w:r>
    </w:p>
    <w:p>
      <w:pPr>
        <w:spacing w:after="0" w:line="362" w:lineRule="exact"/>
        <w:rPr>
          <w:rFonts w:ascii="Times New Roman" w:cs="Times New Roman" w:eastAsia="Times New Roman" w:hAnsi="Times New Roman"/>
          <w:sz w:val="18"/>
          <w:szCs w:val="18"/>
          <w:b w:val="1"/>
          <w:bCs w:val="1"/>
          <w:color w:val="auto"/>
        </w:rPr>
      </w:pPr>
    </w:p>
    <w:p>
      <w:pPr>
        <w:ind w:left="1420" w:hanging="514"/>
        <w:spacing w:after="0" w:line="257" w:lineRule="auto"/>
        <w:tabs>
          <w:tab w:leader="none" w:pos="14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5, 2020, the FASB issued </w:t>
      </w:r>
      <w:r>
        <w:rPr>
          <w:rFonts w:ascii="Times New Roman" w:cs="Times New Roman" w:eastAsia="Times New Roman" w:hAnsi="Times New Roman"/>
          <w:sz w:val="18"/>
          <w:szCs w:val="18"/>
          <w:i w:val="1"/>
          <w:iCs w:val="1"/>
          <w:color w:val="auto"/>
        </w:rPr>
        <w:t>ASU No. 2020-06, 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 Contracts in Entity’s Own Equity (Subtopic 815-40)</w:t>
      </w:r>
      <w:r>
        <w:rPr>
          <w:rFonts w:ascii="Times New Roman" w:cs="Times New Roman" w:eastAsia="Times New Roman" w:hAnsi="Times New Roman"/>
          <w:sz w:val="18"/>
          <w:szCs w:val="18"/>
          <w:color w:val="auto"/>
        </w:rPr>
        <w:t>: Accounting for Convertible Instruments and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Entity’s Own Equity, to improve financial reporting associated with accounting for convertible instruments and contracts in an entity’s own equity. The amendments in this ASU are effective for public business entities for fiscal years beginning after December 15, 2021, including interim periods within those fiscal years. The adoption of this standard did not have a material impact on the Company's consolidated financial statements.</w:t>
      </w:r>
    </w:p>
    <w:p>
      <w:pPr>
        <w:spacing w:after="0" w:line="74" w:lineRule="exact"/>
        <w:rPr>
          <w:rFonts w:ascii="Times New Roman" w:cs="Times New Roman" w:eastAsia="Times New Roman" w:hAnsi="Times New Roman"/>
          <w:sz w:val="18"/>
          <w:szCs w:val="18"/>
          <w:color w:val="auto"/>
        </w:rPr>
      </w:pPr>
    </w:p>
    <w:p>
      <w:pPr>
        <w:ind w:left="1420" w:right="80" w:hanging="514"/>
        <w:spacing w:after="0" w:line="256" w:lineRule="auto"/>
        <w:tabs>
          <w:tab w:leader="none" w:pos="14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No.2023-07, Segment Reporting (Topic 280) -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to provide enhanced segment disclosures. The standard will require disclosures about significant segment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is not expected to have a material impact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inventories include the following at December 31, 2023 and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3"/>
        </w:trPr>
        <w:tc>
          <w:tcPr>
            <w:tcW w:w="4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0" w:type="dxa"/>
            <w:vAlign w:val="bottom"/>
            <w:tcBorders>
              <w:bottom w:val="single" w:sz="8" w:color="auto"/>
            </w:tcBorders>
            <w:gridSpan w:val="3"/>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Borders>
              <w:bottom w:val="single" w:sz="8" w:color="auto"/>
            </w:tcBorders>
          </w:tcPr>
          <w:p>
            <w:pPr>
              <w:spacing w:after="0"/>
              <w:rPr>
                <w:sz w:val="19"/>
                <w:szCs w:val="19"/>
                <w:color w:val="auto"/>
              </w:rPr>
            </w:pPr>
          </w:p>
        </w:tc>
      </w:tr>
      <w:tr>
        <w:trPr>
          <w:trHeight w:val="23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3,070</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2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220" w:type="dxa"/>
            <w:vAlign w:val="bottom"/>
            <w:shd w:val="clear" w:color="auto" w:fill="CFF0FC"/>
          </w:tcPr>
          <w:p>
            <w:pPr>
              <w:spacing w:after="0"/>
              <w:rPr>
                <w:sz w:val="20"/>
                <w:szCs w:val="20"/>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47,029</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57,287</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49,268</w:t>
            </w:r>
          </w:p>
        </w:tc>
      </w:tr>
      <w:tr>
        <w:trPr>
          <w:trHeight w:val="23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222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w:t>
            </w:r>
          </w:p>
        </w:tc>
      </w:tr>
      <w:tr>
        <w:trPr>
          <w:trHeight w:val="226"/>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 Net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112,970</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115,675</w:t>
            </w: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-179070</wp:posOffset>
            </wp:positionV>
            <wp:extent cx="1111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63" w:lineRule="exact"/>
        <w:rPr>
          <w:sz w:val="20"/>
          <w:szCs w:val="20"/>
          <w:color w:val="auto"/>
        </w:rPr>
      </w:pPr>
    </w:p>
    <w:p>
      <w:pPr>
        <w:ind w:left="540" w:hanging="532"/>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and 2022, property and equipment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4"/>
        </w:trPr>
        <w:tc>
          <w:tcPr>
            <w:tcW w:w="4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920" w:type="dxa"/>
            <w:vAlign w:val="bottom"/>
            <w:gridSpan w:val="3"/>
          </w:tcPr>
          <w:p>
            <w:pPr>
              <w:ind w:left="19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353,912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176,874</w:t>
            </w: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20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122,568</w:t>
            </w: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80" w:type="dxa"/>
            <w:vAlign w:val="bottom"/>
            <w:shd w:val="clear" w:color="auto" w:fill="CFF0FC"/>
          </w:tcPr>
          <w:p>
            <w:pPr>
              <w:spacing w:after="0"/>
              <w:rPr>
                <w:sz w:val="20"/>
                <w:szCs w:val="20"/>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200,232</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135,524</w:t>
            </w: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20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3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208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30,817</w:t>
            </w:r>
          </w:p>
        </w:tc>
        <w:tc>
          <w:tcPr>
            <w:tcW w:w="2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16,934</w:t>
            </w:r>
          </w:p>
        </w:tc>
      </w:tr>
      <w:tr>
        <w:trPr>
          <w:trHeight w:val="221"/>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20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757,529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452,747</w:t>
            </w:r>
          </w:p>
        </w:tc>
      </w:tr>
      <w:tr>
        <w:trPr>
          <w:trHeight w:val="232"/>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8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(127,290)</w:t>
            </w:r>
          </w:p>
        </w:tc>
        <w:tc>
          <w:tcPr>
            <w:tcW w:w="2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(80,702)</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630,239</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372,045</w:t>
            </w: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8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33,725</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29,106</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Under Construction</w:t>
            </w: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156,722</w:t>
            </w:r>
          </w:p>
        </w:tc>
      </w:tr>
      <w:tr>
        <w:trPr>
          <w:trHeight w:val="26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687,106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shd w:val="clear" w:color="auto" w:fill="CFF0FC"/>
          </w:tcPr>
          <w:p>
            <w:pPr>
              <w:spacing w:after="0"/>
              <w:rPr>
                <w:sz w:val="23"/>
                <w:szCs w:val="23"/>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557,873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-933450</wp:posOffset>
            </wp:positionV>
            <wp:extent cx="1200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-633730</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1200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200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Assets under construction represent construction in progress related to both cultivation and dispensary facilities not yet completed or otherwise not ready for use.</w:t>
      </w:r>
    </w:p>
    <w:p>
      <w:pPr>
        <w:spacing w:after="0" w:line="162"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2022 and 2021 totaled $49,949 thousand, $37,006 thousand and $23,250 thousand, respectively, of which $32,936 thousand, $24,117 thousand and $14,301 thousand, respectively, is included in cost of goods sold.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and 2022, intangible assets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00" w:type="dxa"/>
            <w:vAlign w:val="bottom"/>
          </w:tcPr>
          <w:p>
            <w:pPr>
              <w:spacing w:after="0"/>
              <w:rPr>
                <w:sz w:val="11"/>
                <w:szCs w:val="11"/>
                <w:color w:val="auto"/>
              </w:rPr>
            </w:pPr>
          </w:p>
        </w:tc>
        <w:tc>
          <w:tcPr>
            <w:tcW w:w="104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Licenses and Permits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157,764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502,952</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113,800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546,916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Trademarks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28,133</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2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6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7,511</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Non-Competition Agreements</w:t>
            </w:r>
          </w:p>
        </w:tc>
        <w:tc>
          <w:tcPr>
            <w:tcW w:w="6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6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190,552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538,678</w:t>
            </w:r>
          </w:p>
        </w:tc>
        <w:tc>
          <w:tcPr>
            <w:tcW w:w="30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2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139,711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589,519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-8255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the years ended December 31, 2023, 2022 and 2021 of $50,841 thousand, $59,658 thousand and $45,208 thousand, respectively.</w:t>
      </w:r>
    </w:p>
    <w:p>
      <w:pPr>
        <w:spacing w:after="0" w:line="162" w:lineRule="exact"/>
        <w:rPr>
          <w:sz w:val="20"/>
          <w:szCs w:val="20"/>
          <w:color w:val="auto"/>
        </w:rPr>
      </w:pPr>
    </w:p>
    <w:p>
      <w:pPr>
        <w:ind w:left="520" w:right="120"/>
        <w:spacing w:after="0" w:line="255" w:lineRule="auto"/>
        <w:rPr>
          <w:sz w:val="20"/>
          <w:szCs w:val="20"/>
          <w:color w:val="auto"/>
        </w:rPr>
      </w:pPr>
      <w:r>
        <w:rPr>
          <w:rFonts w:ascii="Times New Roman" w:cs="Times New Roman" w:eastAsia="Times New Roman" w:hAnsi="Times New Roman"/>
          <w:sz w:val="18"/>
          <w:szCs w:val="18"/>
          <w:color w:val="auto"/>
        </w:rPr>
        <w:t>On an annual basis, the Company reviews the estimated useful lives, residual values and amortization methods used for each identifiable intangible asset acquired. During the 2022 annual review, management determined that certain tradenames associated with the 2019 acquisition of Integral Associates,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Integral</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should be written-off. The Company's decisions to re-brand Essence retail stores into RISE retail locations and, discontinue production of the Desert Grown Farms brand, both acquired as part of the Integral acquisition, resulted in an impairment charge of $31,131 thousand as of the year ended December 31,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such impairment charges were recorded during the years ended December 31, 2023 or 2021.</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69"/>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20" w:type="dxa"/>
            <w:vAlign w:val="bottom"/>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50,392</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2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50,294</w:t>
            </w:r>
          </w:p>
        </w:tc>
      </w:tr>
      <w:tr>
        <w:trPr>
          <w:trHeight w:val="33"/>
        </w:trPr>
        <w:tc>
          <w:tcPr>
            <w:tcW w:w="5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47,332</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2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33"/>
        </w:trPr>
        <w:tc>
          <w:tcPr>
            <w:tcW w:w="5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and Thereafter</w:t>
            </w:r>
          </w:p>
        </w:tc>
        <w:tc>
          <w:tcPr>
            <w:tcW w:w="3620" w:type="dxa"/>
            <w:vAlign w:val="bottom"/>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297,054</w:t>
            </w:r>
          </w:p>
        </w:tc>
      </w:tr>
      <w:tr>
        <w:trPr>
          <w:trHeight w:val="226"/>
        </w:trPr>
        <w:tc>
          <w:tcPr>
            <w:tcW w:w="5140" w:type="dxa"/>
            <w:vAlign w:val="bottom"/>
          </w:tcPr>
          <w:p>
            <w:pPr>
              <w:spacing w:after="0"/>
              <w:rPr>
                <w:sz w:val="19"/>
                <w:szCs w:val="19"/>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538,678</w:t>
            </w:r>
          </w:p>
        </w:tc>
      </w:tr>
      <w:tr>
        <w:trPr>
          <w:trHeight w:val="20"/>
        </w:trPr>
        <w:tc>
          <w:tcPr>
            <w:tcW w:w="5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weighted average amortization period remaining for intangible assets was 11.37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the balances of goodwill, by segment, consisted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Consumer Packaged Goods</w:t>
            </w:r>
          </w:p>
        </w:tc>
        <w:tc>
          <w:tcPr>
            <w:tcW w:w="200" w:type="dxa"/>
            <w:vAlign w:val="bottom"/>
          </w:tcPr>
          <w:p>
            <w:pPr>
              <w:spacing w:after="0"/>
              <w:rPr>
                <w:sz w:val="16"/>
                <w:szCs w:val="16"/>
                <w:color w:val="auto"/>
              </w:rPr>
            </w:pPr>
          </w:p>
        </w:tc>
        <w:tc>
          <w:tcPr>
            <w:tcW w:w="20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217"/>
        </w:trPr>
        <w:tc>
          <w:tcPr>
            <w:tcW w:w="2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January 1, 2023</w:t>
            </w:r>
          </w:p>
        </w:tc>
        <w:tc>
          <w:tcPr>
            <w:tcW w:w="14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273,802</w:t>
            </w:r>
          </w:p>
        </w:tc>
        <w:tc>
          <w:tcPr>
            <w:tcW w:w="260" w:type="dxa"/>
            <w:vAlign w:val="bottom"/>
            <w:tcBorders>
              <w:bottom w:val="single" w:sz="8" w:color="CFF0FC"/>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315,889</w:t>
            </w:r>
          </w:p>
        </w:tc>
        <w:tc>
          <w:tcPr>
            <w:tcW w:w="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589,691</w:t>
            </w:r>
          </w:p>
        </w:tc>
      </w:tr>
      <w:tr>
        <w:trPr>
          <w:trHeight w:val="267"/>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273,802</w:t>
            </w:r>
          </w:p>
        </w:tc>
        <w:tc>
          <w:tcPr>
            <w:tcW w:w="2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315,889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631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1631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-179070</wp:posOffset>
            </wp:positionV>
            <wp:extent cx="1631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1289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289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-179070</wp:posOffset>
            </wp:positionV>
            <wp:extent cx="1289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the balances of goodwill, by segment, consisted of the following:</w:t>
      </w: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Consumer Packaged Goods</w:t>
            </w:r>
          </w:p>
        </w:tc>
        <w:tc>
          <w:tcPr>
            <w:tcW w:w="220" w:type="dxa"/>
            <w:vAlign w:val="bottom"/>
          </w:tcPr>
          <w:p>
            <w:pPr>
              <w:spacing w:after="0"/>
              <w:rPr>
                <w:sz w:val="16"/>
                <w:szCs w:val="16"/>
                <w:color w:val="auto"/>
              </w:rPr>
            </w:pPr>
          </w:p>
        </w:tc>
        <w:tc>
          <w:tcPr>
            <w:tcW w:w="19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January 1, 2022</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274,811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358,038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632,849</w:t>
            </w:r>
          </w:p>
        </w:tc>
      </w:tr>
      <w:tr>
        <w:trPr>
          <w:trHeight w:val="23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ILDISP, LLC</w:t>
            </w:r>
          </w:p>
        </w:tc>
        <w:tc>
          <w:tcPr>
            <w:tcW w:w="5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40" w:type="dxa"/>
            <w:vAlign w:val="bottom"/>
            <w:tcBorders>
              <w:bottom w:val="single" w:sz="8" w:color="CFF0FC"/>
            </w:tcBorders>
            <w:shd w:val="clear" w:color="auto" w:fill="CFF0FC"/>
          </w:tcPr>
          <w:p>
            <w:pPr>
              <w:spacing w:after="0"/>
              <w:rPr>
                <w:sz w:val="20"/>
                <w:szCs w:val="20"/>
                <w:color w:val="auto"/>
              </w:rPr>
            </w:pPr>
          </w:p>
        </w:tc>
        <w:tc>
          <w:tcPr>
            <w:tcW w:w="2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4,697</w:t>
            </w: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Preliminary Purchase Price Allocations</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r>
      <w:tr>
        <w:trPr>
          <w:trHeight w:val="246"/>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5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(12,980)</w:t>
            </w:r>
          </w:p>
        </w:tc>
        <w:tc>
          <w:tcPr>
            <w:tcW w:w="24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(44,392)</w:t>
            </w:r>
          </w:p>
        </w:tc>
        <w:tc>
          <w:tcPr>
            <w:tcW w:w="22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(57,372)</w:t>
            </w:r>
          </w:p>
        </w:tc>
      </w:tr>
      <w:tr>
        <w:trPr>
          <w:trHeight w:val="22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273,802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315,889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r>
      <w:tr>
        <w:trPr>
          <w:trHeight w:val="20"/>
        </w:trPr>
        <w:tc>
          <w:tcPr>
            <w:tcW w:w="3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-179070</wp:posOffset>
            </wp:positionV>
            <wp:extent cx="1460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-179070</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Goodwill is recognized net of accumulated impairment losses of $57,372 thousand as of December 31, 2023 and 2022 respectively. Goodwill impairment charges of $- thousand and $57,372 thousand were recognized by the Company during the years ended December 31, 2023 and 2022, respectively.</w:t>
      </w:r>
    </w:p>
    <w:p>
      <w:pPr>
        <w:spacing w:after="0" w:line="174"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evaluated its existing reporting units under the accounting guidance provided in </w:t>
      </w:r>
      <w:r>
        <w:rPr>
          <w:rFonts w:ascii="Times New Roman" w:cs="Times New Roman" w:eastAsia="Times New Roman" w:hAnsi="Times New Roman"/>
          <w:sz w:val="18"/>
          <w:szCs w:val="18"/>
          <w:i w:val="1"/>
          <w:iCs w:val="1"/>
          <w:color w:val="auto"/>
        </w:rPr>
        <w:t>ASC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and determined that the individual components within each respective segment were economically similar and thus, 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those components into two reporting units that align with our reportable segments, was applied. Beginning October 1, 2022, the Company aggregated its components into two reporting units (Retail and Consumer Packaged Goods).</w:t>
      </w:r>
    </w:p>
    <w:p>
      <w:pPr>
        <w:spacing w:after="0" w:line="18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As part of the Company's aggregation of the reporting units that existed prior to October 1, 2022, the accounting guidance required the reporting units be tested for impairment through a Step 1 quantitative analysis. As a result of the goodwill impairment test, the Company recognized an impairment charge of $44,392 thousand associated with its Nevada Consumer Packaged Goods operations and $12,980 thousand associated with its Nevada Retail operations as the carrying values of the reporting units exceeded the estimated fair value by such amounts. No such impairment charges were recorded for the years ended December 31, 2023 or 2021.</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92" w:lineRule="exact"/>
        <w:rPr>
          <w:sz w:val="20"/>
          <w:szCs w:val="20"/>
          <w:color w:val="auto"/>
        </w:rPr>
      </w:pPr>
    </w:p>
    <w:p>
      <w:pPr>
        <w:ind w:left="540" w:hanging="532"/>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held various equity interests in cannabis companies as well as investments in convertible notes that had a combined fair value of $64,361 thousand and $74,169 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investments during the years ended December 31, 2023 and 2022:</w:t>
      </w:r>
    </w:p>
    <w:p>
      <w:pPr>
        <w:spacing w:after="0" w:line="262"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1"/>
        </w:trPr>
        <w:tc>
          <w:tcPr>
            <w:tcW w:w="2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520" w:type="dxa"/>
            <w:vAlign w:val="bottom"/>
            <w:tcBorders>
              <w:bottom w:val="single" w:sz="8" w:color="auto"/>
            </w:tcBorders>
          </w:tcPr>
          <w:p>
            <w:pPr>
              <w:spacing w:after="0"/>
              <w:rPr>
                <w:sz w:val="20"/>
                <w:szCs w:val="20"/>
                <w:color w:val="auto"/>
              </w:rPr>
            </w:pPr>
          </w:p>
        </w:tc>
      </w:tr>
      <w:tr>
        <w:trPr>
          <w:trHeight w:val="23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spacing w:after="0"/>
              <w:rPr>
                <w:sz w:val="20"/>
                <w:szCs w:val="20"/>
                <w:color w:val="auto"/>
              </w:rPr>
            </w:pP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94,902</w:t>
            </w: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r>
      <w:tr>
        <w:trPr>
          <w:trHeight w:val="24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shd w:val="clear" w:color="auto" w:fill="CFF0FC"/>
          </w:tcPr>
          <w:p>
            <w:pPr>
              <w:spacing w:after="0"/>
              <w:rPr>
                <w:sz w:val="21"/>
                <w:szCs w:val="21"/>
                <w:color w:val="auto"/>
              </w:rPr>
            </w:pPr>
          </w:p>
        </w:tc>
        <w:tc>
          <w:tcPr>
            <w:tcW w:w="2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w:t>
            </w:r>
          </w:p>
        </w:tc>
      </w:tr>
      <w:tr>
        <w:trPr>
          <w:trHeight w:val="247"/>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and other</w:t>
            </w:r>
          </w:p>
        </w:tc>
        <w:tc>
          <w:tcPr>
            <w:tcW w:w="1420" w:type="dxa"/>
            <w:vAlign w:val="bottom"/>
            <w:tcBorders>
              <w:bottom w:val="single" w:sz="8" w:color="CFF0FC"/>
            </w:tcBorders>
            <w:shd w:val="clear" w:color="auto" w:fill="CFF0FC"/>
          </w:tcPr>
          <w:p>
            <w:pPr>
              <w:spacing w:after="0"/>
              <w:rPr>
                <w:sz w:val="21"/>
                <w:szCs w:val="21"/>
                <w:color w:val="auto"/>
              </w:rPr>
            </w:pPr>
          </w:p>
        </w:tc>
        <w:tc>
          <w:tcPr>
            <w:tcW w:w="2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64,361</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74,169</w:t>
            </w:r>
          </w:p>
        </w:tc>
      </w:tr>
      <w:tr>
        <w:trPr>
          <w:trHeight w:val="20"/>
        </w:trPr>
        <w:tc>
          <w:tcPr>
            <w:tcW w:w="2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-187960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change in the Company's investments recorded during the years ended December 31, 2023, 2022 and 2021.</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r>
      <w:tr>
        <w:trPr>
          <w:trHeight w:val="241"/>
        </w:trPr>
        <w:tc>
          <w:tcPr>
            <w:tcW w:w="4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6"/>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spacing w:after="0"/>
              <w:rPr>
                <w:sz w:val="20"/>
                <w:szCs w:val="20"/>
                <w:color w:val="auto"/>
              </w:rPr>
            </w:pPr>
          </w:p>
        </w:tc>
      </w:tr>
      <w:tr>
        <w:trPr>
          <w:trHeight w:val="23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of Notes</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fair value (losses) gains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(17,460)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6,377</w:t>
            </w: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1111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137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recorded fair value gains (losses) related to equity and note receivable investments within other income (expense) and accrued interest to interest income on the consolidated statements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Equity Investments</w:t>
      </w:r>
    </w:p>
    <w:p>
      <w:pPr>
        <w:spacing w:after="0" w:line="229"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held equity investments in publicly traded entities which have readily determinable fair values, which are classified as Level 1 investments, of $2,001 thousand and $2,535 thousand, respectively. During the years ended December 31, 2023, 2022 and 2021, the Company received proceeds from the sale of such investments of $198 thousand, $2,488 thousand and $18,417 thousand, respectively. The Company recorded net (losses) gains on the change in fair value of such investments of $(336) thousand, $(15,560) thousand and $828 thousand during the years ended December 31, 2023, 2022 and 2021, respectively, within other income (expense) on the consolidated statement of operations. These investments are classified as trading securities on the Company's consolidated balance sheet.</w:t>
      </w:r>
    </w:p>
    <w:p>
      <w:pPr>
        <w:spacing w:after="0" w:line="187"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held equity investments in privately held entities that did not have readily determinable fair values, which are classified as Level 3 investments, of $25,953 thousand and $40,330 thousand, respectively. There were no sales of these investments during the years ended December 31, 2023, 2022 and 2021. The Company recorded net (losses) gains on the change in fair value of such investments of $(20,377) thousand, $(1,518) thousand and $5,127 thousand during the years ended December 31, 2023, 2022 and 2021, respectively, within other income (expense) on the consolidated statement of operations. These investments are classified as trading securities on the Company's consolidated balance sheet.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(a) Equity Investments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Unrealized gains (losses) recognized on equity investments held during the years ended December 31, 2023, 2022 and 2021 were $(20,660) thousand, $(16,910) thousand, and $6,377 thousand,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Note Receivable Instruments</w:t>
      </w:r>
    </w:p>
    <w:p>
      <w:pPr>
        <w:spacing w:after="0" w:line="22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As of December 31, 2023 and 2022, the Company held note receivable instruments, which were classified as a Level 1 investment as they represent public debt of a publicly traded entity, and had a fair value of $22,214 thousand each year. There were no gains (losses) recognized on these investments during the years ended December 31, 2023 and 2021. During the year ended December 31, 2022, the Company recorded net losses on the change in fair value of such investments of $237 thousand, within other income (expense) on the consolidated statement of operations. There were no proceeds received on these investments during the years ended December 31, 2023 and 2021. During the year ended December 31, 2022, the Company received proceeds from the partial principal repayment of the note receivable of $1,083 thousand. The note receivable instruments had a stated interest rate of 13% and a maturity date of April 29, 2025. These notes did not contain conversion features and are currently classified as trading securities on the Company's consolidated balance sheet.</w:t>
      </w:r>
    </w:p>
    <w:p>
      <w:pPr>
        <w:spacing w:after="0" w:line="192"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As of December 31, 2023 and 2022, the Company held note receivable instruments which were classified as Level 3 investments as they represent loans provided to privately held entities that do not have readily determinable fair values. The note receivable instruments had a combined fair value of $14,193 thousand and $9,090 thousand, respectively, with stated interest ranging between 0.91% - 10% and terms between 15 months to five years. During the years ended December 31, 2023 and 2022, the Company recorded gain (losses) on the change in fair value of such investments of $2,845 thousand and $(5,955) thousand, respectively, within other income (expense). There were no gains (losses) recognized on these investments during the year ended December 31, 2021. The combined fair value amounts include the initial investment cost and combined contractual accrued interest of $408 thousand, $664 thousand and $422 thousand for the years ended December 31, 2023, 2022 and 2021. These notes are classified as trading securities on the Company's consolidated balance sheet.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960" w:hanging="443"/>
        <w:spacing w:after="0"/>
        <w:tabs>
          <w:tab w:leader="none" w:pos="9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processing and cultivation facilities, as well as for corporate office space.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real estate leases and the related fixed non-lease components together as a single component.</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2023, 2022 and 2021 the Company recorded operating lease expense of $48,231 thousand, $43,985 thousand and $34,124 thousand, respectively.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December 31, 2023 and 2022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1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9"/>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18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12.42%</w:t>
            </w: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December 31,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43,633</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44,070</w:t>
            </w:r>
          </w:p>
        </w:tc>
        <w:tc>
          <w:tcPr>
            <w:tcW w:w="0" w:type="dxa"/>
            <w:vAlign w:val="bottom"/>
          </w:tcPr>
          <w:p>
            <w:pPr>
              <w:spacing w:after="0"/>
              <w:rPr>
                <w:sz w:val="1"/>
                <w:szCs w:val="1"/>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41,845</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42,188</w:t>
            </w:r>
          </w:p>
        </w:tc>
        <w:tc>
          <w:tcPr>
            <w:tcW w:w="0" w:type="dxa"/>
            <w:vAlign w:val="bottom"/>
          </w:tcPr>
          <w:p>
            <w:pPr>
              <w:spacing w:after="0"/>
              <w:rPr>
                <w:sz w:val="1"/>
                <w:szCs w:val="1"/>
                <w:color w:val="auto"/>
              </w:rPr>
            </w:pPr>
          </w:p>
        </w:tc>
      </w:tr>
      <w:tr>
        <w:trPr>
          <w:trHeight w:val="175"/>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41,073</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41,423</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41,420</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41,777</w:t>
            </w:r>
          </w:p>
        </w:tc>
        <w:tc>
          <w:tcPr>
            <w:tcW w:w="0" w:type="dxa"/>
            <w:vAlign w:val="bottom"/>
          </w:tcPr>
          <w:p>
            <w:pPr>
              <w:spacing w:after="0"/>
              <w:rPr>
                <w:sz w:val="1"/>
                <w:szCs w:val="1"/>
                <w:color w:val="auto"/>
              </w:rPr>
            </w:pPr>
          </w:p>
        </w:tc>
      </w:tr>
      <w:tr>
        <w:trPr>
          <w:trHeight w:val="175"/>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40,863</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41,227</w:t>
            </w:r>
          </w:p>
        </w:tc>
        <w:tc>
          <w:tcPr>
            <w:tcW w:w="0" w:type="dxa"/>
            <w:vAlign w:val="bottom"/>
          </w:tcPr>
          <w:p>
            <w:pPr>
              <w:spacing w:after="0"/>
              <w:rPr>
                <w:sz w:val="1"/>
                <w:szCs w:val="1"/>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318,590</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2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319,954</w:t>
            </w:r>
          </w:p>
        </w:tc>
        <w:tc>
          <w:tcPr>
            <w:tcW w:w="0" w:type="dxa"/>
            <w:vAlign w:val="bottom"/>
          </w:tcPr>
          <w:p>
            <w:pPr>
              <w:spacing w:after="0"/>
              <w:rPr>
                <w:sz w:val="1"/>
                <w:szCs w:val="1"/>
                <w:color w:val="auto"/>
              </w:rPr>
            </w:pPr>
          </w:p>
        </w:tc>
      </w:tr>
      <w:tr>
        <w:trPr>
          <w:trHeight w:val="16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527,424</w:t>
            </w:r>
          </w:p>
        </w:tc>
        <w:tc>
          <w:tcPr>
            <w:tcW w:w="24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20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530,639</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(267,672)</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(268,878)</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259,752</w:t>
            </w: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261,761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-265430</wp:posOffset>
            </wp:positionV>
            <wp:extent cx="1454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-265430</wp:posOffset>
            </wp:positionV>
            <wp:extent cx="137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454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1454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37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3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ind w:left="960" w:hanging="443"/>
        <w:spacing w:after="0"/>
        <w:tabs>
          <w:tab w:leader="none" w:pos="9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20"/>
        <w:spacing w:after="0" w:line="273" w:lineRule="auto"/>
        <w:rPr>
          <w:sz w:val="20"/>
          <w:szCs w:val="20"/>
          <w:color w:val="auto"/>
        </w:rPr>
      </w:pPr>
      <w:r>
        <w:rPr>
          <w:rFonts w:ascii="Times New Roman" w:cs="Times New Roman" w:eastAsia="Times New Roman" w:hAnsi="Times New Roman"/>
          <w:sz w:val="17"/>
          <w:szCs w:val="17"/>
          <w:color w:val="auto"/>
        </w:rPr>
        <w:t>Wendy Berger, a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Chairman and Chief Executive Officer of the Company (through KP Capital, LLC), and Anthony Georgiadis, the President and a director of the Company (through Three One Four Holdings, LLC). On December 16, 2022, the Company purchased land located at 5401 NW 44th Ave. Ocala, Florida for $5,584 thousand, excluding transaction costs, from Mosaic Real Estate Ocala, LLC. This transaction resulted in the termination of the Florida related party leasing agreement. For the years ended December 31, 2023, 2022 and 2021, the Company recorded lease expense of $553 thousand, $1,129 thousand and $1,185 thousand, respectively, associated with these leasing arrangements.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40" w:hanging="423"/>
        <w:spacing w:after="0"/>
        <w:tabs>
          <w:tab w:leader="none" w:pos="9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Lease Back Transactions</w:t>
      </w:r>
    </w:p>
    <w:p>
      <w:pPr>
        <w:spacing w:after="0" w:line="229" w:lineRule="exact"/>
        <w:rPr>
          <w:sz w:val="20"/>
          <w:szCs w:val="20"/>
          <w:color w:val="auto"/>
        </w:rPr>
      </w:pPr>
    </w:p>
    <w:p>
      <w:pPr>
        <w:ind w:left="740" w:hanging="223"/>
        <w:spacing w:after="0"/>
        <w:tabs>
          <w:tab w:leader="none" w:pos="740" w:val="left"/>
        </w:tabs>
        <w:numPr>
          <w:ilvl w:val="0"/>
          <w:numId w:val="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Danville Cultivation and Processing Facility</w:t>
      </w:r>
    </w:p>
    <w:p>
      <w:pPr>
        <w:spacing w:after="0" w:line="22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On November 12, 2019, the Company closed a sale and lease back transaction to sell its Danville, Pennsylvania cultivation and processing facility to Innovative Industrial Properties, Inc. (“IIP”).</w:t>
      </w:r>
    </w:p>
    <w:p>
      <w:pPr>
        <w:spacing w:after="0" w:line="16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On June 29, 2022 the Company amended (the “Amendment”) its original lease agreement with IIP. The Amendment provided an additional tenant improvement allowance of $55,000 thousand to be used on enhancements to the facility. In addition to the tenant improvement allowance of $19,300 thousand received in November 2019, the total tenant improvement allowance provided by IIP was $74,300 thousand, and brings IIP's total investment in the property to $94,600 thousand. The Amendment to the lease was treated as a modification and resulted in a gain of $3,061 thousand as well as an increase in the right of use asset and related lease liability to $81,720 thousand.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2023 and 2022, notes payable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w:t>
            </w: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Charitable Contributions</w:t>
            </w:r>
            <w:r>
              <w:rPr>
                <w:rFonts w:ascii="Times New Roman" w:cs="Times New Roman" w:eastAsia="Times New Roman" w:hAnsi="Times New Roman"/>
                <w:sz w:val="21"/>
                <w:szCs w:val="21"/>
                <w:color w:val="auto"/>
                <w:vertAlign w:val="superscript"/>
              </w:rPr>
              <w:t>1</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17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221,680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237,795</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3</w:t>
            </w:r>
          </w:p>
        </w:tc>
        <w:tc>
          <w:tcPr>
            <w:tcW w:w="178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86,492</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37,109</w:t>
            </w:r>
          </w:p>
        </w:tc>
        <w:tc>
          <w:tcPr>
            <w:tcW w:w="0" w:type="dxa"/>
            <w:vAlign w:val="bottom"/>
          </w:tcPr>
          <w:p>
            <w:pPr>
              <w:spacing w:after="0"/>
              <w:rPr>
                <w:sz w:val="1"/>
                <w:szCs w:val="1"/>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17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308,523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275,668</w:t>
            </w:r>
          </w:p>
        </w:tc>
        <w:tc>
          <w:tcPr>
            <w:tcW w:w="0" w:type="dxa"/>
            <w:vAlign w:val="bottom"/>
          </w:tcPr>
          <w:p>
            <w:pPr>
              <w:spacing w:after="0"/>
              <w:rPr>
                <w:sz w:val="1"/>
                <w:szCs w:val="1"/>
                <w:color w:val="auto"/>
              </w:rPr>
            </w:pPr>
          </w:p>
        </w:tc>
      </w:tr>
      <w:tr>
        <w:trPr>
          <w:trHeight w:val="232"/>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1780" w:type="dxa"/>
            <w:vAlign w:val="bottom"/>
            <w:tcBorders>
              <w:bottom w:val="single" w:sz="8" w:color="CFF0FC"/>
            </w:tcBorders>
            <w:shd w:val="clear" w:color="auto" w:fill="CFF0FC"/>
          </w:tcPr>
          <w:p>
            <w:pPr>
              <w:spacing w:after="0"/>
              <w:rPr>
                <w:sz w:val="20"/>
                <w:szCs w:val="20"/>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305,527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274,631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color w:val="auto"/>
              </w:rPr>
              <w:t>____________________</w:t>
            </w:r>
          </w:p>
        </w:tc>
        <w:tc>
          <w:tcPr>
            <w:tcW w:w="17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60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-560070</wp:posOffset>
            </wp:positionV>
            <wp:extent cx="137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-259715</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 w:lineRule="exact"/>
        <w:rPr>
          <w:sz w:val="20"/>
          <w:szCs w:val="20"/>
          <w:color w:val="auto"/>
        </w:rPr>
      </w:pPr>
    </w:p>
    <w:p>
      <w:pPr>
        <w:ind w:left="1020" w:right="120" w:firstLine="6"/>
        <w:spacing w:after="0" w:line="237" w:lineRule="auto"/>
        <w:tabs>
          <w:tab w:leader="none" w:pos="1115" w:val="left"/>
        </w:tabs>
        <w:numPr>
          <w:ilvl w:val="0"/>
          <w:numId w:val="91"/>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committed to provide quarterly charitable contributions of $50 thousand through October 2024 and $250 thousand per year through May 2024, respectively. The net present value of these payments has been recorded as a liability with interest rates ranging between 2.17% - 7.00%.</w:t>
      </w:r>
    </w:p>
    <w:p>
      <w:pPr>
        <w:spacing w:after="0" w:line="210" w:lineRule="exact"/>
        <w:rPr>
          <w:sz w:val="20"/>
          <w:szCs w:val="20"/>
          <w:color w:val="auto"/>
        </w:rPr>
      </w:pPr>
    </w:p>
    <w:p>
      <w:pPr>
        <w:jc w:val="both"/>
        <w:ind w:left="1020" w:right="60" w:firstLine="6"/>
        <w:spacing w:after="0" w:line="244" w:lineRule="auto"/>
        <w:tabs>
          <w:tab w:leader="none" w:pos="1115" w:val="left"/>
        </w:tabs>
        <w:numPr>
          <w:ilvl w:val="0"/>
          <w:numId w:val="92"/>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as amended on October 21, 2021 (the “April 30, 2021 Notes”) were issued in an aggregate amount of $249,934 thousand with an interest rate of 7%, maturing on April 30, 2025. The outstanding principal balance of the April 30, 2021 Notes was $224,435 thousand and $249,934 thousand, and are recorded net of debt discount, the carrying value of which was $2,755 thousand and $12,139 thousand, as of December 31, 2023 and 2022, respectively.</w:t>
      </w:r>
    </w:p>
    <w:p>
      <w:pPr>
        <w:spacing w:after="0" w:line="208" w:lineRule="exact"/>
        <w:rPr>
          <w:sz w:val="20"/>
          <w:szCs w:val="20"/>
          <w:color w:val="auto"/>
        </w:rPr>
      </w:pPr>
    </w:p>
    <w:p>
      <w:pPr>
        <w:ind w:left="1020" w:right="240" w:firstLine="6"/>
        <w:spacing w:after="0" w:line="244" w:lineRule="auto"/>
        <w:tabs>
          <w:tab w:leader="none" w:pos="1115" w:val="left"/>
        </w:tabs>
        <w:numPr>
          <w:ilvl w:val="0"/>
          <w:numId w:val="93"/>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Company has issued various mortgage notes at an aggregate value of $88,785 thousand and $38,292 thousand in connection with various operating properties as of December 31, 2023 and 2022, respectively. The mortgage notes were issued at a discount, the carrying value of which was $725 thousand and $437 thousand, and are presented net of principal payments of $1,568 thousand and $746 thousand as of December 31, 2023 and 2022, respectively.These mortgage notes mature between August 20, 2025 and June 5, 2035 with interest rates ranging between 5.00% and 7.77%.</w:t>
      </w:r>
    </w:p>
    <w:p>
      <w:pPr>
        <w:spacing w:after="0" w:line="190"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Annual maturities of debt related to mortgage notes for the five fiscal years subsequent to December 31, 2023 are: 2024 - $2,643 thousand; 2025 - $4,268 thousand; 2026 - $3,012 thousand; 2027 - $3,241 thousand; and 2028 - $15,197 thousand.</w:t>
      </w:r>
    </w:p>
    <w:p>
      <w:pPr>
        <w:spacing w:after="0" w:line="252"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April 30, 2021 Private Placement Financing</w:t>
      </w:r>
    </w:p>
    <w:p>
      <w:pPr>
        <w:spacing w:after="0" w:line="229"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On April 30, 2021, the Company closed a $249,934 thousand senior secured non-brokered private placement financing through the issuance of senior secured notes (the “April 30, 2021 Notes”). The Company used the proceeds to retire the Company’s existing $105,466 thousand, senior secured notes due May 22, 2023 (the “May 22, 2019 Notes”) and the remaining proceeds for general working capital purposes as well as various growth initiatives. The April 30, 2021 Notes originally had a maturity date of April 30, 2024 and bore interest from the date of issue of 7.00% per annum, payable quarterly. The purchasers of the April 30, 2021 Notes also received 1,459,044 warrants (the “Warrants”), which allow the holder to purchase one Subordinate Voting Share at an exercise price of $32.68 per share, for a period of 60 months from the date of issuance.</w:t>
      </w:r>
    </w:p>
    <w:p>
      <w:pPr>
        <w:spacing w:after="0" w:line="187"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On October 15, 2021, the Company amended its existing Note Purchase Agreement with the Second Amended Note Purchase Agreement dated April 30, 2021 (the “April 30, 2021 Note Purchase Agreement”), for the purposes of borrowing an additional $33,200 thousand, as permitted under the April 30, 2021 Notes Purchase Agreement (issued as “Amended Notes”). The additional borrowings had terms consistent with the April 30, 2021 Notes and increased the total amount borrowed to $249,934 thousand. The Company used the additional proceeds for general working capital purposes as well as various growth initiatives. The purchasers of the Amended Notes received an additional 243,303 warrants which allow the holder to purchase one Subordinate Voting Share at an exercise price of $30.02 per share, for a period of 60 months from the date of issue.</w:t>
      </w:r>
    </w:p>
    <w:p>
      <w:pPr>
        <w:spacing w:after="0" w:line="187"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April 30, 2021 Note Purchase Agreement included certain covenants which require the Company to maintain (on a daily basis) unrestricted cash and cash equivalents in an amount greater than or equal to the amount of interest scheduled to become due in the next 365-days and to not permit the ratio of net debt to stockholders’ equity to exceed 0.6 to 1.0 as of the last day of any quarter. In addition, the Company is required to maintain a debt to EBITDA ratio of 4.5 to 1.0 as of the last day of each quarter. As of December 31, 2023 and 2022, the Company was in compliance with all covenants.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April 30, 2021 Private Placement Financing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520" w:right="140"/>
        <w:spacing w:after="0" w:line="312" w:lineRule="auto"/>
        <w:rPr>
          <w:sz w:val="20"/>
          <w:szCs w:val="20"/>
          <w:color w:val="auto"/>
        </w:rPr>
      </w:pPr>
      <w:r>
        <w:rPr>
          <w:rFonts w:ascii="Times New Roman" w:cs="Times New Roman" w:eastAsia="Times New Roman" w:hAnsi="Times New Roman"/>
          <w:sz w:val="17"/>
          <w:szCs w:val="17"/>
          <w:color w:val="auto"/>
        </w:rPr>
        <w:t>On July 14, 2022, the Company exercised its right to extend the maturity date of the Notes by one year from April 30, 2024 to April 30, 2025. The extension to the maturity date did not involve any amendment to the April 30, 2021 Notes or any additional consideration to the existing lenders.</w:t>
      </w:r>
    </w:p>
    <w:p>
      <w:pPr>
        <w:spacing w:after="0" w:line="140" w:lineRule="exact"/>
        <w:rPr>
          <w:sz w:val="20"/>
          <w:szCs w:val="20"/>
          <w:color w:val="auto"/>
        </w:rPr>
      </w:pPr>
    </w:p>
    <w:p>
      <w:pPr>
        <w:jc w:val="both"/>
        <w:ind w:left="520" w:right="200"/>
        <w:spacing w:after="0" w:line="266" w:lineRule="auto"/>
        <w:rPr>
          <w:sz w:val="20"/>
          <w:szCs w:val="20"/>
          <w:color w:val="auto"/>
        </w:rPr>
      </w:pPr>
      <w:r>
        <w:rPr>
          <w:rFonts w:ascii="Times New Roman" w:cs="Times New Roman" w:eastAsia="Times New Roman" w:hAnsi="Times New Roman"/>
          <w:sz w:val="18"/>
          <w:szCs w:val="18"/>
          <w:color w:val="auto"/>
        </w:rPr>
        <w:t>From October 19, 2023 through November 30, 2023, the Company repurchased $25,500 thousand of the April 30, 2021 Notes held by unrelated third-party lenders at 95% of their original value. In connection with the repurchase, the Company also wrote-off $350 thousand of the associated unamortized debt discount.</w:t>
      </w:r>
    </w:p>
    <w:p>
      <w:pPr>
        <w:spacing w:after="0" w:line="176"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A portion of the April 30, 2021 Notes are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Anthony Georgiadis, the President and a director of the Company (held through Three One Four Holdings, LLC); and Anthony Georgiadis and William Gruver, a former director of the Company (held through ABG, LLC).</w:t>
      </w:r>
    </w:p>
    <w:p>
      <w:pPr>
        <w:spacing w:after="0" w:line="287"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Low Moor, Virginia Mortgage Note</w:t>
      </w:r>
    </w:p>
    <w:p>
      <w:pPr>
        <w:spacing w:after="0" w:line="229" w:lineRule="exact"/>
        <w:rPr>
          <w:sz w:val="20"/>
          <w:szCs w:val="20"/>
          <w:color w:val="auto"/>
        </w:rPr>
      </w:pPr>
    </w:p>
    <w:p>
      <w:pPr>
        <w:ind w:left="520" w:right="360"/>
        <w:spacing w:after="0" w:line="261" w:lineRule="auto"/>
        <w:rPr>
          <w:sz w:val="20"/>
          <w:szCs w:val="20"/>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CPG facility at Low Moor, Virginia in an amount up to $31,000 thousand.</w:t>
      </w:r>
    </w:p>
    <w:p>
      <w:pPr>
        <w:ind w:left="520"/>
        <w:spacing w:after="0" w:line="255" w:lineRule="auto"/>
        <w:rPr>
          <w:sz w:val="20"/>
          <w:szCs w:val="20"/>
          <w:color w:val="auto"/>
        </w:rPr>
      </w:pPr>
      <w:r>
        <w:rPr>
          <w:rFonts w:ascii="Times New Roman" w:cs="Times New Roman" w:eastAsia="Times New Roman" w:hAnsi="Times New Roman"/>
          <w:sz w:val="18"/>
          <w:szCs w:val="18"/>
          <w:color w:val="auto"/>
        </w:rPr>
        <w:t>On October 23, 2023, the Construction Loan converted into a $30,998 thousand mortgage note bearing interest of 7.75% per annum, with a maturity date of October 1, 2034. The mortgage includes certain covenants requiring the Company to maintain certain financial ratios related to its ability to service the debt. As of December 31, 2023, the Company was in compliance with all covenants associated with the mortgage.</w:t>
      </w:r>
    </w:p>
    <w:p>
      <w:pPr>
        <w:spacing w:after="0" w:line="290" w:lineRule="exact"/>
        <w:rPr>
          <w:sz w:val="20"/>
          <w:szCs w:val="20"/>
          <w:color w:val="auto"/>
        </w:rPr>
      </w:pPr>
    </w:p>
    <w:p>
      <w:pPr>
        <w:ind w:left="1660" w:hanging="1143"/>
        <w:spacing w:after="0"/>
        <w:tabs>
          <w:tab w:leader="none" w:pos="1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Ocala, Florida Mortgage Note</w:t>
      </w:r>
    </w:p>
    <w:p>
      <w:pPr>
        <w:spacing w:after="0" w:line="229"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On December 7, 2023, the Company closed on a $15,000 thousand mortgage note associated with its Ocala, Florida CPG facility bearing an interest rate of 7.45% per annum, with a maturity date of December 31, 2028. The interest rate on the mortgage is subject to a compensating balance threshold, which, if the Company falls below such threshold, the lender may increase the interest rate of the mortgage to 9.45% per annum. In addition, the mortgage includes various covenants requiring the Company to maintain certain financial ratios related to its ability to service the debt. As of December 31, 2023, the Company was in compliance with all covenants associated with the mortgage.</w:t>
      </w:r>
    </w:p>
    <w:p>
      <w:pPr>
        <w:spacing w:after="0" w:line="287" w:lineRule="exact"/>
        <w:rPr>
          <w:sz w:val="20"/>
          <w:szCs w:val="20"/>
          <w:color w:val="auto"/>
        </w:rPr>
      </w:pPr>
    </w:p>
    <w:p>
      <w:pPr>
        <w:ind w:left="1080" w:hanging="563"/>
        <w:spacing w:after="0"/>
        <w:tabs>
          <w:tab w:leader="none" w:pos="10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Cottage Grove, Minnesota Mortgage Note</w:t>
      </w:r>
    </w:p>
    <w:p>
      <w:pPr>
        <w:spacing w:after="0" w:line="229" w:lineRule="exact"/>
        <w:rPr>
          <w:sz w:val="20"/>
          <w:szCs w:val="20"/>
          <w:color w:val="auto"/>
        </w:rPr>
      </w:pPr>
    </w:p>
    <w:p>
      <w:pPr>
        <w:ind w:left="520" w:right="280"/>
        <w:spacing w:after="0" w:line="261" w:lineRule="auto"/>
        <w:rPr>
          <w:sz w:val="20"/>
          <w:szCs w:val="20"/>
          <w:color w:val="auto"/>
        </w:rPr>
      </w:pPr>
      <w:r>
        <w:rPr>
          <w:rFonts w:ascii="Times New Roman" w:cs="Times New Roman" w:eastAsia="Times New Roman" w:hAnsi="Times New Roman"/>
          <w:sz w:val="18"/>
          <w:szCs w:val="18"/>
          <w:color w:val="auto"/>
        </w:rPr>
        <w:t>On December 14, 2023, the Company closed on a $17,000 thousand mortgage note associated with its Cottage Grove CPG facility bearing an interest rate of 7.75% per annum, with a maturity date of January 1, 2029. The mortgage includes a covenant requiring the Company to maintain certain financial ratios related to its ability to service the debt. As of December 31, 2023, the Company was in compliance with all covenants associated with the mortgage.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part of the Company’s private placement financing,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December 31, 2023 and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2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25"/>
        </w:trPr>
        <w:tc>
          <w:tcPr>
            <w:tcW w:w="27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(C$)</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(USD)</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100" w:type="dxa"/>
            <w:vAlign w:val="bottom"/>
          </w:tcPr>
          <w:p>
            <w:pPr>
              <w:spacing w:after="0"/>
              <w:rPr>
                <w:sz w:val="19"/>
                <w:szCs w:val="19"/>
                <w:color w:val="auto"/>
              </w:rPr>
            </w:pPr>
          </w:p>
        </w:tc>
      </w:tr>
      <w:tr>
        <w:trPr>
          <w:trHeight w:val="230"/>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1,997,208</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FF0FC"/>
          </w:tcPr>
          <w:p>
            <w:pPr>
              <w:spacing w:after="0"/>
              <w:rPr>
                <w:sz w:val="19"/>
                <w:szCs w:val="19"/>
                <w:color w:val="auto"/>
              </w:rPr>
            </w:pP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1,997,208</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-174625</wp:posOffset>
            </wp:positionV>
            <wp:extent cx="102235" cy="1879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-174625</wp:posOffset>
            </wp:positionV>
            <wp:extent cx="93980" cy="1879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-174625</wp:posOffset>
            </wp:positionV>
            <wp:extent cx="93980" cy="1879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-174625</wp:posOffset>
            </wp:positionV>
            <wp:extent cx="93980" cy="1879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-174625</wp:posOffset>
            </wp:positionV>
            <wp:extent cx="93980" cy="1879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-174625</wp:posOffset>
            </wp:positionV>
            <wp:extent cx="93980" cy="1879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201"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certain instances, the Company issued warrants with an exercise price denominated in Canadian dollars whereas the Company’s functional currency is USD. As a result, upon issuance and at each reporting date, the Company is required to classify such warrants as a liability and remeasures the fair value of the warrants using a Monte Carlo Simulation model.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December 31, 2023 and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28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312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Placement Financing Warrants Issued</w:t>
            </w: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2019</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C$19.39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(1,452 )</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C$12.04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Modification Warrants Issued May</w:t>
            </w:r>
          </w:p>
        </w:tc>
        <w:tc>
          <w:tcPr>
            <w:tcW w:w="16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C$14.03</w:t>
            </w:r>
          </w:p>
        </w:tc>
        <w:tc>
          <w:tcPr>
            <w:tcW w:w="280" w:type="dxa"/>
            <w:vAlign w:val="bottom"/>
            <w:vMerge w:val="restart"/>
            <w:shd w:val="clear" w:color="auto" w:fill="CFF0FC"/>
          </w:tcPr>
          <w:p>
            <w:pPr>
              <w:spacing w:after="0"/>
              <w:rPr>
                <w:sz w:val="18"/>
                <w:szCs w:val="18"/>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62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vMerge w:val="continue"/>
            <w:shd w:val="clear" w:color="auto" w:fill="CFF0FC"/>
          </w:tcPr>
          <w:p>
            <w:pPr>
              <w:spacing w:after="0"/>
              <w:rPr>
                <w:sz w:val="18"/>
                <w:szCs w:val="18"/>
                <w:color w:val="auto"/>
              </w:rPr>
            </w:pPr>
          </w:p>
        </w:tc>
        <w:tc>
          <w:tcPr>
            <w:tcW w:w="14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6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1,997,208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4,520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(1,403 )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-179070</wp:posOffset>
            </wp:positionV>
            <wp:extent cx="1885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-179070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-179070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gains of $1,403 thousand, $20,357 thousand, and $14,577 thousand, respectively, on the change in the fair value of the warrant liability within other income (expense) on the consolidated statements of operations. As of December 31, 2023, the warrant liability was classified as a current liability and recorded within accrued liabilities on the consolidated balance sheets.</w:t>
      </w:r>
    </w:p>
    <w:p>
      <w:pPr>
        <w:spacing w:after="0" w:line="17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The following table summarizes the significant assumptions used in determining the fair value of the warrant liability as of each reporting date (see Note 14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Fair Value Measurements for additional details):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22"/>
                <w:szCs w:val="22"/>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61.76% - 74.31%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- 78.21%</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0.39-1.39 years</w:t>
            </w:r>
          </w:p>
        </w:tc>
        <w:tc>
          <w:tcPr>
            <w:tcW w:w="100" w:type="dxa"/>
            <w:vAlign w:val="bottom"/>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1.39 - 2.39 years</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3.91%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- 4.07%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Classified Warrants Outstanding</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certain instances, the Company issued warrants with an exercise price denominated in USD and, consequently, classified such warrants as equity. Equity classified warrants are recorded at fair value at each respective date of issuance and not remeasured on a recurring basis. Such warrants are carried at their issuance date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Company's equity classified warrants at December 31, 2023 and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Issuance Date Fair Value</w:t>
            </w:r>
          </w:p>
        </w:tc>
      </w:tr>
      <w:tr>
        <w:trPr>
          <w:trHeight w:val="212"/>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r>
      <w:tr>
        <w:trPr>
          <w:trHeight w:val="24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14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21"/>
                <w:szCs w:val="21"/>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1"/>
                <w:szCs w:val="21"/>
                <w:color w:val="auto"/>
              </w:rPr>
            </w:pPr>
          </w:p>
        </w:tc>
      </w:tr>
      <w:tr>
        <w:trPr>
          <w:trHeight w:val="219"/>
        </w:trPr>
        <w:tc>
          <w:tcPr>
            <w:tcW w:w="5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w:t>
            </w:r>
          </w:p>
        </w:tc>
        <w:tc>
          <w:tcPr>
            <w:tcW w:w="10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FF0FC"/>
          </w:tcPr>
          <w:p>
            <w:pPr>
              <w:spacing w:after="0"/>
              <w:rPr>
                <w:sz w:val="19"/>
                <w:szCs w:val="19"/>
                <w:color w:val="auto"/>
              </w:rPr>
            </w:pPr>
          </w:p>
        </w:tc>
      </w:tr>
      <w:tr>
        <w:trPr>
          <w:trHeight w:val="22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9"/>
                <w:szCs w:val="19"/>
                <w:color w:val="auto"/>
              </w:rPr>
            </w:pPr>
          </w:p>
        </w:tc>
      </w:tr>
      <w:tr>
        <w:trPr>
          <w:trHeight w:val="233"/>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-179705</wp:posOffset>
            </wp:positionV>
            <wp:extent cx="768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-179705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-179705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equity classified warrants were valued as of the date of issuance using a Black Scholes Option Pricing model. The following table summarizes the significant assumptions used in determining the fair value of the equity classified warrants as of each respective issuance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0" w:type="dxa"/>
            <w:vAlign w:val="bottom"/>
          </w:tcPr>
          <w:p>
            <w:pPr>
              <w:spacing w:after="0"/>
              <w:rPr>
                <w:sz w:val="17"/>
                <w:szCs w:val="17"/>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560" w:type="dxa"/>
            <w:vAlign w:val="bottom"/>
          </w:tcPr>
          <w:p>
            <w:pPr>
              <w:spacing w:after="0"/>
              <w:rPr>
                <w:sz w:val="17"/>
                <w:szCs w:val="17"/>
                <w:color w:val="auto"/>
              </w:rPr>
            </w:pPr>
          </w:p>
        </w:tc>
      </w:t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Mortgage Warrants</w:t>
            </w: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Issuance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15, 2021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2020</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73%</w:t>
            </w:r>
          </w:p>
        </w:tc>
        <w:tc>
          <w:tcPr>
            <w:tcW w:w="174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73%</w:t>
            </w:r>
          </w:p>
        </w:tc>
        <w:tc>
          <w:tcPr>
            <w:tcW w:w="15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Term</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174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1.12%</w:t>
            </w:r>
          </w:p>
        </w:tc>
        <w:tc>
          <w:tcPr>
            <w:tcW w:w="1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0.74%</w:t>
            </w:r>
          </w:p>
        </w:tc>
        <w:tc>
          <w:tcPr>
            <w:tcW w:w="15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113" w:lineRule="exact"/>
        <w:rPr>
          <w:sz w:val="20"/>
          <w:szCs w:val="20"/>
          <w:color w:val="auto"/>
        </w:rPr>
      </w:pPr>
    </w:p>
    <w:p>
      <w:pPr>
        <w:ind w:left="1540" w:hanging="484"/>
        <w:spacing w:after="0"/>
        <w:tabs>
          <w:tab w:leader="none" w:pos="1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900" w:right="40"/>
        <w:spacing w:after="0" w:line="281" w:lineRule="auto"/>
        <w:rPr>
          <w:sz w:val="20"/>
          <w:szCs w:val="20"/>
          <w:color w:val="auto"/>
        </w:rPr>
      </w:pPr>
      <w:r>
        <w:rPr>
          <w:rFonts w:ascii="Times New Roman" w:cs="Times New Roman" w:eastAsia="Times New Roman" w:hAnsi="Times New Roman"/>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year ended December 31, 2023, the shareholders of the Company converted 35,000 Multiple Voting Shares into 3,500,000 Subordinate Voting Shares.</w:t>
      </w:r>
    </w:p>
    <w:p>
      <w:pPr>
        <w:spacing w:after="0" w:line="52" w:lineRule="exact"/>
        <w:rPr>
          <w:sz w:val="20"/>
          <w:szCs w:val="20"/>
          <w:color w:val="auto"/>
        </w:rPr>
      </w:pPr>
    </w:p>
    <w:p>
      <w:pPr>
        <w:ind w:left="1540" w:hanging="484"/>
        <w:spacing w:after="0"/>
        <w:tabs>
          <w:tab w:leader="none" w:pos="1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Multiple Voting Shares</w:t>
      </w:r>
    </w:p>
    <w:p>
      <w:pPr>
        <w:spacing w:after="0" w:line="121"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At December 31, 2023, the Company had 38,531 issued and outstanding Multiple Voting Shares, which convert into 3,853,100 Subordinate Voting Shares. The Company is authorized to issue an unlimited number of Multiple Voting Shares. During the year ended December 31, 2023, the shareholders of the Company converted 35,000 Super Voting Shares into 35,000 Multiple Voting Shares and 35,000 Multiple Voting Shares into 3,500,000 Subordinate Voting Shares.</w:t>
      </w:r>
    </w:p>
    <w:p>
      <w:pPr>
        <w:spacing w:after="0" w:line="71" w:lineRule="exact"/>
        <w:rPr>
          <w:sz w:val="20"/>
          <w:szCs w:val="20"/>
          <w:color w:val="auto"/>
        </w:rPr>
      </w:pPr>
    </w:p>
    <w:p>
      <w:pPr>
        <w:ind w:left="1540" w:hanging="484"/>
        <w:spacing w:after="0"/>
        <w:tabs>
          <w:tab w:leader="none" w:pos="1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 Voting Shares</w:t>
      </w:r>
    </w:p>
    <w:p>
      <w:pPr>
        <w:spacing w:after="0" w:line="121" w:lineRule="exact"/>
        <w:rPr>
          <w:sz w:val="20"/>
          <w:szCs w:val="20"/>
          <w:color w:val="auto"/>
        </w:rPr>
      </w:pPr>
    </w:p>
    <w:p>
      <w:pPr>
        <w:ind w:left="900" w:right="140"/>
        <w:spacing w:after="0" w:line="258"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one Multiple Voting Share, which is then convertible into 100 Subordinate Voting Shares. At December 31, 2023, the Company had 216,690 issued and outstanding Super Voting Shares which convert into 21,669,000 Subordinate Voting Shares. The Company is authorized to issue an unlimited number of Super Voting Shares. During the year ended December 31, 2023, the shareholders of the Company converted 35,000 Super Voting Shares into 35,000 Multiple Voting Shares.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960" w:hanging="443"/>
        <w:spacing w:after="0"/>
        <w:tabs>
          <w:tab w:leader="none" w:pos="9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31"/>
        </w:trPr>
        <w:tc>
          <w:tcPr>
            <w:tcW w:w="6200" w:type="dxa"/>
            <w:vAlign w:val="bottom"/>
          </w:tcPr>
          <w:p>
            <w:pPr>
              <w:spacing w:after="0"/>
              <w:rPr>
                <w:sz w:val="11"/>
                <w:szCs w:val="11"/>
                <w:color w:val="auto"/>
              </w:rPr>
            </w:pPr>
          </w:p>
        </w:tc>
        <w:tc>
          <w:tcPr>
            <w:tcW w:w="1580" w:type="dxa"/>
            <w:vAlign w:val="bottom"/>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Subordinate</w:t>
            </w:r>
          </w:p>
        </w:tc>
        <w:tc>
          <w:tcPr>
            <w:tcW w:w="18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160" w:type="dxa"/>
            <w:vAlign w:val="bottom"/>
          </w:tcPr>
          <w:p>
            <w:pPr>
              <w:spacing w:after="0"/>
              <w:rPr>
                <w:sz w:val="11"/>
                <w:szCs w:val="11"/>
                <w:color w:val="auto"/>
              </w:rPr>
            </w:pPr>
          </w:p>
        </w:tc>
        <w:tc>
          <w:tcPr>
            <w:tcW w:w="1560" w:type="dxa"/>
            <w:vAlign w:val="bottom"/>
          </w:tcPr>
          <w:p>
            <w:pPr>
              <w:jc w:val="right"/>
              <w:ind w:right="512"/>
              <w:spacing w:after="0" w:line="131" w:lineRule="exact"/>
              <w:rPr>
                <w:sz w:val="20"/>
                <w:szCs w:val="20"/>
                <w:color w:val="auto"/>
              </w:rPr>
            </w:pPr>
            <w:r>
              <w:rPr>
                <w:rFonts w:ascii="Times New Roman" w:cs="Times New Roman" w:eastAsia="Times New Roman" w:hAnsi="Times New Roman"/>
                <w:sz w:val="14"/>
                <w:szCs w:val="14"/>
                <w:b w:val="1"/>
                <w:bCs w:val="1"/>
                <w:color w:val="auto"/>
              </w:rPr>
              <w:t>Super</w:t>
            </w:r>
          </w:p>
        </w:tc>
      </w:tr>
      <w:tr>
        <w:trPr>
          <w:trHeight w:val="148"/>
        </w:trPr>
        <w:tc>
          <w:tcPr>
            <w:tcW w:w="6200" w:type="dxa"/>
            <w:vAlign w:val="bottom"/>
          </w:tcPr>
          <w:p>
            <w:pPr>
              <w:spacing w:after="0"/>
              <w:rPr>
                <w:sz w:val="12"/>
                <w:szCs w:val="12"/>
                <w:color w:val="auto"/>
              </w:rPr>
            </w:pPr>
          </w:p>
        </w:tc>
        <w:tc>
          <w:tcPr>
            <w:tcW w:w="1580" w:type="dxa"/>
            <w:vAlign w:val="bottom"/>
          </w:tcPr>
          <w:p>
            <w:pPr>
              <w:jc w:val="right"/>
              <w:ind w:right="51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60" w:type="dxa"/>
            <w:vAlign w:val="bottom"/>
          </w:tcPr>
          <w:p>
            <w:pPr>
              <w:spacing w:after="0"/>
              <w:rPr>
                <w:sz w:val="12"/>
                <w:szCs w:val="12"/>
                <w:color w:val="auto"/>
              </w:rPr>
            </w:pPr>
          </w:p>
        </w:tc>
        <w:tc>
          <w:tcPr>
            <w:tcW w:w="156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r>
      <w:tr>
        <w:trPr>
          <w:trHeight w:val="187"/>
        </w:trPr>
        <w:tc>
          <w:tcPr>
            <w:tcW w:w="6200" w:type="dxa"/>
            <w:vAlign w:val="bottom"/>
          </w:tcPr>
          <w:p>
            <w:pPr>
              <w:spacing w:after="0"/>
              <w:rPr>
                <w:sz w:val="16"/>
                <w:szCs w:val="16"/>
                <w:color w:val="auto"/>
              </w:rPr>
            </w:pPr>
          </w:p>
        </w:tc>
        <w:tc>
          <w:tcPr>
            <w:tcW w:w="15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178,113,221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312,031</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12,904,675</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881,357</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222,467</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S-1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4,693,991</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for redemption of noncontrolling interests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136,075</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1,302,682</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389,530</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in association with notes payable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dispute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2,875,800</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201,768,312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285,031</w:t>
            </w:r>
          </w:p>
        </w:tc>
      </w:tr>
      <w:tr>
        <w:trPr>
          <w:trHeight w:val="20"/>
        </w:trPr>
        <w:tc>
          <w:tcPr>
            <w:tcW w:w="6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201,768,312</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285,031</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441,454</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433,341</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142,952</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3,334,100</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w:t>
            </w: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206,991,275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251,690</w:t>
            </w:r>
          </w:p>
        </w:tc>
      </w:tr>
      <w:tr>
        <w:trPr>
          <w:trHeight w:val="20"/>
        </w:trPr>
        <w:tc>
          <w:tcPr>
            <w:tcW w:w="6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206,991,275</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251,690</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1,614,871</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680,089</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477,545</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451,138</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(3,843,126)</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209,871,792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216,690</w:t>
            </w:r>
          </w:p>
        </w:tc>
      </w:tr>
      <w:tr>
        <w:trPr>
          <w:trHeight w:val="20"/>
        </w:trPr>
        <w:tc>
          <w:tcPr>
            <w:tcW w:w="6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-3034030</wp:posOffset>
            </wp:positionV>
            <wp:extent cx="1200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-3034030</wp:posOffset>
            </wp:positionV>
            <wp:extent cx="1111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-1610995</wp:posOffset>
            </wp:positionV>
            <wp:extent cx="1200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-1610995</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-187960</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ind w:left="1800" w:hanging="744"/>
        <w:spacing w:after="0"/>
        <w:tabs>
          <w:tab w:leader="none" w:pos="180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Issuance of Shares Under Business Combinations and Investments</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ILDISP, LLC</w:t>
      </w:r>
    </w:p>
    <w:p>
      <w:pPr>
        <w:spacing w:after="0" w:line="119" w:lineRule="exact"/>
        <w:rPr>
          <w:sz w:val="20"/>
          <w:szCs w:val="20"/>
          <w:color w:val="auto"/>
        </w:rPr>
      </w:pPr>
    </w:p>
    <w:p>
      <w:pPr>
        <w:ind w:left="900" w:right="360"/>
        <w:spacing w:after="0" w:line="257" w:lineRule="auto"/>
        <w:rPr>
          <w:sz w:val="20"/>
          <w:szCs w:val="20"/>
          <w:color w:val="auto"/>
        </w:rPr>
      </w:pPr>
      <w:r>
        <w:rPr>
          <w:rFonts w:ascii="Times New Roman" w:cs="Times New Roman" w:eastAsia="Times New Roman" w:hAnsi="Times New Roman"/>
          <w:sz w:val="18"/>
          <w:szCs w:val="18"/>
          <w:color w:val="auto"/>
        </w:rPr>
        <w:t>On March 1, 2022, the Company issued 204,036 Subordinate Voting Shares with a value of approximately $3,785 thousand, based on a 20 consecutive day volume weighted average price (“VWAP</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in connection with the Company's acquisition of the remaining ownership interests in two Illinois-based retail stores. The shares issued resulted in an increase in the Company's share capital and a corresponding increase in the net assets acquired.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60" w:hanging="443"/>
        <w:spacing w:after="0"/>
        <w:tabs>
          <w:tab w:leader="none" w:pos="96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360" w:hanging="499"/>
        <w:spacing w:after="0"/>
        <w:tabs>
          <w:tab w:leader="none" w:pos="136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Distribution of Contingent Consideration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Integral Associates, LLC</w:t>
      </w:r>
    </w:p>
    <w:p>
      <w:pPr>
        <w:spacing w:after="0" w:line="119" w:lineRule="exact"/>
        <w:rPr>
          <w:sz w:val="20"/>
          <w:szCs w:val="20"/>
          <w:color w:val="auto"/>
        </w:rPr>
      </w:pPr>
    </w:p>
    <w:p>
      <w:pPr>
        <w:ind w:left="860"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2019 acquisition of Integral Associates, LLC, the purchase agreement included contingent consideration which was dependent upon the awarding of conditional and final dispensary operating licenses (“License Milestones”). During the year ended December 31, 2021, the Company issued a total of 681,364 Subordinate Voting Shares to the former owners of Integral Associates, LLC in connection with the awarding of two License Milestones. The shares had a combined fair value of $17,869 thousand, which was recorded in share capital on the consolidated balance sheet. As of December 31, 2023, any remaining License Milestones had expired.</w:t>
      </w:r>
    </w:p>
    <w:p>
      <w:pPr>
        <w:spacing w:after="0" w:line="2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Dharma Pharmaceuticals, LLC</w:t>
      </w:r>
    </w:p>
    <w:p>
      <w:pPr>
        <w:spacing w:after="0" w:line="227"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of up to $65,000 thousand in Subordinate Voting Shares of Green Thumb, which was dependent upon 1) the successful opening of five retail stores in the Virginia area within the first three years of following the signing of the agreement and 2) the legal sale of adult-use cannabis in a retail store on or before January 1, 2025 (the “Recreational Sales Milestone”).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provides an overview of store count, share quantities, and the fair value of shares at the issuance date: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Dharma Pharmaceuticals, LLC</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issuance</w:t>
            </w:r>
          </w:p>
        </w:tc>
        <w:tc>
          <w:tcPr>
            <w:tcW w:w="1800" w:type="dxa"/>
            <w:vAlign w:val="bottom"/>
            <w:tcBorders>
              <w:top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 of stores opened</w:t>
            </w:r>
          </w:p>
        </w:tc>
        <w:tc>
          <w:tcPr>
            <w:tcW w:w="27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Subordinate Voting</w:t>
            </w:r>
          </w:p>
        </w:tc>
        <w:tc>
          <w:tcPr>
            <w:tcW w:w="20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 in thousands</w:t>
            </w:r>
          </w:p>
        </w:tc>
        <w:tc>
          <w:tcPr>
            <w:tcW w:w="0" w:type="dxa"/>
            <w:vAlign w:val="bottom"/>
          </w:tcPr>
          <w:p>
            <w:pPr>
              <w:spacing w:after="0"/>
              <w:rPr>
                <w:sz w:val="1"/>
                <w:szCs w:val="1"/>
                <w:color w:val="auto"/>
              </w:rPr>
            </w:pPr>
          </w:p>
        </w:tc>
      </w:tr>
      <w:tr>
        <w:trPr>
          <w:trHeight w:val="130"/>
        </w:trPr>
        <w:tc>
          <w:tcPr>
            <w:tcW w:w="248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27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16, 2021</w:t>
            </w:r>
          </w:p>
        </w:tc>
        <w:tc>
          <w:tcPr>
            <w:tcW w:w="18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199,993</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239"/>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1, 2023</w:t>
            </w:r>
          </w:p>
        </w:tc>
        <w:tc>
          <w:tcPr>
            <w:tcW w:w="18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822,447</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43"/>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10, 2023</w:t>
            </w:r>
          </w:p>
        </w:tc>
        <w:tc>
          <w:tcPr>
            <w:tcW w:w="1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792,424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37"/>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2,481,944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$31,584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right="10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estimated fair value of the contingent consideration associated with the acquisition of Dharma, which was valued based on a probability weighting of the potential payments, was $33,250 thousand and $41,943 thousand, respectively. As of December 31, 2022, $11,400 thousand of the total value of the contingent consideration was included within current liabilities on the Company's consolidated balance sheets. As of December 31, 2023, no portion of the contingent consideration was included within current liabilities on the Company's consolidated balance sheets.</w:t>
      </w:r>
    </w:p>
    <w:p>
      <w:pPr>
        <w:spacing w:after="0" w:line="183" w:lineRule="exact"/>
        <w:rPr>
          <w:sz w:val="20"/>
          <w:szCs w:val="20"/>
          <w:color w:val="auto"/>
        </w:rPr>
      </w:pPr>
    </w:p>
    <w:p>
      <w:pPr>
        <w:ind w:left="900" w:right="140"/>
        <w:spacing w:after="0" w:line="254" w:lineRule="auto"/>
        <w:rPr>
          <w:sz w:val="20"/>
          <w:szCs w:val="20"/>
          <w:color w:val="auto"/>
        </w:rPr>
      </w:pPr>
      <w:r>
        <w:rPr>
          <w:rFonts w:ascii="Times New Roman" w:cs="Times New Roman" w:eastAsia="Times New Roman" w:hAnsi="Times New Roman"/>
          <w:sz w:val="18"/>
          <w:szCs w:val="18"/>
          <w:color w:val="auto"/>
        </w:rPr>
        <w:t>On February 9, 2024, the Company and the former owners of Dharma agreed to amend the conditions as set forth in the original purchase agreement in relation to the Recreational Sales Milestone (the “Amended Agreement”). Under the Amended Agreement, the former owners waived their right to the Recreational Sales Milestone in exchange for the delivery of 1,250,000 Subordinate Voting Shares of Green Thumb. As a result, the Company recorded a gain of $16,810 thousand during Q1 2024 within sales general and administrative expenses on the consolidated statement of operations, representing the extinguishment of the Recreational Sales Milestone obligation less the estimated fair value of the shares under the Amended Agreement. On February 15, 2024, the Company distributed the shares to the former owners of Dharma, which had a fair market value of $17,259 thousand, which was based on the value of the shares as traded on the Canadian Securities Exchange on the date of distribution.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84" w:lineRule="exact"/>
        <w:rPr>
          <w:sz w:val="20"/>
          <w:szCs w:val="20"/>
          <w:color w:val="auto"/>
        </w:rPr>
      </w:pPr>
    </w:p>
    <w:p>
      <w:pPr>
        <w:ind w:left="540" w:hanging="532"/>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60" w:hanging="443"/>
        <w:spacing w:after="0"/>
        <w:tabs>
          <w:tab w:leader="none" w:pos="9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400" w:hanging="539"/>
        <w:spacing w:after="0"/>
        <w:tabs>
          <w:tab w:leader="none" w:pos="1400" w:val="left"/>
        </w:tabs>
        <w:numPr>
          <w:ilvl w:val="1"/>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Distribution of Deferred Shares</w:t>
      </w:r>
    </w:p>
    <w:p>
      <w:pPr>
        <w:spacing w:after="0" w:line="121" w:lineRule="exact"/>
        <w:rPr>
          <w:sz w:val="20"/>
          <w:szCs w:val="20"/>
          <w:color w:val="auto"/>
        </w:rPr>
      </w:pPr>
    </w:p>
    <w:p>
      <w:pPr>
        <w:ind w:left="860" w:right="800"/>
        <w:spacing w:after="0" w:line="282" w:lineRule="auto"/>
        <w:rPr>
          <w:sz w:val="20"/>
          <w:szCs w:val="20"/>
          <w:color w:val="auto"/>
        </w:rPr>
      </w:pPr>
      <w:r>
        <w:rPr>
          <w:rFonts w:ascii="Times New Roman" w:cs="Times New Roman" w:eastAsia="Times New Roman" w:hAnsi="Times New Roman"/>
          <w:sz w:val="18"/>
          <w:szCs w:val="18"/>
          <w:color w:val="auto"/>
        </w:rPr>
        <w:t>As part of the consideration exchanged for certain acquisitions completed throughout 2021, the Company deferred the distribution of Subordinate Voting Shares to secure the Company's indemnification rights associated with post-acquisition costs.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following table summarizes the activity during the years ended December 31, 2023,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Related Acquisition</w:t>
            </w:r>
          </w:p>
        </w:tc>
        <w:tc>
          <w:tcPr>
            <w:tcW w:w="9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jc w:val="center"/>
              <w:ind w:right="9"/>
              <w:spacing w:after="0" w:line="131" w:lineRule="exact"/>
              <w:rPr>
                <w:sz w:val="20"/>
                <w:szCs w:val="20"/>
                <w:color w:val="auto"/>
              </w:rPr>
            </w:pPr>
            <w:r>
              <w:rPr>
                <w:rFonts w:ascii="Times New Roman" w:cs="Times New Roman" w:eastAsia="Times New Roman" w:hAnsi="Times New Roman"/>
                <w:sz w:val="14"/>
                <w:szCs w:val="14"/>
                <w:b w:val="1"/>
                <w:bCs w:val="1"/>
                <w:color w:val="auto"/>
              </w:rPr>
              <w:t>Mobley Pain</w:t>
            </w:r>
          </w:p>
        </w:tc>
        <w:tc>
          <w:tcPr>
            <w:tcW w:w="920" w:type="dxa"/>
            <w:vAlign w:val="bottom"/>
          </w:tcPr>
          <w:p>
            <w:pPr>
              <w:spacing w:after="0"/>
              <w:rPr>
                <w:sz w:val="11"/>
                <w:szCs w:val="11"/>
                <w:color w:val="auto"/>
              </w:rPr>
            </w:pPr>
          </w:p>
        </w:tc>
        <w:tc>
          <w:tcPr>
            <w:tcW w:w="9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200" w:type="dxa"/>
            <w:vAlign w:val="bottom"/>
            <w:vMerge w:val="restart"/>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For Success</w:t>
            </w:r>
          </w:p>
        </w:tc>
        <w:tc>
          <w:tcPr>
            <w:tcW w:w="1080" w:type="dxa"/>
            <w:vAlign w:val="bottom"/>
            <w:vMerge w:val="restart"/>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Southern CT</w:t>
            </w:r>
          </w:p>
        </w:tc>
        <w:tc>
          <w:tcPr>
            <w:tcW w:w="1120" w:type="dxa"/>
            <w:vAlign w:val="bottom"/>
          </w:tcPr>
          <w:p>
            <w:pPr>
              <w:spacing w:after="0"/>
              <w:rPr>
                <w:sz w:val="5"/>
                <w:szCs w:val="5"/>
                <w:color w:val="auto"/>
              </w:rPr>
            </w:pPr>
          </w:p>
        </w:tc>
        <w:tc>
          <w:tcPr>
            <w:tcW w:w="1160" w:type="dxa"/>
            <w:vAlign w:val="bottom"/>
            <w:vMerge w:val="restart"/>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Dharma</w:t>
            </w:r>
          </w:p>
        </w:tc>
        <w:tc>
          <w:tcPr>
            <w:tcW w:w="1300" w:type="dxa"/>
            <w:vAlign w:val="bottom"/>
            <w:vMerge w:val="restart"/>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Management and</w:t>
            </w:r>
          </w:p>
        </w:tc>
        <w:tc>
          <w:tcPr>
            <w:tcW w:w="9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60" w:type="dxa"/>
            <w:vAlign w:val="bottom"/>
            <w:vMerge w:val="restart"/>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LeafLine</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20" w:type="dxa"/>
            <w:vAlign w:val="bottom"/>
            <w:vMerge w:val="restart"/>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Liberty</w:t>
            </w:r>
          </w:p>
        </w:tc>
        <w:tc>
          <w:tcPr>
            <w:tcW w:w="11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920" w:type="dxa"/>
            <w:vAlign w:val="bottom"/>
            <w:vMerge w:val="restart"/>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GreenStar</w:t>
            </w:r>
          </w:p>
        </w:tc>
        <w:tc>
          <w:tcPr>
            <w:tcW w:w="92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Health and</w:t>
            </w:r>
          </w:p>
        </w:tc>
        <w:tc>
          <w:tcPr>
            <w:tcW w:w="8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2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Holding</w:t>
            </w:r>
          </w:p>
        </w:tc>
        <w:tc>
          <w:tcPr>
            <w:tcW w:w="108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Wellness and</w:t>
            </w:r>
          </w:p>
        </w:tc>
        <w:tc>
          <w:tcPr>
            <w:tcW w:w="1120" w:type="dxa"/>
            <w:vAlign w:val="bottom"/>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3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Wellness Center,</w:t>
            </w:r>
          </w:p>
        </w:tc>
        <w:tc>
          <w:tcPr>
            <w:tcW w:w="9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Industries,</w:t>
            </w: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Compassion, Inc.</w:t>
            </w:r>
          </w:p>
        </w:tc>
        <w:tc>
          <w:tcPr>
            <w:tcW w:w="116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20" w:type="dxa"/>
            <w:vAlign w:val="bottom"/>
          </w:tcPr>
          <w:p>
            <w:pPr>
              <w:jc w:val="right"/>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Herbals, Inc.</w:t>
            </w:r>
          </w:p>
        </w:tc>
        <w:tc>
          <w:tcPr>
            <w:tcW w:w="9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Wellness</w:t>
            </w:r>
          </w:p>
        </w:tc>
        <w:tc>
          <w:tcPr>
            <w:tcW w:w="8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960" w:type="dxa"/>
            <w:vAlign w:val="bottom"/>
          </w:tcPr>
          <w:p>
            <w:pPr>
              <w:spacing w:after="0"/>
              <w:rPr>
                <w:sz w:val="7"/>
                <w:szCs w:val="7"/>
                <w:color w:val="auto"/>
              </w:rPr>
            </w:pPr>
          </w:p>
        </w:tc>
        <w:tc>
          <w:tcPr>
            <w:tcW w:w="1200" w:type="dxa"/>
            <w:vAlign w:val="bottom"/>
          </w:tcPr>
          <w:p>
            <w:pPr>
              <w:jc w:val="center"/>
              <w:ind w:right="9"/>
              <w:spacing w:after="0" w:line="84" w:lineRule="exact"/>
              <w:rPr>
                <w:sz w:val="20"/>
                <w:szCs w:val="20"/>
                <w:color w:val="auto"/>
              </w:rPr>
            </w:pPr>
            <w:r>
              <w:rPr>
                <w:rFonts w:ascii="Times New Roman" w:cs="Times New Roman" w:eastAsia="Times New Roman" w:hAnsi="Times New Roman"/>
                <w:sz w:val="9"/>
                <w:szCs w:val="9"/>
                <w:b w:val="1"/>
                <w:bCs w:val="1"/>
                <w:color w:val="auto"/>
              </w:rPr>
              <w:t>Company</w:t>
            </w:r>
          </w:p>
        </w:tc>
        <w:tc>
          <w:tcPr>
            <w:tcW w:w="1080" w:type="dxa"/>
            <w:vAlign w:val="bottom"/>
          </w:tcPr>
          <w:p>
            <w:pPr>
              <w:jc w:val="center"/>
              <w:ind w:right="9"/>
              <w:spacing w:after="0" w:line="84" w:lineRule="exact"/>
              <w:rPr>
                <w:sz w:val="20"/>
                <w:szCs w:val="20"/>
                <w:color w:val="auto"/>
              </w:rPr>
            </w:pPr>
            <w:r>
              <w:rPr>
                <w:rFonts w:ascii="Times New Roman" w:cs="Times New Roman" w:eastAsia="Times New Roman" w:hAnsi="Times New Roman"/>
                <w:sz w:val="9"/>
                <w:szCs w:val="9"/>
                <w:b w:val="1"/>
                <w:bCs w:val="1"/>
                <w:color w:val="auto"/>
              </w:rPr>
              <w:t>Healing</w:t>
            </w:r>
          </w:p>
        </w:tc>
        <w:tc>
          <w:tcPr>
            <w:tcW w:w="1120" w:type="dxa"/>
            <w:vAlign w:val="bottom"/>
          </w:tcPr>
          <w:p>
            <w:pPr>
              <w:spacing w:after="0"/>
              <w:rPr>
                <w:sz w:val="7"/>
                <w:szCs w:val="7"/>
                <w:color w:val="auto"/>
              </w:rPr>
            </w:pPr>
          </w:p>
        </w:tc>
        <w:tc>
          <w:tcPr>
            <w:tcW w:w="116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LLC</w:t>
            </w:r>
          </w:p>
        </w:tc>
        <w:tc>
          <w:tcPr>
            <w:tcW w:w="1300" w:type="dxa"/>
            <w:vAlign w:val="bottom"/>
          </w:tcPr>
          <w:p>
            <w:pPr>
              <w:jc w:val="center"/>
              <w:ind w:right="9"/>
              <w:spacing w:after="0" w:line="84" w:lineRule="exact"/>
              <w:rPr>
                <w:sz w:val="20"/>
                <w:szCs w:val="20"/>
                <w:color w:val="auto"/>
              </w:rPr>
            </w:pPr>
            <w:r>
              <w:rPr>
                <w:rFonts w:ascii="Times New Roman" w:cs="Times New Roman" w:eastAsia="Times New Roman" w:hAnsi="Times New Roman"/>
                <w:sz w:val="9"/>
                <w:szCs w:val="9"/>
                <w:b w:val="1"/>
                <w:bCs w:val="1"/>
                <w:color w:val="auto"/>
              </w:rPr>
              <w:t>LLC and Canwell</w:t>
            </w:r>
          </w:p>
        </w:tc>
        <w:tc>
          <w:tcPr>
            <w:tcW w:w="920" w:type="dxa"/>
            <w:vAlign w:val="bottom"/>
          </w:tcPr>
          <w:p>
            <w:pPr>
              <w:spacing w:after="0"/>
              <w:rPr>
                <w:sz w:val="7"/>
                <w:szCs w:val="7"/>
                <w:color w:val="auto"/>
              </w:rPr>
            </w:pPr>
          </w:p>
        </w:tc>
        <w:tc>
          <w:tcPr>
            <w:tcW w:w="9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Center, Inc.</w:t>
            </w:r>
          </w:p>
        </w:tc>
        <w:tc>
          <w:tcPr>
            <w:tcW w:w="860" w:type="dxa"/>
            <w:vAlign w:val="bottom"/>
          </w:tcPr>
          <w:p>
            <w:pPr>
              <w:jc w:val="center"/>
              <w:ind w:right="49"/>
              <w:spacing w:after="0" w:line="84" w:lineRule="exact"/>
              <w:rPr>
                <w:sz w:val="20"/>
                <w:szCs w:val="20"/>
                <w:color w:val="auto"/>
              </w:rPr>
            </w:pPr>
            <w:r>
              <w:rPr>
                <w:rFonts w:ascii="Times New Roman" w:cs="Times New Roman" w:eastAsia="Times New Roman" w:hAnsi="Times New Roman"/>
                <w:sz w:val="9"/>
                <w:szCs w:val="9"/>
                <w:b w:val="1"/>
                <w:bCs w:val="1"/>
                <w:color w:val="auto"/>
              </w:rPr>
              <w:t>LLC</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Processing, LLC</w:t>
            </w:r>
          </w:p>
        </w:tc>
        <w:tc>
          <w:tcPr>
            <w:tcW w:w="9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at January 1, 2021</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147,095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179,300</w:t>
            </w: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12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260,419</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303,599</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161,306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386,002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1,403,036</w:t>
            </w: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Distributed Shares</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(146,315)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(222,467)</w:t>
            </w: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Cancelled Shares</w:t>
            </w:r>
          </w:p>
        </w:tc>
        <w:tc>
          <w:tcPr>
            <w:tcW w:w="12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(780)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(38,839)</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(38,839)</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at December 31, 2021</w:t>
            </w:r>
          </w:p>
        </w:tc>
        <w:tc>
          <w:tcPr>
            <w:tcW w:w="12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216,471</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264,760</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161,306</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386,002</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1,320,249</w:t>
            </w:r>
          </w:p>
        </w:tc>
        <w:tc>
          <w:tcPr>
            <w:tcW w:w="0" w:type="dxa"/>
            <w:vAlign w:val="bottom"/>
          </w:tcPr>
          <w:p>
            <w:pPr>
              <w:spacing w:after="0"/>
              <w:rPr>
                <w:sz w:val="1"/>
                <w:szCs w:val="1"/>
                <w:color w:val="auto"/>
              </w:rPr>
            </w:pPr>
          </w:p>
        </w:tc>
      </w:tr>
      <w:tr>
        <w:trPr>
          <w:trHeight w:val="332"/>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at January 1, 2022</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216,471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264,760</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161,306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386,002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1,320,249</w:t>
            </w: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Distributed Shares</w:t>
            </w:r>
          </w:p>
        </w:tc>
        <w:tc>
          <w:tcPr>
            <w:tcW w:w="12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Cancelled Shares</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0" w:type="dxa"/>
            <w:vAlign w:val="bottom"/>
          </w:tcPr>
          <w:p>
            <w:pPr>
              <w:spacing w:after="0"/>
              <w:rPr>
                <w:sz w:val="1"/>
                <w:szCs w:val="1"/>
                <w:color w:val="auto"/>
              </w:rPr>
            </w:pPr>
          </w:p>
        </w:tc>
      </w:tr>
      <w:tr>
        <w:trPr>
          <w:trHeight w:val="169"/>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at December 31, 2022</w:t>
            </w: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214,768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264,760</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161,306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386,002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1,318,546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at January 1, 2023</w:t>
            </w:r>
          </w:p>
        </w:tc>
        <w:tc>
          <w:tcPr>
            <w:tcW w:w="12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214,768</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264,760</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161,306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386,002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1,318,546</w:t>
            </w: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Distributed Shares</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(214,768)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(229,878)</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(161,306)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(61,832)</w:t>
            </w:r>
          </w:p>
        </w:tc>
        <w:tc>
          <w:tcPr>
            <w:tcW w:w="8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(680,089)</w:t>
            </w: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Cancelled Shares</w:t>
            </w:r>
          </w:p>
        </w:tc>
        <w:tc>
          <w:tcPr>
            <w:tcW w:w="12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(84,122)</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(84,122)</w:t>
            </w: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at December 31, 2023</w:t>
            </w:r>
          </w:p>
        </w:tc>
        <w:tc>
          <w:tcPr>
            <w:tcW w:w="1200" w:type="dxa"/>
            <w:vAlign w:val="bottom"/>
            <w:tcBorders>
              <w:bottom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168,333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386,002</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554,335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60" w:right="10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held deferred shares in the amount of $12,973 thousand and $36,211 thousand, respectively. In accordance with the relevant acquisition agreement, a portion of the outstanding deferred shares were cancelled in order to indemnify the Company for post-acquisition costs. As the cancellation of the deferred shares occurred outside of the purchase price allocation measurement period (generally one year from the acquisition date), the Company recorded a gain of $2,784 thousand within selling general and administrative expenses on the Company's consolidated statements of operations during the year ended December 31, 2023.</w:t>
      </w:r>
    </w:p>
    <w:p>
      <w:pPr>
        <w:spacing w:after="0" w:line="71" w:lineRule="exact"/>
        <w:rPr>
          <w:sz w:val="20"/>
          <w:szCs w:val="20"/>
          <w:color w:val="auto"/>
        </w:rPr>
      </w:pPr>
    </w:p>
    <w:p>
      <w:pPr>
        <w:ind w:left="1380" w:hanging="519"/>
        <w:spacing w:after="0"/>
        <w:tabs>
          <w:tab w:leader="none" w:pos="138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Issuance of Registered Shares Pursuant to S-1</w:t>
      </w:r>
    </w:p>
    <w:p>
      <w:pPr>
        <w:spacing w:after="0" w:line="121" w:lineRule="exact"/>
        <w:rPr>
          <w:sz w:val="20"/>
          <w:szCs w:val="20"/>
          <w:color w:val="auto"/>
        </w:rPr>
      </w:pPr>
    </w:p>
    <w:p>
      <w:pPr>
        <w:ind w:left="860"/>
        <w:spacing w:after="0" w:line="254" w:lineRule="auto"/>
        <w:rPr>
          <w:sz w:val="20"/>
          <w:szCs w:val="20"/>
          <w:color w:val="auto"/>
        </w:rPr>
      </w:pPr>
      <w:r>
        <w:rPr>
          <w:rFonts w:ascii="Times New Roman" w:cs="Times New Roman" w:eastAsia="Times New Roman" w:hAnsi="Times New Roman"/>
          <w:sz w:val="18"/>
          <w:szCs w:val="18"/>
          <w:color w:val="auto"/>
        </w:rPr>
        <w:t>On February 8, 2021, the SEC declared effective the Company's Registration Statement No. 333-248213 on Form S-1 filed on February 2, 2021. Shortly thereafter, the Company received an offer from a single institutional investor to purchase 3,122,074 of the Subordinate Voting Shares registered on the Form S-1 at a price of $32.03 per share for a total of $100,000 thousand. The transaction closed on February 9, 2021. On February 23,2021, the Company accepted additional offers to purchase a total of 1,571,917 Subordinate Voting Shares at a price of $35.50 per share, for a total of $55,803 thousand. The Company used the net proceeds from the sale of registered securities for general corporate purposes, which include capital expenditures, working capital and general and administrative expenses. The Company also used a portion of the net proceeds to acquire or invest in businesses and products that are complimentary to the Company's own businesses and products. Additionally, the Company incurred legal, audit and other professional fees of $305 thousand associated with the issuance of the registered shares. Such fees have been recorded within contributed surplus (deficit) within the Company's consolidated balance sheet.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60" w:hanging="443"/>
        <w:spacing w:after="0"/>
        <w:tabs>
          <w:tab w:leader="none" w:pos="96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1340" w:hanging="479"/>
        <w:spacing w:after="0"/>
        <w:tabs>
          <w:tab w:leader="none" w:pos="134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Repurchase of Subordinate Voting Shares</w:t>
      </w:r>
    </w:p>
    <w:p>
      <w:pPr>
        <w:spacing w:after="0" w:line="121" w:lineRule="exact"/>
        <w:rPr>
          <w:sz w:val="20"/>
          <w:szCs w:val="20"/>
          <w:color w:val="auto"/>
        </w:rPr>
      </w:pPr>
    </w:p>
    <w:p>
      <w:pPr>
        <w:ind w:left="860" w:right="160"/>
        <w:spacing w:after="0" w:line="266" w:lineRule="auto"/>
        <w:rPr>
          <w:sz w:val="20"/>
          <w:szCs w:val="20"/>
          <w:color w:val="auto"/>
        </w:rPr>
      </w:pPr>
      <w:r>
        <w:rPr>
          <w:rFonts w:ascii="Times New Roman" w:cs="Times New Roman" w:eastAsia="Times New Roman" w:hAnsi="Times New Roman"/>
          <w:sz w:val="18"/>
          <w:szCs w:val="18"/>
          <w:color w:val="auto"/>
        </w:rPr>
        <w:t>On September 5, 2023, the Company announced that its Board of Directors authorized the Company to repurchase up to 5%, or 10,486,951 of its Subordinate Voting Shares over a 12-month period at an aggregate cost of up to $50,000 thousand. Through December 31, 2023, the Company repurchased 3,843,126 Subordinate Voting Shares at an average price of $10.37 per share.</w:t>
      </w:r>
    </w:p>
    <w:p>
      <w:pPr>
        <w:spacing w:after="0" w:line="284" w:lineRule="exact"/>
        <w:rPr>
          <w:sz w:val="20"/>
          <w:szCs w:val="20"/>
          <w:color w:val="auto"/>
        </w:rPr>
      </w:pPr>
    </w:p>
    <w:p>
      <w:pPr>
        <w:ind w:left="860" w:right="40"/>
        <w:spacing w:after="0" w:line="282" w:lineRule="auto"/>
        <w:rPr>
          <w:sz w:val="20"/>
          <w:szCs w:val="20"/>
          <w:color w:val="auto"/>
        </w:rPr>
      </w:pPr>
      <w:r>
        <w:rPr>
          <w:rFonts w:ascii="Times New Roman" w:cs="Times New Roman" w:eastAsia="Times New Roman" w:hAnsi="Times New Roman"/>
          <w:sz w:val="18"/>
          <w:szCs w:val="18"/>
          <w:color w:val="auto"/>
        </w:rPr>
        <w:t>On February 28, 2024, the Company's Board of Directors authorized an increase in its share repurchase program by $50,000 thousand, bringing the total remaining repurchase ability to approximately $60,000 thousand.</w:t>
      </w:r>
    </w:p>
    <w:p>
      <w:pPr>
        <w:spacing w:after="0" w:line="266" w:lineRule="exact"/>
        <w:rPr>
          <w:sz w:val="20"/>
          <w:szCs w:val="20"/>
          <w:color w:val="auto"/>
        </w:rPr>
      </w:pPr>
    </w:p>
    <w:p>
      <w:pPr>
        <w:ind w:left="980" w:hanging="463"/>
        <w:spacing w:after="0"/>
        <w:tabs>
          <w:tab w:leader="none" w:pos="9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20" w:right="16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and Amendment No. 2 thereto (as amended, the “Plan”). The maximum number of RSUs and options issued under the Plan shall not exceed 10% of the Company's issued and outstanding shares on an as-converted basis.</w:t>
      </w:r>
    </w:p>
    <w:p>
      <w:pPr>
        <w:spacing w:after="0" w:line="68"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2"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Option and RSU grants generally vest over three years, and options typically have a life of five to ten years. Option grants are determined by the Compensation Committee of the Company’s Board of Directors with the option price set at no less than 100% of the fair market value of a share on the date of grant.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480" w:type="dxa"/>
            <w:vAlign w:val="bottom"/>
            <w:vMerge w:val="restart"/>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48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22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1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820" w:type="dxa"/>
            <w:vAlign w:val="bottom"/>
          </w:tcPr>
          <w:p>
            <w:pPr>
              <w:spacing w:after="0"/>
              <w:rPr>
                <w:sz w:val="6"/>
                <w:szCs w:val="6"/>
                <w:color w:val="auto"/>
              </w:rPr>
            </w:pPr>
          </w:p>
        </w:tc>
        <w:tc>
          <w:tcPr>
            <w:tcW w:w="2280" w:type="dxa"/>
            <w:vAlign w:val="bottom"/>
            <w:tcBorders>
              <w:bottom w:val="single" w:sz="8" w:color="auto"/>
            </w:tcBorders>
            <w:vMerge w:val="continue"/>
          </w:tcPr>
          <w:p>
            <w:pPr>
              <w:spacing w:after="0"/>
              <w:rPr>
                <w:sz w:val="6"/>
                <w:szCs w:val="6"/>
                <w:color w:val="auto"/>
              </w:rPr>
            </w:pPr>
          </w:p>
        </w:tc>
        <w:tc>
          <w:tcPr>
            <w:tcW w:w="218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9,577,947</w:t>
            </w:r>
          </w:p>
        </w:tc>
        <w:tc>
          <w:tcPr>
            <w:tcW w:w="2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$12.71</w:t>
            </w:r>
          </w:p>
        </w:tc>
        <w:tc>
          <w:tcPr>
            <w:tcW w:w="1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4.80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$26,961</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2,451,405</w:t>
            </w:r>
          </w:p>
        </w:tc>
        <w:tc>
          <w:tcPr>
            <w:tcW w:w="2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7.90</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(477,545)</w:t>
            </w:r>
          </w:p>
        </w:tc>
        <w:tc>
          <w:tcPr>
            <w:tcW w:w="2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7.58</w:t>
            </w:r>
          </w:p>
        </w:tc>
        <w:tc>
          <w:tcPr>
            <w:tcW w:w="14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(1,480,340)</w:t>
            </w:r>
          </w:p>
        </w:tc>
        <w:tc>
          <w:tcPr>
            <w:tcW w:w="2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12.86</w:t>
            </w:r>
          </w:p>
        </w:tc>
        <w:tc>
          <w:tcPr>
            <w:tcW w:w="1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10,071,467</w:t>
            </w:r>
          </w:p>
        </w:tc>
        <w:tc>
          <w:tcPr>
            <w:tcW w:w="2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$11.75</w:t>
            </w:r>
          </w:p>
        </w:tc>
        <w:tc>
          <w:tcPr>
            <w:tcW w:w="1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4.31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3,467,131</w:t>
            </w:r>
          </w:p>
        </w:tc>
        <w:tc>
          <w:tcPr>
            <w:tcW w:w="2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$7.99</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2.79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December 31, 2023 and 2022, respectively, and the exercise price, multiplied by the number of in-the-money options) that would have been received by the option holders had all option holders exercised their in-the-money options on December 31, 2023 and 2022, respectively. This amount will change in future periods based on the fair market value of the Company’s Subordinate Voting Shares and the number of options outstanding.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1020" w:hanging="479"/>
        <w:spacing w:after="0"/>
        <w:tabs>
          <w:tab w:leader="none" w:pos="10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121"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year ended December 31, 2023, 2022 and 2021:</w:t>
      </w:r>
    </w:p>
    <w:p>
      <w:pPr>
        <w:spacing w:after="0" w:line="196"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stock option units granted</w:t>
            </w:r>
          </w:p>
        </w:tc>
        <w:tc>
          <w:tcPr>
            <w:tcW w:w="6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$4.24</w:t>
            </w:r>
          </w:p>
        </w:tc>
        <w:tc>
          <w:tcPr>
            <w:tcW w:w="11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$5.37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6"/>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Intrinsic value of stock option units exercised, using market price at exercise date </w:t>
            </w:r>
            <w:r>
              <w:rPr>
                <w:rFonts w:ascii="Times New Roman" w:cs="Times New Roman" w:eastAsia="Times New Roman" w:hAnsi="Times New Roman"/>
                <w:sz w:val="18"/>
                <w:szCs w:val="18"/>
                <w:i w:val="1"/>
                <w:iCs w:val="1"/>
                <w:color w:val="auto"/>
              </w:rPr>
              <w:t>(in thousands)</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$996</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$2,390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w:t>
            </w:r>
          </w:p>
        </w:tc>
      </w:tr>
    </w:tbl>
    <w:p>
      <w:pPr>
        <w:spacing w:after="0" w:line="231"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years ended December 31, 2023 and 2022, using the following ranges of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620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3.06% - 4.32%</w:t>
            </w: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1.18% - 3.54%</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60% - 64%</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 – 4.5 years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4.5 years</w:t>
            </w:r>
          </w:p>
        </w:tc>
      </w:tr>
    </w:tbl>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permitted under </w:t>
      </w:r>
      <w:r>
        <w:rPr>
          <w:rFonts w:ascii="Times New Roman" w:cs="Times New Roman" w:eastAsia="Times New Roman" w:hAnsi="Times New Roman"/>
          <w:sz w:val="18"/>
          <w:szCs w:val="18"/>
          <w:i w:val="1"/>
          <w:iCs w:val="1"/>
          <w:color w:val="auto"/>
        </w:rPr>
        <w:t>ASC 718, Stock Compensation</w:t>
      </w:r>
      <w:r>
        <w:rPr>
          <w:rFonts w:ascii="Times New Roman" w:cs="Times New Roman" w:eastAsia="Times New Roman" w:hAnsi="Times New Roman"/>
          <w:sz w:val="18"/>
          <w:szCs w:val="18"/>
          <w:color w:val="auto"/>
        </w:rPr>
        <w:t>, the Company has made an accounting policy choice to account for forfeitures when they occur.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number of non-vested RSU awards as of December 31, 2023 and 2022 and the changes during the year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36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2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63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vMerge w:val="restart"/>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77"/>
        </w:trPr>
        <w:tc>
          <w:tcPr>
            <w:tcW w:w="6320" w:type="dxa"/>
            <w:vAlign w:val="bottom"/>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947,502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3,607,667</w:t>
            </w:r>
          </w:p>
        </w:tc>
        <w:tc>
          <w:tcPr>
            <w:tcW w:w="22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(483,393)</w:t>
            </w:r>
          </w:p>
        </w:tc>
        <w:tc>
          <w:tcPr>
            <w:tcW w:w="220" w:type="dxa"/>
            <w:vAlign w:val="bottom"/>
            <w:shd w:val="clear" w:color="auto" w:fill="CFF0FC"/>
          </w:tcPr>
          <w:p>
            <w:pPr>
              <w:spacing w:after="0"/>
              <w:rPr>
                <w:sz w:val="21"/>
                <w:szCs w:val="21"/>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(451,138)</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41"/>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3,620,638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RSUs granted and total fair value of RSUs vested for the years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2023,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49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RSUs granted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r>
    </w:tbl>
    <w:p>
      <w:pPr>
        <w:spacing w:after="0" w:line="3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stock-based compensation expense for the years ended December 31, 2023, 2022 and 2021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w:t>
            </w:r>
          </w:p>
        </w:tc>
      </w:tr>
      <w:tr>
        <w:trPr>
          <w:trHeight w:val="28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14605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460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37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37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As of December 31, 2023, $40,121 thousand of total unrecognized expense related to stock-based compensation awards is expected to be recognized over a weighted-average period of 1.96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tax assets and liabilities are recognized based upon anticipated future tax consequences attributable to differences between financial statement carrying values of assets and liabilities and the respective tax basis.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Green Thumb Industries Inc. is organized in Canada but maintains all of its operations in the United States. Due to this inverted entity structure, the Company is subject to both US and Canadian taxation.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income taxes expense consisted 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r>
      <w:tr>
        <w:trPr>
          <w:trHeight w:val="223"/>
        </w:trPr>
        <w:tc>
          <w:tcPr>
            <w:tcW w:w="3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70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7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9"/>
        </w:trPr>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96,749</w:t>
            </w:r>
          </w:p>
        </w:tc>
      </w:tr>
      <w:tr>
        <w:trPr>
          <w:trHeight w:val="247"/>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35,402</w:t>
            </w:r>
          </w:p>
        </w:tc>
      </w:tr>
      <w:tr>
        <w:trPr>
          <w:trHeight w:val="239"/>
        </w:trPr>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w:t>
            </w:r>
          </w:p>
        </w:tc>
        <w:tc>
          <w:tcPr>
            <w:tcW w:w="27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133,073</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142,861</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132,151</w:t>
            </w: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5"/>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39"/>
        </w:trPr>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7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43"/>
        </w:trPr>
        <w:tc>
          <w:tcPr>
            <w:tcW w:w="3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w:t>
            </w:r>
          </w:p>
        </w:tc>
        <w:tc>
          <w:tcPr>
            <w:tcW w:w="27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w:t>
            </w:r>
          </w:p>
        </w:tc>
      </w:tr>
      <w:tr>
        <w:trPr>
          <w:trHeight w:val="281"/>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118,630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-976630</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14605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-351155</wp:posOffset>
            </wp:positionV>
            <wp:extent cx="137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-351155</wp:posOffset>
            </wp:positionV>
            <wp:extent cx="1460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1371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13716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4605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4605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difference between the income tax expense for the years ended December 31, 2023, 2022 and 2021 and the expected income taxes based on the statutory tax rate applied to earnings (loss) arises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37"/>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0"/>
        </w:trPr>
        <w:tc>
          <w:tcPr>
            <w:tcW w:w="4800" w:type="dxa"/>
            <w:vAlign w:val="bottom"/>
            <w:tcBorders>
              <w:bottom w:val="single" w:sz="8" w:color="CFF0FC"/>
            </w:tcBorders>
          </w:tcPr>
          <w:p>
            <w:pPr>
              <w:spacing w:after="0"/>
              <w:rPr>
                <w:sz w:val="21"/>
                <w:szCs w:val="21"/>
                <w:color w:val="auto"/>
              </w:rPr>
            </w:pPr>
          </w:p>
        </w:tc>
        <w:tc>
          <w:tcPr>
            <w:tcW w:w="1620" w:type="dxa"/>
            <w:vAlign w:val="bottom"/>
            <w:tcBorders>
              <w:bottom w:val="single" w:sz="8" w:color="CFF0FC"/>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37"/>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156,049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108,432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204,975</w:t>
            </w: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Rates</w:t>
            </w:r>
          </w:p>
        </w:tc>
        <w:tc>
          <w:tcPr>
            <w:tcW w:w="16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1"/>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Expense/(Recovery) based on Statutory Rates</w:t>
            </w:r>
          </w:p>
        </w:tc>
        <w:tc>
          <w:tcPr>
            <w:tcW w:w="16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43,045</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31,476</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16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Stock Compensation</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40,847</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Rate Reconciliation</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16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124,612</w:t>
            </w:r>
          </w:p>
        </w:tc>
      </w:tr>
      <w:tr>
        <w:trPr>
          <w:trHeight w:val="20"/>
        </w:trPr>
        <w:tc>
          <w:tcPr>
            <w:tcW w:w="4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-1748155</wp:posOffset>
            </wp:positionV>
            <wp:extent cx="137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-1748155</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137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taxes paid for the years ended December 31, 2023, 2022 and 2021 were $99,535 thousand, $118,176 thousand and $148,104 thousand, respectively.</w:t>
      </w:r>
    </w:p>
    <w:p>
      <w:pPr>
        <w:spacing w:after="0" w:line="23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the components of deferred tax assets and liabilities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6"/>
                <w:szCs w:val="16"/>
                <w:color w:val="auto"/>
              </w:rPr>
            </w:pPr>
          </w:p>
        </w:tc>
      </w:tr>
      <w:tr>
        <w:trPr>
          <w:trHeight w:val="236"/>
        </w:trPr>
        <w:tc>
          <w:tcPr>
            <w:tcW w:w="4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0"/>
        </w:trPr>
        <w:tc>
          <w:tcPr>
            <w:tcW w:w="4180" w:type="dxa"/>
            <w:vAlign w:val="bottom"/>
            <w:tcBorders>
              <w:bottom w:val="single" w:sz="8" w:color="CFF0FC"/>
            </w:tcBorders>
          </w:tcPr>
          <w:p>
            <w:pPr>
              <w:spacing w:after="0"/>
              <w:rPr>
                <w:sz w:val="21"/>
                <w:szCs w:val="21"/>
                <w:color w:val="auto"/>
              </w:rPr>
            </w:pPr>
          </w:p>
        </w:tc>
        <w:tc>
          <w:tcPr>
            <w:tcW w:w="2120" w:type="dxa"/>
            <w:vAlign w:val="bottom"/>
            <w:tcBorders>
              <w:bottom w:val="single" w:sz="8" w:color="CFF0FC"/>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Borders>
              <w:bottom w:val="single" w:sz="8" w:color="auto"/>
            </w:tcBorders>
          </w:tcPr>
          <w:p>
            <w:pPr>
              <w:spacing w:after="0"/>
              <w:rPr>
                <w:sz w:val="21"/>
                <w:szCs w:val="21"/>
                <w:color w:val="auto"/>
              </w:rPr>
            </w:pPr>
          </w:p>
        </w:tc>
      </w:tr>
      <w:tr>
        <w:trPr>
          <w:trHeight w:val="237"/>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1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58,591</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60,588</w:t>
            </w: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2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163(j) Interest Limitation</w:t>
            </w:r>
          </w:p>
        </w:tc>
        <w:tc>
          <w:tcPr>
            <w:tcW w:w="2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10,646</w:t>
            </w: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Inventory</w:t>
            </w:r>
          </w:p>
        </w:tc>
        <w:tc>
          <w:tcPr>
            <w:tcW w:w="2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Investments</w:t>
            </w:r>
          </w:p>
        </w:tc>
        <w:tc>
          <w:tcPr>
            <w:tcW w:w="2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43"/>
        </w:trPr>
        <w:tc>
          <w:tcPr>
            <w:tcW w:w="4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4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6"/>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103,754</w:t>
            </w:r>
          </w:p>
        </w:tc>
        <w:tc>
          <w:tcPr>
            <w:tcW w:w="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94,438</w:t>
            </w:r>
          </w:p>
        </w:tc>
      </w:tr>
      <w:tr>
        <w:trPr>
          <w:trHeight w:val="241"/>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(56,546)</w:t>
            </w: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Fair Value Derivative</w:t>
            </w:r>
          </w:p>
        </w:tc>
        <w:tc>
          <w:tcPr>
            <w:tcW w:w="2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w:t>
            </w: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21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(50,594)</w:t>
            </w:r>
          </w:p>
        </w:tc>
        <w:tc>
          <w:tcPr>
            <w:tcW w:w="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(52,508)</w:t>
            </w:r>
          </w:p>
        </w:tc>
      </w:tr>
      <w:tr>
        <w:trPr>
          <w:trHeight w:val="236"/>
        </w:trPr>
        <w:tc>
          <w:tcPr>
            <w:tcW w:w="4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(108,731)</w:t>
            </w:r>
          </w:p>
        </w:tc>
        <w:tc>
          <w:tcPr>
            <w:tcW w:w="4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(113,858)</w:t>
            </w:r>
          </w:p>
        </w:tc>
      </w:tr>
      <w:tr>
        <w:trPr>
          <w:trHeight w:val="24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(4,977)</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(19,420)</w:t>
            </w:r>
          </w:p>
        </w:tc>
      </w:tr>
      <w:tr>
        <w:trPr>
          <w:trHeight w:val="20"/>
        </w:trPr>
        <w:tc>
          <w:tcPr>
            <w:tcW w:w="4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-1139190</wp:posOffset>
            </wp:positionV>
            <wp:extent cx="2482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2482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2023 and 2022 in the amount of $734 thousand and $702 thousand, respectively.</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$2,630 thousand of gross federal net operating loss carryforwards which will not expire. Additionally, the Company had $2,108 thousand of gross state net operating loss carryforwards, if not claimed, begin to expire in 2031. The Company's evaluation concluded that the majority of the net operating losses will be realized.</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IRC Sections 382 and 383,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recognizes the benefits of uncertain tax positions in our consolidated financial statements only after determining that it is more likely than not that the uncertain tax positions will be sustained.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1"/>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43,130</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13,117</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tax positions in a prior period</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decreases related to tax positions in a prior period</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(3,193)</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Gorss increases related to tax positions in the current period</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r>
      <w:tr>
        <w:trPr>
          <w:trHeight w:val="245"/>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decreases related to tax positions in a current period</w:t>
            </w: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43,130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13,117</w:t>
            </w:r>
          </w:p>
        </w:tc>
      </w:tr>
      <w:tr>
        <w:trPr>
          <w:trHeight w:val="20"/>
        </w:trPr>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-187960</wp:posOffset>
            </wp:positionV>
            <wp:extent cx="1885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1797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7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As of December 31, 2023, 2022 and 2021, we recognized $10,042 thousand, $3,555 thousand and $1,377 thousand of interest and penalties, respectively. As of December 31, 2023 and 2022 we have accrued for interest and penalties of $14,617 thousand and $4,575 thousand of interest and penalties, respectively. As of December 31, 2023, $5,565 thousand of unrecognized tax benefits are expected to be recovered over the next 12 months. We file income tax returns in the US, various state jurisdictions, and Canada, which jurisdictions have varying statutes of limitations. The US federal statute of limitation remains open for the 2020 tax year to the present. The state income tax returns generally remain open for the 2020 tax year through the present. Net operating loss arising prior to these years are also open to examination if and when utilized.</w:t>
      </w:r>
    </w:p>
    <w:p>
      <w:pPr>
        <w:spacing w:after="0" w:line="225" w:lineRule="exact"/>
        <w:rPr>
          <w:sz w:val="20"/>
          <w:szCs w:val="20"/>
          <w:color w:val="auto"/>
        </w:rPr>
      </w:pPr>
    </w:p>
    <w:p>
      <w:pPr>
        <w:ind w:left="540" w:hanging="532"/>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other income (expense) was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10"/>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2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(17,868)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5,955</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method investments</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15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(10,645)</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14,577</w:t>
            </w:r>
          </w:p>
        </w:tc>
      </w:tr>
      <w:tr>
        <w:trPr>
          <w:trHeight w:val="23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15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1,799</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(1,009)</w:t>
            </w:r>
          </w:p>
        </w:tc>
      </w:tr>
      <w:tr>
        <w:trPr>
          <w:trHeight w:val="26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(16,207)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4,499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1111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111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714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17145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176" w:lineRule="exact"/>
        <w:rPr>
          <w:sz w:val="20"/>
          <w:szCs w:val="20"/>
          <w:color w:val="auto"/>
        </w:rPr>
      </w:pPr>
    </w:p>
    <w:p>
      <w:pPr>
        <w:ind w:left="540" w:hanging="532"/>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w:t>
      </w:r>
    </w:p>
    <w:p>
      <w:pPr>
        <w:spacing w:after="0" w:line="68" w:lineRule="exact"/>
        <w:rPr>
          <w:sz w:val="20"/>
          <w:szCs w:val="20"/>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2023 and 2022, cannabis and other regulations continue to evolve and are subject to differing interpretations. As a result, the Company may be subject to regulatory fines, penalties, or restrictions in the future.</w:t>
      </w:r>
    </w:p>
    <w:p>
      <w:pPr>
        <w:spacing w:after="0" w:line="71" w:lineRule="exact"/>
        <w:rPr>
          <w:sz w:val="20"/>
          <w:szCs w:val="20"/>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121"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December 31, 2023:</w:t>
      </w:r>
    </w:p>
    <w:p>
      <w:pPr>
        <w:spacing w:after="0" w:line="54" w:lineRule="exact"/>
        <w:rPr>
          <w:sz w:val="20"/>
          <w:szCs w:val="20"/>
          <w:color w:val="auto"/>
        </w:rPr>
      </w:pPr>
    </w:p>
    <w:p>
      <w:pPr>
        <w:ind w:left="1260"/>
        <w:spacing w:after="0" w:line="256" w:lineRule="auto"/>
        <w:rPr>
          <w:sz w:val="20"/>
          <w:szCs w:val="20"/>
          <w:color w:val="auto"/>
        </w:rPr>
      </w:pPr>
      <w:r>
        <w:rPr>
          <w:rFonts w:ascii="Times New Roman" w:cs="Times New Roman" w:eastAsia="Times New Roman" w:hAnsi="Times New Roman"/>
          <w:sz w:val="18"/>
          <w:szCs w:val="18"/>
          <w:color w:val="auto"/>
        </w:rPr>
        <w:t>Cresco Labs New York, LLC and Cresco Labs LLC (“Plaintiffs”) filed an amended complaint (the “Complaint”) against one of the Company’s subsidiaries, Fiorello Pharmaceuticals, Inc. (“Defendant”) on November 20, 2018, in the Supreme Court of the State of New York, alleging Defendant breached the parties’ Equity Purchase Agreement Letter of Intent relating to the acquisition of Defendant by Plaintiffs. On October 18, 2023, all pending motions were withdrawn and Plaintiffs' claims were dismissed with prejudice. Accordingly, the Company reduced its loss contingency associated with the Complaint from $900 thousand as of December 31, 2022 to $0 at December 31, 2023.</w:t>
      </w:r>
    </w:p>
    <w:p>
      <w:pPr>
        <w:spacing w:after="0" w:line="7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At December 31, 2023 and 2022, other than as discussed above,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4" w:lineRule="exact"/>
        <w:rPr>
          <w:sz w:val="20"/>
          <w:szCs w:val="20"/>
          <w:color w:val="auto"/>
        </w:rPr>
      </w:pPr>
    </w:p>
    <w:p>
      <w:pPr>
        <w:ind w:left="1020" w:hanging="503"/>
        <w:spacing w:after="0"/>
        <w:tabs>
          <w:tab w:leader="none" w:pos="10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Commitments</w:t>
      </w:r>
    </w:p>
    <w:p>
      <w:pPr>
        <w:spacing w:after="0" w:line="121"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held approximately $7,200 thousand of open construction commitments to contractors on work being performed which are generally expected to be completed within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1020" w:hanging="503"/>
        <w:spacing w:after="0"/>
        <w:tabs>
          <w:tab w:leader="none" w:pos="10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December 31, 2023 and 2022 was $308,523 thousand and $275,668 thousand, which includes $2,996 thousand and $1,037 thousand, respectively, of short-term debt due within one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which are measured at fair value as of December 31, 2023 and 2022:</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161,634</w:t>
            </w: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4"/>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100" w:type="dxa"/>
            <w:vAlign w:val="bottom"/>
            <w:shd w:val="clear" w:color="auto" w:fill="CFF0FC"/>
          </w:tcPr>
          <w:p>
            <w:pPr>
              <w:spacing w:after="0"/>
              <w:rPr>
                <w:sz w:val="19"/>
                <w:szCs w:val="19"/>
                <w:color w:val="auto"/>
              </w:rPr>
            </w:pPr>
          </w:p>
        </w:tc>
      </w:t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64,361</w:t>
            </w:r>
          </w:p>
        </w:tc>
        <w:tc>
          <w:tcPr>
            <w:tcW w:w="100" w:type="dxa"/>
            <w:vAlign w:val="bottom"/>
          </w:tcPr>
          <w:p>
            <w:pPr>
              <w:spacing w:after="0"/>
              <w:rPr>
                <w:sz w:val="19"/>
                <w:szCs w:val="19"/>
                <w:color w:val="auto"/>
              </w:rPr>
            </w:pPr>
          </w:p>
        </w:tc>
      </w:tr>
      <w:tr>
        <w:trPr>
          <w:trHeight w:val="23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8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800" w:type="dxa"/>
            <w:vAlign w:val="bottom"/>
            <w:gridSpan w:val="4"/>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(33,250 )</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(33,250 )</w:t>
            </w:r>
          </w:p>
        </w:tc>
      </w:t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(3,117 )</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(3,117 )</w:t>
            </w:r>
          </w:p>
        </w:tc>
      </w:tr>
      <w:tr>
        <w:trPr>
          <w:trHeight w:val="23"/>
        </w:trPr>
        <w:tc>
          <w:tcPr>
            <w:tcW w:w="2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29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185,849</w:t>
            </w: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gridSpan w:val="4"/>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189,628</w:t>
            </w:r>
          </w:p>
        </w:tc>
        <w:tc>
          <w:tcPr>
            <w:tcW w:w="100" w:type="dxa"/>
            <w:vAlign w:val="bottom"/>
            <w:shd w:val="clear" w:color="auto" w:fill="CFF0FC"/>
          </w:tcPr>
          <w:p>
            <w:pPr>
              <w:spacing w:after="0"/>
              <w:rPr>
                <w:sz w:val="21"/>
                <w:szCs w:val="21"/>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0"/>
        </w:trPr>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177,682</w:t>
            </w:r>
          </w:p>
        </w:tc>
        <w:tc>
          <w:tcPr>
            <w:tcW w:w="2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4"/>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177,682</w:t>
            </w:r>
          </w:p>
        </w:tc>
        <w:tc>
          <w:tcPr>
            <w:tcW w:w="100" w:type="dxa"/>
            <w:vAlign w:val="bottom"/>
            <w:shd w:val="clear" w:color="auto" w:fill="CFF0FC"/>
          </w:tcPr>
          <w:p>
            <w:pPr>
              <w:spacing w:after="0"/>
              <w:rPr>
                <w:sz w:val="19"/>
                <w:szCs w:val="19"/>
                <w:color w:val="auto"/>
              </w:rPr>
            </w:pPr>
          </w:p>
        </w:tc>
      </w:t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74,169</w:t>
            </w:r>
          </w:p>
        </w:tc>
        <w:tc>
          <w:tcPr>
            <w:tcW w:w="100" w:type="dxa"/>
            <w:vAlign w:val="bottom"/>
          </w:tcPr>
          <w:p>
            <w:pPr>
              <w:spacing w:after="0"/>
              <w:rPr>
                <w:sz w:val="19"/>
                <w:szCs w:val="19"/>
                <w:color w:val="auto"/>
              </w:rPr>
            </w:pPr>
          </w:p>
        </w:tc>
      </w:tr>
      <w:tr>
        <w:trPr>
          <w:trHeight w:val="23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8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800" w:type="dxa"/>
            <w:vAlign w:val="bottom"/>
            <w:gridSpan w:val="4"/>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(41,943 )</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(41,943 )</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(4,520 )</w:t>
            </w:r>
          </w:p>
        </w:tc>
        <w:tc>
          <w:tcPr>
            <w:tcW w:w="10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(4,520 )</w:t>
            </w:r>
          </w:p>
        </w:tc>
      </w:tr>
      <w:tr>
        <w:trPr>
          <w:trHeight w:val="260"/>
        </w:trPr>
        <w:tc>
          <w:tcPr>
            <w:tcW w:w="2940" w:type="dxa"/>
            <w:vAlign w:val="bottom"/>
            <w:tcBorders>
              <w:top w:val="single" w:sz="8" w:color="CFF0FC"/>
              <w:bottom w:val="single" w:sz="8" w:color="CFF0FC"/>
            </w:tcBorders>
            <w:shd w:val="clear" w:color="auto" w:fill="CFF0FC"/>
          </w:tcPr>
          <w:p>
            <w:pPr>
              <w:spacing w:after="0"/>
              <w:rPr>
                <w:sz w:val="22"/>
                <w:szCs w:val="22"/>
                <w:color w:val="auto"/>
              </w:rPr>
            </w:pP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shd w:val="clear" w:color="auto" w:fill="CFF0FC"/>
          </w:tcPr>
          <w:p>
            <w:pPr>
              <w:spacing w:after="0"/>
              <w:rPr>
                <w:sz w:val="22"/>
                <w:szCs w:val="2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202,431</w:t>
            </w:r>
          </w:p>
        </w:tc>
        <w:tc>
          <w:tcPr>
            <w:tcW w:w="280" w:type="dxa"/>
            <w:vAlign w:val="bottom"/>
            <w:tcBorders>
              <w:top w:val="single" w:sz="8" w:color="CFF0FC"/>
              <w:bottom w:val="single" w:sz="8" w:color="CFF0FC"/>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2,957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205,388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-2326640</wp:posOffset>
            </wp:positionV>
            <wp:extent cx="93980"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-2326640</wp:posOffset>
            </wp:positionV>
            <wp:extent cx="85725" cy="1885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-2326640</wp:posOffset>
            </wp:positionV>
            <wp:extent cx="85725"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-1414145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-1396365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-1414145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-1396365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-1414145</wp:posOffset>
            </wp:positionV>
            <wp:extent cx="603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-1396365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-1414145</wp:posOffset>
            </wp:positionV>
            <wp:extent cx="603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-946785</wp:posOffset>
            </wp:positionV>
            <wp:extent cx="93980" cy="1885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-946785</wp:posOffset>
            </wp:positionV>
            <wp:extent cx="85725"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-946785</wp:posOffset>
            </wp:positionV>
            <wp:extent cx="85725" cy="1885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-946785</wp:posOffset>
            </wp:positionV>
            <wp:extent cx="85725"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-179705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03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-179705</wp:posOffset>
            </wp:positionV>
            <wp:extent cx="603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 Remeasurement of Contingent Consideration Arrangements</w:t>
      </w:r>
    </w:p>
    <w:p>
      <w:pPr>
        <w:spacing w:after="0" w:line="121"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The Company remeasured its contingent consideration arrangements associated with its 2021 acquisitions of Mobley Pain Management and Wellness Center LLC and Canwell Processing LLC (collectively “Summit”) and GreenStar Herbals Inc. (“GreenStar”) using Monte Carlo simulation models. During the years ended December 31, 2022 and 2021, the remeasurement resulted in a net gain of $35,200 thousand and $11,900 thousand, respectively. No gains or losses were recorded during the year ended December 31, 2023 as the liabilities were fully extinguished as of December 31, 2022. The change in the fair value of the contingent consideration was driven by a change in management's estimates and projections of the acquired entities' ability to achieve the performance targets as agreed to in the 2021 acquisition agreements along with the change in fair value of the shares to be issued.</w:t>
      </w:r>
    </w:p>
    <w:p>
      <w:pPr>
        <w:spacing w:after="0" w:line="81"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The remeasurement gains were recorded, net, within selling, general, and administrative expenses on the Company's consolidated statements of operations. Significant assumptions used in the Company's December 31, 2022 and 2021 remeasurement included Green Thumb's stock price as of December 31, 2022 and 2021 and projected earnings metrics and revenue targets as of each period then ended.</w:t>
      </w:r>
    </w:p>
    <w:p>
      <w:pPr>
        <w:spacing w:after="0" w:line="280" w:lineRule="exact"/>
        <w:rPr>
          <w:sz w:val="20"/>
          <w:szCs w:val="20"/>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years ended December 31, 2023,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r>
      <w:tr>
        <w:trPr>
          <w:trHeight w:val="241"/>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6"/>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r>
      <w:tr>
        <w:trPr>
          <w:trHeight w:val="24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0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763,166</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614,739</w:t>
            </w: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0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559,480</w:t>
            </w:r>
          </w:p>
        </w:tc>
        <w:tc>
          <w:tcPr>
            <w:tcW w:w="22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495,101</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467,258</w:t>
            </w: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(296,407)</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(188,437)</w:t>
            </w:r>
          </w:p>
        </w:tc>
      </w:tr>
      <w:tr>
        <w:trPr>
          <w:trHeight w:val="281"/>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1,054,553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1,017,375</w:t>
            </w:r>
          </w:p>
        </w:tc>
        <w:tc>
          <w:tcPr>
            <w:tcW w:w="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893,560</w:t>
            </w:r>
          </w:p>
        </w:tc>
      </w:tr>
      <w:tr>
        <w:trPr>
          <w:trHeight w:val="220"/>
        </w:trPr>
        <w:tc>
          <w:tcPr>
            <w:tcW w:w="3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000" w:type="dxa"/>
            <w:vAlign w:val="bottom"/>
            <w:tcBorders>
              <w:top w:val="single" w:sz="8" w:color="CFF0FC"/>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r>
      <w:tr>
        <w:trPr>
          <w:trHeight w:val="24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43,498</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31,619</w:t>
            </w: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22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36,839</w:t>
            </w: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96,664</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68,458</w:t>
            </w: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53,869</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66,908</w:t>
            </w: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0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54,570</w:t>
            </w:r>
          </w:p>
        </w:tc>
        <w:tc>
          <w:tcPr>
            <w:tcW w:w="22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40,908</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57,704</w:t>
            </w: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0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118,630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FF0FC"/>
            </w:tcBorders>
            <w:shd w:val="clear" w:color="auto" w:fill="CFF0FC"/>
          </w:tcPr>
          <w:p>
            <w:pPr>
              <w:spacing w:after="0"/>
              <w:rPr>
                <w:sz w:val="24"/>
                <w:szCs w:val="24"/>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-1636395</wp:posOffset>
            </wp:positionV>
            <wp:extent cx="17145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-1619250</wp:posOffset>
            </wp:positionV>
            <wp:extent cx="17145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-1636395</wp:posOffset>
            </wp:positionV>
            <wp:extent cx="1543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-1619250</wp:posOffset>
            </wp:positionV>
            <wp:extent cx="1543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-993775</wp:posOffset>
            </wp:positionV>
            <wp:extent cx="1714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-993775</wp:posOffset>
            </wp:positionV>
            <wp:extent cx="15430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1714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17145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1543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1543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December 31, 2023 and 2022 was $315,889 thousand and $315,889 thousand, respectively. Intangible assets, net assigned to the Consumer Packaged Goods segment as of December 31, 2023 and 2022 was $260,186 thousand and $286,922 thousand, respectively.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Goodwill assigned to the Retail segment as of December 31, 2023 and 2022 was $273,802 thousand and $273,802 thousand, respectively. Intangible assets, net assigned to the Retail segment as of December 31, 2023 and 2022 was $278,492 thousand and $302,597 thousand, respectively.</w:t>
      </w:r>
    </w:p>
    <w:p>
      <w:pPr>
        <w:spacing w:after="0" w:line="16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assets are aggregated into two reporting units (Retail and Consumer Packaged Goods) which align with our reportable segments. All revenues are derived from customers domiciled in the United States and all assets are located in the United States.</w:t>
      </w: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16" w:lineRule="exact"/>
        <w:rPr>
          <w:sz w:val="20"/>
          <w:szCs w:val="20"/>
          <w:color w:val="auto"/>
        </w:rPr>
      </w:pPr>
    </w:p>
    <w:p>
      <w:pPr>
        <w:ind w:left="540" w:hanging="532"/>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quarterly data for 2023 and 2022.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3"/>
                <w:szCs w:val="13"/>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3"/>
                <w:szCs w:val="13"/>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87"/>
        </w:trPr>
        <w:tc>
          <w:tcPr>
            <w:tcW w:w="4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69"/>
        </w:trPr>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248,536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252,388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275,398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278,231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1,054,553</w:t>
            </w:r>
          </w:p>
        </w:tc>
        <w:tc>
          <w:tcPr>
            <w:tcW w:w="100" w:type="dxa"/>
            <w:vAlign w:val="bottom"/>
          </w:tcPr>
          <w:p>
            <w:pPr>
              <w:spacing w:after="0"/>
              <w:rPr>
                <w:sz w:val="15"/>
                <w:szCs w:val="15"/>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44,202</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41,063</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49,027</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50,340</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184,632</w:t>
            </w:r>
          </w:p>
        </w:tc>
        <w:tc>
          <w:tcPr>
            <w:tcW w:w="100" w:type="dxa"/>
            <w:vAlign w:val="bottom"/>
            <w:shd w:val="clear" w:color="auto" w:fill="CFF0FC"/>
          </w:tcPr>
          <w:p>
            <w:pPr>
              <w:spacing w:after="0"/>
              <w:rPr>
                <w:sz w:val="15"/>
                <w:szCs w:val="15"/>
                <w:color w:val="auto"/>
              </w:rPr>
            </w:pP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9,139</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36,267</w:t>
            </w:r>
          </w:p>
        </w:tc>
        <w:tc>
          <w:tcPr>
            <w:tcW w:w="100" w:type="dxa"/>
            <w:vAlign w:val="bottom"/>
          </w:tcPr>
          <w:p>
            <w:pPr>
              <w:spacing w:after="0"/>
              <w:rPr>
                <w:sz w:val="15"/>
                <w:szCs w:val="15"/>
                <w:color w:val="auto"/>
              </w:rPr>
            </w:pPr>
          </w:p>
        </w:tc>
      </w:tr>
      <w:tr>
        <w:trPr>
          <w:trHeight w:val="17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per share – basic</w:t>
            </w: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FF0FC"/>
          </w:tcPr>
          <w:p>
            <w:pPr>
              <w:spacing w:after="0"/>
              <w:rPr>
                <w:sz w:val="15"/>
                <w:szCs w:val="15"/>
                <w:color w:val="auto"/>
              </w:rPr>
            </w:pP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5"/>
                <w:szCs w:val="15"/>
                <w:color w:val="auto"/>
              </w:rPr>
            </w:pPr>
          </w:p>
        </w:tc>
      </w:tr>
      <w:tr>
        <w:trPr>
          <w:trHeight w:val="17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237,398,253</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238,000,135</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239,459,783</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236,934,348</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237,927,867</w:t>
            </w:r>
          </w:p>
        </w:tc>
        <w:tc>
          <w:tcPr>
            <w:tcW w:w="100" w:type="dxa"/>
            <w:vAlign w:val="bottom"/>
            <w:shd w:val="clear" w:color="auto" w:fill="CFF0FC"/>
          </w:tcPr>
          <w:p>
            <w:pPr>
              <w:spacing w:after="0"/>
              <w:rPr>
                <w:sz w:val="15"/>
                <w:szCs w:val="15"/>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237,686,092</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238,423,288</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240,289,959</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239,162,831</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239,827,390</w:t>
            </w:r>
          </w:p>
        </w:tc>
        <w:tc>
          <w:tcPr>
            <w:tcW w:w="100" w:type="dxa"/>
            <w:vAlign w:val="bottom"/>
          </w:tcPr>
          <w:p>
            <w:pPr>
              <w:spacing w:after="0"/>
              <w:rPr>
                <w:sz w:val="16"/>
                <w:szCs w:val="16"/>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3"/>
                <w:szCs w:val="13"/>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60" w:type="dxa"/>
            <w:vAlign w:val="bottom"/>
          </w:tcPr>
          <w:p>
            <w:pPr>
              <w:spacing w:after="0"/>
              <w:rPr>
                <w:sz w:val="13"/>
                <w:szCs w:val="13"/>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Full</w:t>
            </w:r>
          </w:p>
        </w:tc>
      </w:tr>
      <w:tr>
        <w:trPr>
          <w:trHeight w:val="187"/>
        </w:trPr>
        <w:tc>
          <w:tcPr>
            <w:tcW w:w="4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6"/>
                <w:szCs w:val="16"/>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69"/>
        </w:trPr>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261,194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1,017,375</w:t>
            </w:r>
          </w:p>
        </w:tc>
        <w:tc>
          <w:tcPr>
            <w:tcW w:w="100" w:type="dxa"/>
            <w:vAlign w:val="bottom"/>
          </w:tcPr>
          <w:p>
            <w:pPr>
              <w:spacing w:after="0"/>
              <w:rPr>
                <w:sz w:val="15"/>
                <w:szCs w:val="15"/>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54,552</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62,263</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48,761</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(44,512 )</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121,064</w:t>
            </w:r>
          </w:p>
        </w:tc>
        <w:tc>
          <w:tcPr>
            <w:tcW w:w="100" w:type="dxa"/>
            <w:vAlign w:val="bottom"/>
            <w:shd w:val="clear" w:color="auto" w:fill="CFF0FC"/>
          </w:tcPr>
          <w:p>
            <w:pPr>
              <w:spacing w:after="0"/>
              <w:rPr>
                <w:sz w:val="15"/>
                <w:szCs w:val="15"/>
                <w:color w:val="auto"/>
              </w:rPr>
            </w:pP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Green Thumb Industries Inc.</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28,939</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24,437</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24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(51,227 )</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11,978</w:t>
            </w:r>
          </w:p>
        </w:tc>
        <w:tc>
          <w:tcPr>
            <w:tcW w:w="100" w:type="dxa"/>
            <w:vAlign w:val="bottom"/>
          </w:tcPr>
          <w:p>
            <w:pPr>
              <w:spacing w:after="0"/>
              <w:rPr>
                <w:sz w:val="15"/>
                <w:szCs w:val="15"/>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(0.22 )</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FF0FC"/>
          </w:tcPr>
          <w:p>
            <w:pPr>
              <w:spacing w:after="0"/>
              <w:rPr>
                <w:sz w:val="15"/>
                <w:szCs w:val="15"/>
                <w:color w:val="auto"/>
              </w:rPr>
            </w:pP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(0.22 )</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235,838,947</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236,783,625</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237,002,873</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237,208,543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236,713,056</w:t>
            </w:r>
          </w:p>
        </w:tc>
        <w:tc>
          <w:tcPr>
            <w:tcW w:w="100" w:type="dxa"/>
            <w:vAlign w:val="bottom"/>
            <w:shd w:val="clear" w:color="auto" w:fill="CFF0FC"/>
          </w:tcPr>
          <w:p>
            <w:pPr>
              <w:spacing w:after="0"/>
              <w:rPr>
                <w:sz w:val="15"/>
                <w:szCs w:val="15"/>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238,225,420</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237,762,903</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237,804,799</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237,208,543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238,080,030</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Green Thumb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Consolidated Financial Statements and Internal Control over Financial Reporting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Green Thumb Industries, Inc. (the “Company”) as of December 31, 2023 and 2022, the related consolidated statements of operations, changes in shareholders' equity, and cash flows, for each of the three years in the period ended December 31, 2023, and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00" w:firstLine="45"/>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2" w:name="page113"/>
    <w:bookmarkEnd w:id="112"/>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Evaluation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tests goodwill for impairment annually, or more frequently if events have occurred or circumstances exist that indicate the carrying amount of goodwill may not be recoverable. The Company has recorded $590 million of goodwill as of December 31, 2023. The Company performed the optional qualitative assessment to determine whether it was more likely than not (that is a likelihood of more than 50 percent) that the fair value of the reporting units was less than their carrying amounts, including goodwill.</w:t>
      </w:r>
    </w:p>
    <w:p>
      <w:pPr>
        <w:spacing w:after="0" w:line="180"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While the impairment test did not result in the recording of any impairment loss, the impairment analysis requires management to make significant judgments in performing its assessment including the evaluation of macroeconomic conditions, industry and market conditions, cost factors, overall financial performance, other entity-specific events, events affecting the reporting units, and trends in the Company’s share price.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Auditing management’s impairment analysis is complex due to the judgments required to evaluate management’s assessment of those factors identified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720" w:right="100" w:hanging="503"/>
        <w:spacing w:after="0" w:line="282" w:lineRule="auto"/>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over the Company’s annual goodwill impairment analysis, including assumptions used by management in conducting its impairment analysis, including controls addressing:</w:t>
      </w:r>
    </w:p>
    <w:p>
      <w:pPr>
        <w:spacing w:after="0" w:line="54" w:lineRule="exact"/>
        <w:rPr>
          <w:sz w:val="20"/>
          <w:szCs w:val="20"/>
          <w:color w:val="auto"/>
        </w:rPr>
      </w:pPr>
    </w:p>
    <w:p>
      <w:pPr>
        <w:ind w:left="1180" w:hanging="514"/>
        <w:spacing w:after="0"/>
        <w:tabs>
          <w:tab w:leader="none" w:pos="11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assessment of potential triggering events indicating potential impairment.</w:t>
      </w:r>
    </w:p>
    <w:p>
      <w:pPr>
        <w:spacing w:after="0" w:line="117" w:lineRule="exact"/>
        <w:rPr>
          <w:rFonts w:ascii="Times New Roman" w:cs="Times New Roman" w:eastAsia="Times New Roman" w:hAnsi="Times New Roman"/>
          <w:sz w:val="18"/>
          <w:szCs w:val="18"/>
          <w:color w:val="auto"/>
        </w:rPr>
      </w:pPr>
    </w:p>
    <w:p>
      <w:pPr>
        <w:ind w:left="1180" w:hanging="514"/>
        <w:spacing w:after="0"/>
        <w:tabs>
          <w:tab w:leader="none" w:pos="11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identification of reporting units evaluated for potential impairment.</w:t>
      </w:r>
    </w:p>
    <w:p>
      <w:pPr>
        <w:spacing w:after="0" w:line="117" w:lineRule="exact"/>
        <w:rPr>
          <w:rFonts w:ascii="Times New Roman" w:cs="Times New Roman" w:eastAsia="Times New Roman" w:hAnsi="Times New Roman"/>
          <w:sz w:val="18"/>
          <w:szCs w:val="18"/>
          <w:color w:val="auto"/>
        </w:rPr>
      </w:pPr>
    </w:p>
    <w:p>
      <w:pPr>
        <w:ind w:left="1180" w:hanging="514"/>
        <w:spacing w:after="0"/>
        <w:tabs>
          <w:tab w:leader="none" w:pos="11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assessment of qualitative factors that may indicate potential impairment.</w:t>
      </w:r>
    </w:p>
    <w:p>
      <w:pPr>
        <w:spacing w:after="0" w:line="117" w:lineRule="exact"/>
        <w:rPr>
          <w:rFonts w:ascii="Times New Roman" w:cs="Times New Roman" w:eastAsia="Times New Roman" w:hAnsi="Times New Roman"/>
          <w:sz w:val="18"/>
          <w:szCs w:val="18"/>
          <w:color w:val="auto"/>
        </w:rPr>
      </w:pPr>
    </w:p>
    <w:p>
      <w:pPr>
        <w:ind w:left="720" w:hanging="503"/>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the appropriateness of the judgments and assumptions used by management in conducting its impairment analysis, including:</w:t>
      </w:r>
    </w:p>
    <w:p>
      <w:pPr>
        <w:spacing w:after="0" w:line="117" w:lineRule="exact"/>
        <w:rPr>
          <w:rFonts w:ascii="Times New Roman" w:cs="Times New Roman" w:eastAsia="Times New Roman" w:hAnsi="Times New Roman"/>
          <w:sz w:val="18"/>
          <w:szCs w:val="18"/>
          <w:color w:val="auto"/>
        </w:rPr>
      </w:pPr>
    </w:p>
    <w:p>
      <w:pPr>
        <w:ind w:left="1180" w:hanging="514"/>
        <w:spacing w:after="0"/>
        <w:tabs>
          <w:tab w:leader="none" w:pos="11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the appropriateness of the reporting units evaluated in performing management’s impairment analysis.</w:t>
      </w:r>
    </w:p>
    <w:p>
      <w:pPr>
        <w:spacing w:after="0" w:line="117" w:lineRule="exact"/>
        <w:rPr>
          <w:rFonts w:ascii="Times New Roman" w:cs="Times New Roman" w:eastAsia="Times New Roman" w:hAnsi="Times New Roman"/>
          <w:sz w:val="18"/>
          <w:szCs w:val="18"/>
          <w:color w:val="auto"/>
        </w:rPr>
      </w:pPr>
    </w:p>
    <w:p>
      <w:pPr>
        <w:ind w:left="1180" w:right="20" w:hanging="514"/>
        <w:spacing w:after="0" w:line="261" w:lineRule="auto"/>
        <w:tabs>
          <w:tab w:leader="none" w:pos="11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factors management considered in its qualitative assessment to determine that goodwill was not impaired, including the evaluation of macroeconomic conditions, industry and market conditions, cost factors, the past financial performance of the reporting units, the projected financial performance of the reporting units, other entity-specific events, events affecting the reporting units, and trends in the Company’s share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As of February 29, 2024, Green Thumb Industries Inc. (“we,” “us,” “our,” “Company,” “Corporation” or “Green Thumb”) has three classes of securities registered under Section 12 of the Securities Exchange Act of 1934, as amended (the “Exchange Act”): our Subordinate Voting Shares, our Multiple Voting Shares and our Super Voting Shares.</w:t>
      </w:r>
    </w:p>
    <w:p>
      <w:pPr>
        <w:spacing w:after="0" w:line="176"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terms of our Subordinate Voting Shares, Multiple Voting Shares and Super Voting Shares. This summary does not purport to be complete and is subject to, and qualified in its entirety by, our Amended and Restated Articles (the “Articles”), which is included as an exhibit to the Annual Report on Form 10-K of which this Exhibit 4.2 is a part, as well as the provisions of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Under our Articles, we are authorized to issue an unlimited number of Subordinate Voting Shares, without nominal or par value, an unlimited number of Multiple Voting Shares, without nominal or par value, and an unlimited number of Super Voting Shares, without nominal or par value.</w:t>
      </w:r>
    </w:p>
    <w:p>
      <w:pPr>
        <w:spacing w:after="0" w:line="14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of February 19, 2024, our issued and outstanding capital stock consisted of: (i) 211,630,766 Subordinate Voting Shares; (ii) 37,683 Multiple Voting Shares; and (iii) 216,690 Super Voting Shares.</w:t>
      </w:r>
    </w:p>
    <w:p>
      <w:pPr>
        <w:spacing w:after="0" w:line="162"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Multiple Voting Shares are convertible 1-for-100 into Subordinate Voting Shares, under the circumstances and subject to the conditions described herein. The Super Voting Shares are convertible 1-for-1 into Multiple Voting Shares, under the circumstances and subject to the conditions described herein.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equity shares assuming all are converted into Subordinate Voting Shares would be 237,068,066 Subordinate Voting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 Voting Shares</w:t>
      </w:r>
    </w:p>
    <w:p>
      <w:pPr>
        <w:spacing w:after="0" w:line="227"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Subordinate Voting Shares are entitled to notice of and to attend at any meeting of our shareholders,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meeting of which only holders of another particular class or series of our shares have the right to vote. At each such meeting, holders of Subordinate Voting Shares are entitled to one vote in respect of each Subordinate Voting Share held.</w:t>
      </w:r>
    </w:p>
    <w:p>
      <w:pPr>
        <w:spacing w:after="0" w:line="17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Subordinate Voting Shares remain outstanding, we will not, without the consent of the holders of the Subordinate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Green Thumb.</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Subordinate Voting Shares will, subject to the prior rights of the holders of any of our shares ranking in priority to the Subordinate Voting Shares, be entitled to participate ratably along with all other holders of Subordinate Voting Shares, Multiple Voting Shares (on an as-converted to Subordinate Voting Shares basis) and Super Voting Shares (on an as-converted to Subordinate Voting Shares basis).</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In the event that an offer is made to purchase Multiple Voting Shares and the offer is one which is required,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currently 1 Multiple Voting Share into 100 Subordinate Voting Shares or 1 Super Voting Share into 1 Multiple Voting Share, as applicable,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pursuant to the offer, and for no other reason. In such event, our transfer agent shall deposit the resulting Multiple Voting Shares on behalf of the 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Green Thumb or on the part of the holder, into Subordinate Voting Shares at the conversion ratio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ind w:right="2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Subordinate Voting Shares are entitled to receive, as and when declared by our directors, dividends in cash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No dividend will be declared or paid on the Subordinate Voting Shares unless we simultaneously declare or pay, as applicable, equivalent dividends (on an as-converted to Subordinate Voting Shares basis) on the Multiple Voting Shares and Super Voting Shares.</w:t>
      </w:r>
    </w:p>
    <w:p>
      <w:pPr>
        <w:spacing w:after="0" w:line="173" w:lineRule="exact"/>
        <w:rPr>
          <w:sz w:val="20"/>
          <w:szCs w:val="20"/>
          <w:color w:val="auto"/>
        </w:rPr>
      </w:pPr>
    </w:p>
    <w:p>
      <w:pPr>
        <w:jc w:val="both"/>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Multiple Voting Shares</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Multiple Voting Shares are entitled to notice of and to attend any meeting of our shareholders,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which only holders of another particular class or series of our shares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0"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Multiple Voting Shares remain outstanding, Green Thumb will not, without the consent of the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our Subordinate Voting Shares, or bonds, debentures or other securities.</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Multiple Voting Shares will, subject to the prior rights of the holders of any of our shares ranking in priority to the Multiple Voting Shares, be entitled to participate ratably along with all other holders of Multiple Voting Shares (on an as-converted to Subordinate Voting Share basis), Subordinate Voting Shares and Super Voting Shares (on an as-converted to Subordinate Voting Share basis).</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The Multiple Voting Shares each have a restricted right to convert into 100 Subordinate Voting Shares,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customary corporate changes. The ability to convert the Multiple Voting Shares is subject to a restriction that the aggregate number of Subordinate Voting Shares, Multiple Voting Shares and Super Voting Shares held of record, directly or indirectly, by residents of the United States (as determined in accordance with Rules 3b-4 and 12g3-2(a) under the Exchange Act),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87"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7"/>
          <w:szCs w:val="17"/>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 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our part or on the part of the holder, into Multiple Voting Shares at the inverse of the conversion ratio then in effect.</w:t>
      </w:r>
    </w:p>
    <w:p>
      <w:pPr>
        <w:spacing w:after="0" w:line="17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the Multiple Voting Shares are entitled to receive such dividends as may be declared and paid to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in any financial year as our Board may by resolution determine, on an as-converted to Subordinate Voting Share basis. No dividend will be declared or paid on the Multiple Voting Shares unless we simultaneously declare or pay, as applicable, equivalent dividends (on an as-converted to Subordinate Voting Share basis) on the Subordinate Voting Shares and Super Voting Shares.</w:t>
      </w:r>
    </w:p>
    <w:p>
      <w:pPr>
        <w:spacing w:after="0" w:line="180" w:lineRule="exact"/>
        <w:rPr>
          <w:sz w:val="20"/>
          <w:szCs w:val="20"/>
          <w:color w:val="auto"/>
        </w:rPr>
      </w:pPr>
    </w:p>
    <w:p>
      <w:pPr>
        <w:jc w:val="both"/>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Super Voting Shares</w:t>
      </w:r>
    </w:p>
    <w:p>
      <w:pPr>
        <w:spacing w:after="0" w:line="227" w:lineRule="exact"/>
        <w:rPr>
          <w:sz w:val="20"/>
          <w:szCs w:val="20"/>
          <w:color w:val="auto"/>
        </w:rPr>
      </w:pPr>
    </w:p>
    <w:p>
      <w:pPr>
        <w:jc w:val="both"/>
        <w:ind w:right="3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Notice and Voting Rights. </w:t>
      </w:r>
      <w:r>
        <w:rPr>
          <w:rFonts w:ascii="Times New Roman" w:cs="Times New Roman" w:eastAsia="Times New Roman" w:hAnsi="Times New Roman"/>
          <w:sz w:val="18"/>
          <w:szCs w:val="18"/>
          <w:color w:val="auto"/>
        </w:rPr>
        <w:t>Holders of Super Voting Shares are entitled to notice of and to attend at any meeting of our shareholders, except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which only holders of another particular class or series of our shares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Class Rights. </w:t>
      </w:r>
      <w:r>
        <w:rPr>
          <w:rFonts w:ascii="Times New Roman" w:cs="Times New Roman" w:eastAsia="Times New Roman" w:hAnsi="Times New Roman"/>
          <w:sz w:val="18"/>
          <w:szCs w:val="18"/>
          <w:color w:val="auto"/>
        </w:rPr>
        <w:t>As long as any Super Voting Shares remain outstanding, Green Thumb will not, without the consent of the holders of the Super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our Subordinate Voting Shares, bonds, debentures or other securities not convertible into Super Voting Shares.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the liquidation, dissolution or winding-up of Green Thumb, whether voluntary or involuntary, or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other distribution of our assets among our shareholders for the purpose of winding up our affairs, the holders of Super Voting Shares will, subject to the prior rights of the holders of any of our shares ranking in priority to the Super Voting Shares, be entitled to participate ratably along with all other holders of Super Voting Shares (on an as-converted to Subordinate Voting Share basis), Subordinate Voting Shares and Multiple Voting Shares (on an as-converted to Subordinate Voting Share basis).</w:t>
      </w:r>
    </w:p>
    <w:p>
      <w:pPr>
        <w:spacing w:after="0" w:line="183"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Each Super Voting Share has a right to convert into 1 Multiple Voting Share subject to customary adjustments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changes.</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at the Option of Green Thumb. </w:t>
      </w:r>
      <w:r>
        <w:rPr>
          <w:rFonts w:ascii="Times New Roman" w:cs="Times New Roman" w:eastAsia="Times New Roman" w:hAnsi="Times New Roman"/>
          <w:sz w:val="18"/>
          <w:szCs w:val="18"/>
          <w:color w:val="auto"/>
        </w:rPr>
        <w:t>We have the right to convert all or some of the Super Voting Shares from a holder of Super Voting Shares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equal number of Multiple Voting Shares subject to customary adjustments for certain corporate changes:</w:t>
      </w:r>
    </w:p>
    <w:p>
      <w:pPr>
        <w:spacing w:after="0" w:line="160" w:lineRule="exact"/>
        <w:rPr>
          <w:sz w:val="20"/>
          <w:szCs w:val="20"/>
          <w:color w:val="auto"/>
        </w:rPr>
      </w:pPr>
    </w:p>
    <w:p>
      <w:pPr>
        <w:ind w:left="760" w:hanging="3"/>
        <w:spacing w:after="0" w:line="258" w:lineRule="auto"/>
        <w:tabs>
          <w:tab w:leader="none" w:pos="11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by the holder thereof to anyone other than (i) an immediate family member of Benjamin Kovler, Peter Kadens, Anthony Georgiadis or Andrew Grossman (who we refer to as the Initial Holders)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us (who, together with the Initial Holders, we refer to as the Permitted Holders); or</w:t>
      </w:r>
    </w:p>
    <w:p>
      <w:pPr>
        <w:spacing w:after="0" w:line="183" w:lineRule="exact"/>
        <w:rPr>
          <w:rFonts w:ascii="Times New Roman" w:cs="Times New Roman" w:eastAsia="Times New Roman" w:hAnsi="Times New Roman"/>
          <w:sz w:val="18"/>
          <w:szCs w:val="18"/>
          <w:color w:val="auto"/>
        </w:rPr>
      </w:pPr>
    </w:p>
    <w:p>
      <w:pPr>
        <w:ind w:left="760" w:right="20" w:hanging="3"/>
        <w:spacing w:after="0" w:line="253" w:lineRule="auto"/>
        <w:tabs>
          <w:tab w:leader="none" w:pos="11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whereby we, 1165318 B.C. Ltd. (a wholly-owned subsidiary of Bayswater Uranium Corporation), VCP23, LLC, GTI23, Inc. and GTI Finco Inc. combined our respective businesses, is less than 50%. The Initial Holders of Super Voting Shares will, from time to time upon our request, provide us with evidence as to such Initial Holders’ direct and indirect beneficial ownership (and that of our permitted transferees and permitted successors) of Super Voting Shares to enable us to determine if our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required to convert Super Voting Shares on a prorated basis among the holders of Super Voting Shares.</w:t>
      </w:r>
    </w:p>
    <w:p>
      <w:pPr>
        <w:spacing w:after="0" w:line="223"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There are no transfer restrictions in our Articles for the Super Voting Shares, subject to conversion rights at our option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at the Option of Green Thumb” above).</w:t>
      </w:r>
    </w:p>
    <w:p>
      <w:pPr>
        <w:spacing w:after="0" w:line="158"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the Super Voting Shares are entitled to receive such dividends as may be declared and paid to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Voting Shares in any financial year as the Board may by resolution determine, on an as-converted to Subordinate Voting Share basis. No dividend will be declared or paid on the Super Voting Shares unless we simultaneously declare or pay, as applicable, equivalent dividends (on an as-converted to Subordinate Voting Share basis) on the Multiple Voting Shares and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6" w:name="page117"/>
    <w:bookmarkEnd w:id="116"/>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No subdivision or consolidation of the Subordinate Voting Shares, Multiple Voting Shares or Super Voting Shares shall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transfer agent for our Subordinate Voting Shares is Odyssey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are listed on OTCQX Best Market under the symbol “GTBIF.” Our Subordinate Voting Shares are also listed on the Canadian Securities Exchange under the symbol “GTII.”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44"/>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ind w:left="1060"/>
              <w:spacing w:after="0"/>
              <w:rPr>
                <w:sz w:val="20"/>
                <w:szCs w:val="20"/>
                <w:color w:val="auto"/>
              </w:rPr>
            </w:pPr>
            <w:r>
              <w:rPr>
                <w:rFonts w:ascii="Calibri" w:cs="Calibri" w:eastAsia="Calibri" w:hAnsi="Calibri"/>
                <w:sz w:val="20"/>
                <w:szCs w:val="20"/>
                <w:color w:val="auto"/>
                <w:w w:val="98"/>
              </w:rPr>
              <w:t>Exhibit 21.1</w:t>
            </w:r>
          </w:p>
        </w:tc>
        <w:tc>
          <w:tcPr>
            <w:tcW w:w="0" w:type="dxa"/>
            <w:vAlign w:val="bottom"/>
          </w:tcPr>
          <w:p>
            <w:pPr>
              <w:spacing w:after="0"/>
              <w:rPr>
                <w:sz w:val="1"/>
                <w:szCs w:val="1"/>
                <w:color w:val="auto"/>
              </w:rPr>
            </w:pPr>
          </w:p>
        </w:tc>
      </w:tr>
      <w:tr>
        <w:trPr>
          <w:trHeight w:val="870"/>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5"/>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9"/>
              </w:rPr>
              <w:t>List of Significant Subsidiaries of Green Thumb Industries Inc.</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20" w:type="dxa"/>
            <w:vAlign w:val="bottom"/>
          </w:tcPr>
          <w:p>
            <w:pPr>
              <w:spacing w:after="0"/>
              <w:rPr>
                <w:sz w:val="24"/>
                <w:szCs w:val="24"/>
                <w:color w:val="auto"/>
              </w:rPr>
            </w:pPr>
          </w:p>
        </w:tc>
        <w:tc>
          <w:tcPr>
            <w:tcW w:w="21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20" w:type="dxa"/>
            <w:vAlign w:val="bottom"/>
          </w:tcPr>
          <w:p>
            <w:pPr>
              <w:spacing w:after="0"/>
              <w:rPr>
                <w:sz w:val="24"/>
                <w:szCs w:val="24"/>
                <w:color w:val="auto"/>
              </w:rPr>
            </w:pPr>
          </w:p>
        </w:tc>
        <w:tc>
          <w:tcPr>
            <w:tcW w:w="21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Formation Date</w:t>
            </w:r>
          </w:p>
        </w:tc>
        <w:tc>
          <w:tcPr>
            <w:tcW w:w="120" w:type="dxa"/>
            <w:vAlign w:val="bottom"/>
          </w:tcPr>
          <w:p>
            <w:pPr>
              <w:spacing w:after="0"/>
              <w:rPr>
                <w:sz w:val="24"/>
                <w:szCs w:val="24"/>
                <w:color w:val="auto"/>
              </w:rPr>
            </w:pPr>
          </w:p>
        </w:tc>
        <w:tc>
          <w:tcPr>
            <w:tcW w:w="21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GTI Ownership</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10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 Thumb Industries Inc.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 Canada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1979</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Parent Company</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GTI23, Inc.</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2018</w:t>
            </w: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Parent Company</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VCP23,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27, 2017</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 Core, LLC</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Vision Management Services,</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11, 2016</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Provides Management</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to GTI-</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Businesses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Real Estate Holdings,</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2017</w:t>
            </w: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GTI-Owned</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IP Holdings,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GTI-Owned</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TWD18,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2018</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Core,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GTI’s Interest in</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State-Licensed Businesses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GTI-Clinic Illinois Holdings,</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Illinois,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2014</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GTI’s Illinois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Entities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Maryland,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Maryland,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2015</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Maryland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JB17,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Pennsylvania,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30, 2016</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Pennsylvania</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Nevada,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Nevada,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21, 2016</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Nevada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 Holdings, Inc.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2018 (Converted</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Massachusetts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Massachusetts Non-</w:t>
            </w:r>
          </w:p>
        </w:tc>
        <w:tc>
          <w:tcPr>
            <w:tcW w:w="12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Investors 2017,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Ohio,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22,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Joint Venture Entity</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 Class A Units;</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 Class G Units</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Ohio,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Ohio,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7, 2017</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Ohio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New Jersey, LLC</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New Jersey, USA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19, 2018</w:t>
            </w:r>
          </w:p>
        </w:tc>
        <w:tc>
          <w:tcPr>
            <w:tcW w:w="1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New Jersey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Grow Labs,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Connecticut,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2012</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Connecticut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Bluepoint Apothecary,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Connecticut,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2013</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Connecticut</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Bluepoint License</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Nevada,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9, 2014</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Integral Nevada</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California,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 2018</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Integral California</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Success Holdings Company</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 2015</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Beboe-Related</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Companies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gridSpan w:val="2"/>
          </w:tcPr>
          <w:p>
            <w:pPr>
              <w:jc w:val="right"/>
              <w:ind w:right="1111"/>
              <w:spacing w:after="0"/>
              <w:rPr>
                <w:sz w:val="20"/>
                <w:szCs w:val="20"/>
                <w:color w:val="auto"/>
              </w:rPr>
            </w:pPr>
            <w:r>
              <w:rPr>
                <w:rFonts w:ascii="Calibri" w:cs="Calibri" w:eastAsia="Calibri" w:hAnsi="Calibri"/>
                <w:sz w:val="20"/>
                <w:szCs w:val="20"/>
                <w:color w:val="auto"/>
              </w:rPr>
              <w:t>1</w:t>
            </w: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9"/>
        </w:trPr>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44"/>
        </w:trPr>
        <w:tc>
          <w:tcPr>
            <w:tcW w:w="23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Calibri" w:cs="Calibri" w:eastAsia="Calibri" w:hAnsi="Calibri"/>
                <w:sz w:val="20"/>
                <w:szCs w:val="20"/>
                <w:color w:val="auto"/>
              </w:rPr>
              <w:t>Exhibit 21.1</w:t>
            </w:r>
          </w:p>
        </w:tc>
      </w:tr>
      <w:tr>
        <w:trPr>
          <w:trHeight w:val="66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Florida,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Florida,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July 26, 2017</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Florida Holding Company</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KSGNF,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Florida,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9, 2012</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Florida License</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27, 2014</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New York Licenses</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Virginia,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Virginia,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4, 2018</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Virginia Licenses</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Rhode Island,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Rhode Island,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15, 2021</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Rhode Island</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Licenses</w:t>
            </w:r>
          </w:p>
        </w:tc>
        <w:tc>
          <w:tcPr>
            <w:tcW w:w="1760" w:type="dxa"/>
            <w:vAlign w:val="bottom"/>
          </w:tcPr>
          <w:p>
            <w:pPr>
              <w:spacing w:after="0"/>
              <w:rPr>
                <w:sz w:val="20"/>
                <w:szCs w:val="20"/>
                <w:color w:val="auto"/>
              </w:rPr>
            </w:pP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LeafLine Industries,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Minnesota,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27, 2014</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Minnesota Licenses</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385"/>
        </w:trPr>
        <w:tc>
          <w:tcPr>
            <w:tcW w:w="2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60" w:type="dxa"/>
            <w:vAlign w:val="bottom"/>
          </w:tcPr>
          <w:p>
            <w:pPr>
              <w:ind w:left="1240"/>
              <w:spacing w:after="0"/>
              <w:rPr>
                <w:sz w:val="20"/>
                <w:szCs w:val="20"/>
                <w:color w:val="auto"/>
              </w:rPr>
            </w:pPr>
            <w:r>
              <w:rPr>
                <w:rFonts w:ascii="Calibri" w:cs="Calibri" w:eastAsia="Calibri" w:hAnsi="Calibri"/>
                <w:sz w:val="20"/>
                <w:szCs w:val="20"/>
                <w:color w:val="auto"/>
              </w:rPr>
              <w:t>2</w:t>
            </w:r>
          </w:p>
        </w:tc>
        <w:tc>
          <w:tcPr>
            <w:tcW w:w="2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39"/>
        </w:trPr>
        <w:tc>
          <w:tcPr>
            <w:tcW w:w="23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both"/>
        <w:ind w:right="40"/>
        <w:spacing w:after="0" w:line="221" w:lineRule="exact"/>
        <w:rPr>
          <w:sz w:val="20"/>
          <w:szCs w:val="20"/>
          <w:color w:val="auto"/>
        </w:rPr>
      </w:pPr>
      <w:r>
        <w:rPr>
          <w:rFonts w:ascii="Arial" w:cs="Arial" w:eastAsia="Arial" w:hAnsi="Arial"/>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3ASR (File No. 333</w:t>
      </w:r>
      <w:r>
        <w:rPr>
          <w:rFonts w:ascii="MS PGothic" w:cs="MS PGothic" w:eastAsia="MS PGothic" w:hAnsi="MS PGothic"/>
          <w:sz w:val="18"/>
          <w:szCs w:val="18"/>
          <w:color w:val="auto"/>
        </w:rPr>
        <w:t>‑</w:t>
      </w:r>
      <w:r>
        <w:rPr>
          <w:rFonts w:ascii="Arial" w:cs="Arial" w:eastAsia="Arial" w:hAnsi="Arial"/>
          <w:sz w:val="18"/>
          <w:szCs w:val="18"/>
          <w:color w:val="auto"/>
        </w:rPr>
        <w:t>254745) and Form S</w:t>
      </w:r>
      <w:r>
        <w:rPr>
          <w:rFonts w:ascii="MS PGothic" w:cs="MS PGothic" w:eastAsia="MS PGothic" w:hAnsi="MS PGothic"/>
          <w:sz w:val="18"/>
          <w:szCs w:val="18"/>
          <w:color w:val="auto"/>
        </w:rPr>
        <w:t>‑</w:t>
      </w:r>
      <w:r>
        <w:rPr>
          <w:rFonts w:ascii="Arial" w:cs="Arial" w:eastAsia="Arial" w:hAnsi="Arial"/>
          <w:sz w:val="18"/>
          <w:szCs w:val="18"/>
          <w:color w:val="auto"/>
        </w:rPr>
        <w:t>8 (File No. 333</w:t>
      </w:r>
      <w:r>
        <w:rPr>
          <w:rFonts w:ascii="MS PGothic" w:cs="MS PGothic" w:eastAsia="MS PGothic" w:hAnsi="MS PGothic"/>
          <w:sz w:val="18"/>
          <w:szCs w:val="18"/>
          <w:color w:val="auto"/>
        </w:rPr>
        <w:t>‑</w:t>
      </w:r>
      <w:r>
        <w:rPr>
          <w:rFonts w:ascii="Arial" w:cs="Arial" w:eastAsia="Arial" w:hAnsi="Arial"/>
          <w:sz w:val="18"/>
          <w:szCs w:val="18"/>
          <w:color w:val="auto"/>
        </w:rPr>
        <w:t>236522) of Green Thumb Industries, Inc. of our report dated February 29, 2024, relating to the consolidated financial statements and the effectiveness of internal control over financial reporting, which appears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0" w:name="page121"/>
    <w:bookmarkEnd w:id="12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100" w:hanging="511"/>
        <w:spacing w:after="0" w:line="289" w:lineRule="auto"/>
        <w:tabs>
          <w:tab w:leader="none" w:pos="230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100" w:hanging="511"/>
        <w:spacing w:after="0" w:line="289" w:lineRule="auto"/>
        <w:tabs>
          <w:tab w:leader="none" w:pos="230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2023 as filed with the Securities and Exchange Commission on the date hereof (the “Report”), I, Benjamin Kovler, Chief Executive Officer of the Company,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2023 as filed with the Securities and Exchange Commission on the date hereof (the “Report”), I, Mathew Faulkner, Chief Financial Officer of the Company,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decimal"/>
      <w:start w:val="1"/>
    </w:lvl>
  </w:abstractNum>
  <w:abstractNum w:abstractNumId="9">
    <w:nsid w:val="5DC79EA8"/>
    <w:multiLevelType w:val="hybridMultilevel"/>
    <w:lvl w:ilvl="0">
      <w:lvlJc w:val="left"/>
      <w:lvlText w:val="(%1)"/>
      <w:numFmt w:val="decimal"/>
      <w:start w:val="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1)"/>
      <w:numFmt w:val="lowerLetter"/>
      <w:start w:val="1"/>
    </w:lvl>
  </w:abstractNum>
  <w:abstractNum w:abstractNumId="13">
    <w:nsid w:val="613EFDC5"/>
    <w:multiLevelType w:val="hybridMultilevel"/>
    <w:lvl w:ilvl="0">
      <w:lvlJc w:val="left"/>
      <w:lvlText w:val="(%1)"/>
      <w:numFmt w:val="lowerLetter"/>
      <w:start w:val="2"/>
    </w:lvl>
  </w:abstractNum>
  <w:abstractNum w:abstractNumId="14">
    <w:nsid w:val="BF72B14"/>
    <w:multiLevelType w:val="hybridMultilevel"/>
    <w:lvl w:ilvl="0">
      <w:lvlJc w:val="left"/>
      <w:lvlText w:val="(%1)"/>
      <w:numFmt w:val="lowerLetter"/>
      <w:start w:val="3"/>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1."/>
      <w:numFmt w:val="decimal"/>
      <w:start w:val="1"/>
    </w:lvl>
  </w:abstractNum>
  <w:abstractNum w:abstractNumId="23">
    <w:nsid w:val="60B6DF70"/>
    <w:multiLevelType w:val="hybridMultilevel"/>
    <w:lvl w:ilvl="0">
      <w:lvlJc w:val="left"/>
      <w:lvlText w:val="%1."/>
      <w:numFmt w:val="decimal"/>
      <w:start w:val="2"/>
    </w:lvl>
  </w:abstractNum>
  <w:abstractNum w:abstractNumId="24">
    <w:nsid w:val="6A5EE64"/>
    <w:multiLevelType w:val="hybridMultilevel"/>
    <w:lvl w:ilvl="0">
      <w:lvlJc w:val="left"/>
      <w:lvlText w:val="(%1)"/>
      <w:numFmt w:val="lowerLetter"/>
      <w:start w:val="1"/>
    </w:lvl>
  </w:abstractNum>
  <w:abstractNum w:abstractNumId="25">
    <w:nsid w:val="14330624"/>
    <w:multiLevelType w:val="hybridMultilevel"/>
    <w:lvl w:ilvl="0">
      <w:lvlJc w:val="left"/>
      <w:lvlText w:val="(%1)"/>
      <w:numFmt w:val="lowerLetter"/>
      <w:start w:val="2"/>
    </w:lvl>
  </w:abstractNum>
  <w:abstractNum w:abstractNumId="26">
    <w:nsid w:val="7FFFCA11"/>
    <w:multiLevelType w:val="hybridMultilevel"/>
    <w:lvl w:ilvl="0">
      <w:lvlJc w:val="left"/>
      <w:lvlText w:val="(%1)"/>
      <w:numFmt w:val="lowerLetter"/>
      <w:start w:val="3"/>
    </w:lvl>
  </w:abstractNum>
  <w:abstractNum w:abstractNumId="27">
    <w:nsid w:val="1A27709E"/>
    <w:multiLevelType w:val="hybridMultilevel"/>
    <w:lvl w:ilvl="0">
      <w:lvlJc w:val="left"/>
      <w:lvlText w:val="(%1)"/>
      <w:numFmt w:val="lowerLetter"/>
      <w:start w:val="4"/>
    </w:lvl>
  </w:abstractNum>
  <w:abstractNum w:abstractNumId="28">
    <w:nsid w:val="71EA1109"/>
    <w:multiLevelType w:val="hybridMultilevel"/>
    <w:lvl w:ilvl="0">
      <w:lvlJc w:val="left"/>
      <w:lvlText w:val="%1."/>
      <w:numFmt w:val="decimal"/>
      <w:start w:val="2"/>
    </w:lvl>
  </w:abstractNum>
  <w:abstractNum w:abstractNumId="29">
    <w:nsid w:val="100F59DC"/>
    <w:multiLevelType w:val="hybridMultilevel"/>
    <w:lvl w:ilvl="0">
      <w:lvlJc w:val="left"/>
      <w:lvlText w:val="(%1)"/>
      <w:numFmt w:val="lowerLetter"/>
      <w:start w:val="4"/>
    </w:lvl>
  </w:abstractNum>
  <w:abstractNum w:abstractNumId="30">
    <w:nsid w:val="7FB7E0AA"/>
    <w:multiLevelType w:val="hybridMultilevel"/>
    <w:lvl w:ilvl="0">
      <w:lvlJc w:val="left"/>
      <w:lvlText w:val="%1."/>
      <w:numFmt w:val="decimal"/>
      <w:start w:val="2"/>
    </w:lvl>
  </w:abstractNum>
  <w:abstractNum w:abstractNumId="31">
    <w:nsid w:val="6EB5BD4"/>
    <w:multiLevelType w:val="hybridMultilevel"/>
    <w:lvl w:ilvl="0">
      <w:lvlJc w:val="left"/>
      <w:lvlText w:val="(%1)"/>
      <w:numFmt w:val="lowerLetter"/>
      <w:start w:val="5"/>
    </w:lvl>
  </w:abstractNum>
  <w:abstractNum w:abstractNumId="32">
    <w:nsid w:val="6F6DD9AC"/>
    <w:multiLevelType w:val="hybridMultilevel"/>
    <w:lvl w:ilvl="0">
      <w:lvlJc w:val="left"/>
      <w:lvlText w:val="(%1)"/>
      <w:numFmt w:val="lowerLetter"/>
      <w:start w:val="6"/>
    </w:lvl>
  </w:abstractNum>
  <w:abstractNum w:abstractNumId="33">
    <w:nsid w:val="94211F2"/>
    <w:multiLevelType w:val="hybridMultilevel"/>
    <w:lvl w:ilvl="0">
      <w:lvlJc w:val="left"/>
      <w:lvlText w:val="(%1)"/>
      <w:numFmt w:val="lowerLetter"/>
      <w:start w:val="7"/>
    </w:lvl>
  </w:abstractNum>
  <w:abstractNum w:abstractNumId="34">
    <w:nsid w:val="885E1B"/>
    <w:multiLevelType w:val="hybridMultilevel"/>
    <w:lvl w:ilvl="0">
      <w:lvlJc w:val="left"/>
      <w:lvlText w:val="(%1)"/>
      <w:numFmt w:val="lowerLetter"/>
      <w:start w:val="8"/>
    </w:lvl>
  </w:abstractNum>
  <w:abstractNum w:abstractNumId="35">
    <w:nsid w:val="76272110"/>
    <w:multiLevelType w:val="hybridMultilevel"/>
    <w:lvl w:ilvl="0">
      <w:lvlJc w:val="left"/>
      <w:lvlText w:val="(%1)"/>
      <w:numFmt w:val="lowerRoman"/>
      <w:start w:val="1"/>
    </w:lvl>
  </w:abstractNum>
  <w:abstractNum w:abstractNumId="36">
    <w:nsid w:val="4C04A8AF"/>
    <w:multiLevelType w:val="hybridMultilevel"/>
    <w:lvl w:ilvl="0">
      <w:lvlJc w:val="left"/>
      <w:lvlText w:val="%1."/>
      <w:numFmt w:val="decimal"/>
      <w:start w:val="2"/>
    </w:lvl>
  </w:abstractNum>
  <w:abstractNum w:abstractNumId="37">
    <w:nsid w:val="1716703B"/>
    <w:multiLevelType w:val="hybridMultilevel"/>
    <w:lvl w:ilvl="0">
      <w:lvlJc w:val="left"/>
      <w:lvlText w:val="(%1)"/>
      <w:numFmt w:val="lowerLetter"/>
      <w:start w:val="10"/>
    </w:lvl>
  </w:abstractNum>
  <w:abstractNum w:abstractNumId="38">
    <w:nsid w:val="14E17E33"/>
    <w:multiLevelType w:val="hybridMultilevel"/>
    <w:lvl w:ilvl="0">
      <w:lvlJc w:val="left"/>
      <w:lvlText w:val="(%1)"/>
      <w:numFmt w:val="lowerLetter"/>
      <w:start w:val="11"/>
    </w:lvl>
  </w:abstractNum>
  <w:abstractNum w:abstractNumId="39">
    <w:nsid w:val="3222E7CD"/>
    <w:multiLevelType w:val="hybridMultilevel"/>
    <w:lvl w:ilvl="0">
      <w:lvlJc w:val="left"/>
      <w:lvlText w:val="%1."/>
      <w:numFmt w:val="decimal"/>
      <w:start w:val="2"/>
    </w:lvl>
  </w:abstractNum>
  <w:abstractNum w:abstractNumId="40">
    <w:nsid w:val="74DE0EE3"/>
    <w:multiLevelType w:val="hybridMultilevel"/>
    <w:lvl w:ilvl="0">
      <w:lvlJc w:val="left"/>
      <w:lvlText w:val="(%1)"/>
      <w:numFmt w:val="lowerLetter"/>
      <w:start w:val="12"/>
    </w:lvl>
  </w:abstractNum>
  <w:abstractNum w:abstractNumId="41">
    <w:nsid w:val="68EBC550"/>
    <w:multiLevelType w:val="hybridMultilevel"/>
    <w:lvl w:ilvl="0">
      <w:lvlJc w:val="left"/>
      <w:lvlText w:val="(%1)"/>
      <w:numFmt w:val="lowerLetter"/>
      <w:start w:val="13"/>
    </w:lvl>
  </w:abstractNum>
  <w:abstractNum w:abstractNumId="42">
    <w:nsid w:val="2DF6D648"/>
    <w:multiLevelType w:val="hybridMultilevel"/>
    <w:lvl w:ilvl="0">
      <w:lvlJc w:val="left"/>
      <w:lvlText w:val="%1."/>
      <w:numFmt w:val="decimal"/>
      <w:start w:val="2"/>
    </w:lvl>
  </w:abstractNum>
  <w:abstractNum w:abstractNumId="43">
    <w:nsid w:val="46B7D447"/>
    <w:multiLevelType w:val="hybridMultilevel"/>
    <w:lvl w:ilvl="0">
      <w:lvlJc w:val="left"/>
      <w:lvlText w:val="(%1)"/>
      <w:numFmt w:val="lowerLetter"/>
      <w:start w:val="13"/>
    </w:lvl>
  </w:abstractNum>
  <w:abstractNum w:abstractNumId="44">
    <w:nsid w:val="4A2AC315"/>
    <w:multiLevelType w:val="hybridMultilevel"/>
    <w:lvl w:ilvl="0">
      <w:lvlJc w:val="left"/>
      <w:lvlText w:val="(%1)"/>
      <w:numFmt w:val="lowerLetter"/>
      <w:start w:val="14"/>
    </w:lvl>
  </w:abstractNum>
  <w:abstractNum w:abstractNumId="45">
    <w:nsid w:val="39EE015C"/>
    <w:multiLevelType w:val="hybridMultilevel"/>
    <w:lvl w:ilvl="0">
      <w:lvlJc w:val="left"/>
      <w:lvlText w:val="(%1)"/>
      <w:numFmt w:val="lowerLetter"/>
      <w:start w:val="15"/>
    </w:lvl>
  </w:abstractNum>
  <w:abstractNum w:abstractNumId="46">
    <w:nsid w:val="57FC4FBB"/>
    <w:multiLevelType w:val="hybridMultilevel"/>
    <w:lvl w:ilvl="0">
      <w:lvlJc w:val="left"/>
      <w:lvlText w:val="•"/>
      <w:numFmt w:val="bullet"/>
      <w:start w:val="1"/>
    </w:lvl>
    <w:lvl w:ilvl="1">
      <w:lvlJc w:val="left"/>
      <w:lvlText w:val="•"/>
      <w:numFmt w:val="bullet"/>
      <w:start w:val="1"/>
    </w:lvl>
  </w:abstractNum>
  <w:abstractNum w:abstractNumId="47">
    <w:nsid w:val="CC1016F"/>
    <w:multiLevelType w:val="hybridMultilevel"/>
    <w:lvl w:ilvl="0">
      <w:lvlJc w:val="left"/>
      <w:lvlText w:val="%1."/>
      <w:numFmt w:val="decimal"/>
      <w:start w:val="2"/>
    </w:lvl>
  </w:abstractNum>
  <w:abstractNum w:abstractNumId="48">
    <w:nsid w:val="43F18422"/>
    <w:multiLevelType w:val="hybridMultilevel"/>
    <w:lvl w:ilvl="0">
      <w:lvlJc w:val="left"/>
      <w:lvlText w:val="(%1)"/>
      <w:numFmt w:val="lowerLetter"/>
      <w:start w:val="15"/>
    </w:lvl>
  </w:abstractNum>
  <w:abstractNum w:abstractNumId="49">
    <w:nsid w:val="60EF0119"/>
    <w:multiLevelType w:val="hybridMultilevel"/>
    <w:lvl w:ilvl="0">
      <w:lvlJc w:val="left"/>
      <w:lvlText w:val="(%1)"/>
      <w:numFmt w:val="lowerLetter"/>
      <w:start w:val="16"/>
    </w:lvl>
  </w:abstractNum>
  <w:abstractNum w:abstractNumId="50">
    <w:nsid w:val="26F324BA"/>
    <w:multiLevelType w:val="hybridMultilevel"/>
    <w:lvl w:ilvl="0">
      <w:lvlJc w:val="left"/>
      <w:lvlText w:val="(%1)"/>
      <w:numFmt w:val="lowerLetter"/>
      <w:start w:val="17"/>
    </w:lvl>
  </w:abstractNum>
  <w:abstractNum w:abstractNumId="51">
    <w:nsid w:val="7F01579B"/>
    <w:multiLevelType w:val="hybridMultilevel"/>
    <w:lvl w:ilvl="0">
      <w:lvlJc w:val="left"/>
      <w:lvlText w:val="%1."/>
      <w:numFmt w:val="decimal"/>
      <w:start w:val="2"/>
    </w:lvl>
  </w:abstractNum>
  <w:abstractNum w:abstractNumId="52">
    <w:nsid w:val="49DA307D"/>
    <w:multiLevelType w:val="hybridMultilevel"/>
    <w:lvl w:ilvl="0">
      <w:lvlJc w:val="left"/>
      <w:lvlText w:val="(%1)"/>
      <w:numFmt w:val="lowerLetter"/>
      <w:start w:val="17"/>
    </w:lvl>
  </w:abstractNum>
  <w:abstractNum w:abstractNumId="53">
    <w:nsid w:val="7055A5F5"/>
    <w:multiLevelType w:val="hybridMultilevel"/>
    <w:lvl w:ilvl="0">
      <w:lvlJc w:val="left"/>
      <w:lvlText w:val="(%1)"/>
      <w:numFmt w:val="lowerLetter"/>
      <w:start w:val="18"/>
    </w:lvl>
  </w:abstractNum>
  <w:abstractNum w:abstractNumId="54">
    <w:nsid w:val="5FB8370B"/>
    <w:multiLevelType w:val="hybridMultilevel"/>
    <w:lvl w:ilvl="0">
      <w:lvlJc w:val="left"/>
      <w:lvlText w:val="(%1)"/>
      <w:numFmt w:val="lowerLetter"/>
      <w:start w:val="19"/>
    </w:lvl>
  </w:abstractNum>
  <w:abstractNum w:abstractNumId="55">
    <w:nsid w:val="50801EE1"/>
    <w:multiLevelType w:val="hybridMultilevel"/>
    <w:lvl w:ilvl="0">
      <w:lvlJc w:val="left"/>
      <w:lvlText w:val="(%1)"/>
      <w:numFmt w:val="lowerLetter"/>
      <w:start w:val="20"/>
    </w:lvl>
  </w:abstractNum>
  <w:abstractNum w:abstractNumId="56">
    <w:nsid w:val="488AC1A"/>
    <w:multiLevelType w:val="hybridMultilevel"/>
    <w:lvl w:ilvl="0">
      <w:lvlJc w:val="left"/>
      <w:lvlText w:val="%1."/>
      <w:numFmt w:val="decimal"/>
      <w:start w:val="2"/>
    </w:lvl>
  </w:abstractNum>
  <w:abstractNum w:abstractNumId="57">
    <w:nsid w:val="5FB8011C"/>
    <w:multiLevelType w:val="hybridMultilevel"/>
    <w:lvl w:ilvl="0">
      <w:lvlJc w:val="left"/>
      <w:lvlText w:val="(%1)"/>
      <w:numFmt w:val="lowerLetter"/>
      <w:start w:val="20"/>
    </w:lvl>
  </w:abstractNum>
  <w:abstractNum w:abstractNumId="58">
    <w:nsid w:val="6AA78F7F"/>
    <w:multiLevelType w:val="hybridMultilevel"/>
    <w:lvl w:ilvl="0">
      <w:lvlJc w:val="left"/>
      <w:lvlText w:val="(%1)"/>
      <w:numFmt w:val="lowerLetter"/>
      <w:start w:val="21"/>
    </w:lvl>
  </w:abstractNum>
  <w:abstractNum w:abstractNumId="59">
    <w:nsid w:val="7672BD23"/>
    <w:multiLevelType w:val="hybridMultilevel"/>
    <w:lvl w:ilvl="0">
      <w:lvlJc w:val="left"/>
      <w:lvlText w:val="(%1)"/>
      <w:numFmt w:val="lowerRoman"/>
      <w:start w:val="5"/>
    </w:lvl>
  </w:abstractNum>
  <w:abstractNum w:abstractNumId="60">
    <w:nsid w:val="6FC75AF8"/>
    <w:multiLevelType w:val="hybridMultilevel"/>
    <w:lvl w:ilvl="0">
      <w:lvlJc w:val="left"/>
      <w:lvlText w:val="(%1)"/>
      <w:numFmt w:val="lowerLetter"/>
      <w:start w:val="23"/>
    </w:lvl>
  </w:abstractNum>
  <w:abstractNum w:abstractNumId="61">
    <w:nsid w:val="6A5F7029"/>
    <w:multiLevelType w:val="hybridMultilevel"/>
    <w:lvl w:ilvl="0">
      <w:lvlJc w:val="left"/>
      <w:lvlText w:val="%1."/>
      <w:numFmt w:val="decimal"/>
      <w:start w:val="2"/>
    </w:lvl>
  </w:abstractNum>
  <w:abstractNum w:abstractNumId="62">
    <w:nsid w:val="7D5E18F8"/>
    <w:multiLevelType w:val="hybridMultilevel"/>
    <w:lvl w:ilvl="0">
      <w:lvlJc w:val="left"/>
      <w:lvlText w:val="(%1)"/>
      <w:numFmt w:val="lowerRoman"/>
      <w:start w:val="10"/>
    </w:lvl>
  </w:abstractNum>
  <w:abstractNum w:abstractNumId="63">
    <w:nsid w:val="5F3534A4"/>
    <w:multiLevelType w:val="hybridMultilevel"/>
    <w:lvl w:ilvl="0">
      <w:lvlJc w:val="left"/>
      <w:lvlText w:val="(%1)"/>
      <w:numFmt w:val="lowerRoman"/>
      <w:start w:val="1"/>
    </w:lvl>
  </w:abstractNum>
  <w:abstractNum w:abstractNumId="64">
    <w:nsid w:val="73A1821B"/>
    <w:multiLevelType w:val="hybridMultilevel"/>
    <w:lvl w:ilvl="0">
      <w:lvlJc w:val="left"/>
      <w:lvlText w:val="(%1)"/>
      <w:numFmt w:val="lowerRoman"/>
      <w:start w:val="2"/>
    </w:lvl>
  </w:abstractNum>
  <w:abstractNum w:abstractNumId="65">
    <w:nsid w:val="7DE67713"/>
    <w:multiLevelType w:val="hybridMultilevel"/>
    <w:lvl w:ilvl="0">
      <w:lvlJc w:val="left"/>
      <w:lvlText w:val="%1."/>
      <w:numFmt w:val="decimal"/>
      <w:start w:val="2"/>
    </w:lvl>
    <w:lvl w:ilvl="1">
      <w:lvlJc w:val="left"/>
      <w:lvlText w:val="(%2)"/>
      <w:numFmt w:val="lowerRoman"/>
      <w:start w:val="10"/>
    </w:lvl>
  </w:abstractNum>
  <w:abstractNum w:abstractNumId="66">
    <w:nsid w:val="555C55B5"/>
    <w:multiLevelType w:val="hybridMultilevel"/>
    <w:lvl w:ilvl="0">
      <w:lvlJc w:val="left"/>
      <w:lvlText w:val="(%1)"/>
      <w:numFmt w:val="lowerRoman"/>
      <w:start w:val="4"/>
    </w:lvl>
  </w:abstractNum>
  <w:abstractNum w:abstractNumId="67">
    <w:nsid w:val="3FA62ACA"/>
    <w:multiLevelType w:val="hybridMultilevel"/>
    <w:lvl w:ilvl="0">
      <w:lvlJc w:val="left"/>
      <w:lvlText w:val="(%1)"/>
      <w:numFmt w:val="lowerRoman"/>
      <w:start w:val="5"/>
    </w:lvl>
  </w:abstractNum>
  <w:abstractNum w:abstractNumId="68">
    <w:nsid w:val="14FCE74E"/>
    <w:multiLevelType w:val="hybridMultilevel"/>
    <w:lvl w:ilvl="0">
      <w:lvlJc w:val="left"/>
      <w:lvlText w:val="(%1)"/>
      <w:numFmt w:val="lowerRoman"/>
      <w:start w:val="6"/>
    </w:lvl>
  </w:abstractNum>
  <w:abstractNum w:abstractNumId="69">
    <w:nsid w:val="6A3DD3E8"/>
    <w:multiLevelType w:val="hybridMultilevel"/>
    <w:lvl w:ilvl="0">
      <w:lvlJc w:val="left"/>
      <w:lvlText w:val="%1."/>
      <w:numFmt w:val="decimal"/>
      <w:start w:val="2"/>
    </w:lvl>
  </w:abstractNum>
  <w:abstractNum w:abstractNumId="70">
    <w:nsid w:val="71C91298"/>
    <w:multiLevelType w:val="hybridMultilevel"/>
    <w:lvl w:ilvl="0">
      <w:lvlJc w:val="left"/>
      <w:lvlText w:val="(%1)"/>
      <w:numFmt w:val="lowerRoman"/>
      <w:start w:val="10"/>
    </w:lvl>
    <w:lvl w:ilvl="1">
      <w:lvlJc w:val="left"/>
      <w:lvlText w:val="(%2)"/>
      <w:numFmt w:val="lowerRoman"/>
      <w:start w:val="7"/>
    </w:lvl>
  </w:abstractNum>
  <w:abstractNum w:abstractNumId="71">
    <w:nsid w:val="9DAF632"/>
    <w:multiLevelType w:val="hybridMultilevel"/>
    <w:lvl w:ilvl="0">
      <w:lvlJc w:val="left"/>
      <w:lvlText w:val="(%1)"/>
      <w:numFmt w:val="lowerRoman"/>
      <w:start w:val="8"/>
    </w:lvl>
  </w:abstractNum>
  <w:abstractNum w:abstractNumId="72">
    <w:nsid w:val="53299938"/>
    <w:multiLevelType w:val="hybridMultilevel"/>
    <w:lvl w:ilvl="0">
      <w:lvlJc w:val="left"/>
      <w:lvlText w:val="(%1)"/>
      <w:numFmt w:val="lowerRoman"/>
      <w:start w:val="9"/>
    </w:lvl>
  </w:abstractNum>
  <w:abstractNum w:abstractNumId="73">
    <w:nsid w:val="1FBFE8E0"/>
    <w:multiLevelType w:val="hybridMultilevel"/>
    <w:lvl w:ilvl="0">
      <w:lvlJc w:val="left"/>
      <w:lvlText w:val="(%1)"/>
      <w:numFmt w:val="lowerRoman"/>
      <w:start w:val="10"/>
    </w:lvl>
  </w:abstractNum>
  <w:abstractNum w:abstractNumId="74">
    <w:nsid w:val="5092CA79"/>
    <w:multiLevelType w:val="hybridMultilevel"/>
    <w:lvl w:ilvl="0">
      <w:lvlJc w:val="left"/>
      <w:lvlText w:val="(%1)"/>
      <w:numFmt w:val="lowerLetter"/>
      <w:start w:val="25"/>
    </w:lvl>
    <w:lvl w:ilvl="1">
      <w:lvlJc w:val="left"/>
      <w:lvlText w:val="(%2)"/>
      <w:numFmt w:val="lowerRoman"/>
      <w:start w:val="1"/>
    </w:lvl>
  </w:abstractNum>
  <w:abstractNum w:abstractNumId="75">
    <w:nsid w:val="1D545C4D"/>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3"/>
    </w:lvl>
  </w:abstractNum>
  <w:abstractNum w:abstractNumId="76">
    <w:nsid w:val="59ADEA3D"/>
    <w:multiLevelType w:val="hybridMultilevel"/>
    <w:lvl w:ilvl="0">
      <w:lvlJc w:val="left"/>
      <w:lvlText w:val="%1."/>
      <w:numFmt w:val="decimal"/>
      <w:start w:val="3"/>
    </w:lvl>
  </w:abstractNum>
  <w:abstractNum w:abstractNumId="77">
    <w:nsid w:val="288F1A34"/>
    <w:multiLevelType w:val="hybridMultilevel"/>
    <w:lvl w:ilvl="0">
      <w:lvlJc w:val="left"/>
      <w:lvlText w:val="%1."/>
      <w:numFmt w:val="decimal"/>
      <w:start w:val="4"/>
    </w:lvl>
  </w:abstractNum>
  <w:abstractNum w:abstractNumId="78">
    <w:nsid w:val="2A155DBC"/>
    <w:multiLevelType w:val="hybridMultilevel"/>
    <w:lvl w:ilvl="0">
      <w:lvlJc w:val="left"/>
      <w:lvlText w:val="%1."/>
      <w:numFmt w:val="decimal"/>
      <w:start w:val="5"/>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decimal"/>
      <w:start w:val="5"/>
    </w:lvl>
  </w:abstractNum>
  <w:abstractNum w:abstractNumId="81">
    <w:nsid w:val="51088277"/>
    <w:multiLevelType w:val="hybridMultilevel"/>
    <w:lvl w:ilvl="0">
      <w:lvlJc w:val="left"/>
      <w:lvlText w:val="%1."/>
      <w:numFmt w:val="decimal"/>
      <w:start w:val="6"/>
    </w:lvl>
  </w:abstractNum>
  <w:abstractNum w:abstractNumId="82">
    <w:nsid w:val="1CA0C5FA"/>
    <w:multiLevelType w:val="hybridMultilevel"/>
    <w:lvl w:ilvl="0">
      <w:lvlJc w:val="left"/>
      <w:lvlText w:val="%1."/>
      <w:numFmt w:val="decimal"/>
      <w:start w:val="6"/>
    </w:lvl>
  </w:abstractNum>
  <w:abstractNum w:abstractNumId="83">
    <w:nsid w:val="53584BCB"/>
    <w:multiLevelType w:val="hybridMultilevel"/>
    <w:lvl w:ilvl="0">
      <w:lvlJc w:val="left"/>
      <w:lvlText w:val="%1."/>
      <w:numFmt w:val="decimal"/>
      <w:start w:val="7"/>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2"/>
    </w:lvl>
  </w:abstractNum>
  <w:abstractNum w:abstractNumId="86">
    <w:nsid w:val="23D86AAC"/>
    <w:multiLevelType w:val="hybridMultilevel"/>
    <w:lvl w:ilvl="0">
      <w:lvlJc w:val="left"/>
      <w:lvlText w:val="%1."/>
      <w:numFmt w:val="decimal"/>
      <w:start w:val="7"/>
    </w:lvl>
  </w:abstractNum>
  <w:abstractNum w:abstractNumId="87">
    <w:nsid w:val="45E6D486"/>
    <w:multiLevelType w:val="hybridMultilevel"/>
    <w:lvl w:ilvl="0">
      <w:lvlJc w:val="left"/>
      <w:lvlText w:val="(%1)"/>
      <w:numFmt w:val="lowerLetter"/>
      <w:start w:val="3"/>
    </w:lvl>
  </w:abstractNum>
  <w:abstractNum w:abstractNumId="88">
    <w:nsid w:val="5C10FE21"/>
    <w:multiLevelType w:val="hybridMultilevel"/>
    <w:lvl w:ilvl="0">
      <w:lvlJc w:val="left"/>
      <w:lvlText w:val="(%1)"/>
      <w:numFmt w:val="lowerRoman"/>
      <w:start w:val="1"/>
    </w:lvl>
  </w:abstractNum>
  <w:abstractNum w:abstractNumId="89">
    <w:nsid w:val="E7FFA2B"/>
    <w:multiLevelType w:val="hybridMultilevel"/>
    <w:lvl w:ilvl="0">
      <w:lvlJc w:val="left"/>
      <w:lvlText w:val="%1."/>
      <w:numFmt w:val="decimal"/>
      <w:start w:val="8"/>
    </w:lvl>
  </w:abstractNum>
  <w:abstractNum w:abstractNumId="90">
    <w:nsid w:val="3C5991AA"/>
    <w:multiLevelType w:val="hybridMultilevel"/>
    <w:lvl w:ilvl="0">
      <w:lvlJc w:val="left"/>
      <w:lvlText w:val="1"/>
      <w:numFmt w:val="bullet"/>
      <w:start w:val="1"/>
    </w:lvl>
  </w:abstractNum>
  <w:abstractNum w:abstractNumId="91">
    <w:nsid w:val="4BD8591A"/>
    <w:multiLevelType w:val="hybridMultilevel"/>
    <w:lvl w:ilvl="0">
      <w:lvlJc w:val="left"/>
      <w:lvlText w:val="2"/>
      <w:numFmt w:val="bullet"/>
      <w:start w:val="1"/>
    </w:lvl>
  </w:abstractNum>
  <w:abstractNum w:abstractNumId="92">
    <w:nsid w:val="78DF6A55"/>
    <w:multiLevelType w:val="hybridMultilevel"/>
    <w:lvl w:ilvl="0">
      <w:lvlJc w:val="left"/>
      <w:lvlText w:val="3"/>
      <w:numFmt w:val="bullet"/>
      <w:start w:val="1"/>
    </w:lvl>
  </w:abstractNum>
  <w:abstractNum w:abstractNumId="93">
    <w:nsid w:val="39B7AAA2"/>
    <w:multiLevelType w:val="hybridMultilevel"/>
    <w:lvl w:ilvl="0">
      <w:lvlJc w:val="left"/>
      <w:lvlText w:val="(%1)"/>
      <w:numFmt w:val="lowerLetter"/>
      <w:start w:val="1"/>
    </w:lvl>
  </w:abstractNum>
  <w:abstractNum w:abstractNumId="94">
    <w:nsid w:val="2B0D8DBE"/>
    <w:multiLevelType w:val="hybridMultilevel"/>
    <w:lvl w:ilvl="0">
      <w:lvlJc w:val="left"/>
      <w:lvlText w:val="%1."/>
      <w:numFmt w:val="decimal"/>
      <w:start w:val="8"/>
    </w:lvl>
    <w:lvl w:ilvl="1">
      <w:lvlJc w:val="left"/>
      <w:lvlText w:val="(%2)"/>
      <w:numFmt w:val="lowerLetter"/>
      <w:start w:val="1"/>
    </w:lvl>
  </w:abstractNum>
  <w:abstractNum w:abstractNumId="95">
    <w:nsid w:val="6C80EC70"/>
    <w:multiLevelType w:val="hybridMultilevel"/>
    <w:lvl w:ilvl="0">
      <w:lvlJc w:val="left"/>
      <w:lvlText w:val="(%1)"/>
      <w:numFmt w:val="lowerLetter"/>
      <w:start w:val="2"/>
    </w:lvl>
  </w:abstractNum>
  <w:abstractNum w:abstractNumId="96">
    <w:nsid w:val="379E21B5"/>
    <w:multiLevelType w:val="hybridMultilevel"/>
    <w:lvl w:ilvl="0">
      <w:lvlJc w:val="left"/>
      <w:lvlText w:val="(%1)"/>
      <w:numFmt w:val="lowerLetter"/>
      <w:start w:val="3"/>
    </w:lvl>
  </w:abstractNum>
  <w:abstractNum w:abstractNumId="97">
    <w:nsid w:val="69E373"/>
    <w:multiLevelType w:val="hybridMultilevel"/>
    <w:lvl w:ilvl="0">
      <w:lvlJc w:val="left"/>
      <w:lvlText w:val="(%1)"/>
      <w:numFmt w:val="lowerLetter"/>
      <w:start w:val="4"/>
    </w:lvl>
  </w:abstractNum>
  <w:abstractNum w:abstractNumId="98">
    <w:nsid w:val="2C27173B"/>
    <w:multiLevelType w:val="hybridMultilevel"/>
    <w:lvl w:ilvl="0">
      <w:lvlJc w:val="left"/>
      <w:lvlText w:val="%1."/>
      <w:numFmt w:val="decimal"/>
      <w:start w:val="9"/>
    </w:lvl>
  </w:abstractNum>
  <w:abstractNum w:abstractNumId="99">
    <w:nsid w:val="4C9B0904"/>
    <w:multiLevelType w:val="hybridMultilevel"/>
    <w:lvl w:ilvl="0">
      <w:lvlJc w:val="left"/>
      <w:lvlText w:val="(%1)"/>
      <w:numFmt w:val="lowerLetter"/>
      <w:start w:val="1"/>
    </w:lvl>
  </w:abstractNum>
  <w:abstractNum w:abstractNumId="100">
    <w:nsid w:val="6AA7B75C"/>
    <w:multiLevelType w:val="hybridMultilevel"/>
    <w:lvl w:ilvl="0">
      <w:lvlJc w:val="left"/>
      <w:lvlText w:val="%1."/>
      <w:numFmt w:val="decimal"/>
      <w:start w:val="9"/>
    </w:lvl>
  </w:abstractNum>
  <w:abstractNum w:abstractNumId="101">
    <w:nsid w:val="1DF029D3"/>
    <w:multiLevelType w:val="hybridMultilevel"/>
    <w:lvl w:ilvl="0">
      <w:lvlJc w:val="left"/>
      <w:lvlText w:val="(%1)"/>
      <w:numFmt w:val="lowerLetter"/>
      <w:start w:val="2"/>
    </w:lvl>
  </w:abstractNum>
  <w:abstractNum w:abstractNumId="102">
    <w:nsid w:val="5675FF36"/>
    <w:multiLevelType w:val="hybridMultilevel"/>
    <w:lvl w:ilvl="0">
      <w:lvlJc w:val="left"/>
      <w:lvlText w:val="%1."/>
      <w:numFmt w:val="decimal"/>
      <w:start w:val="10"/>
    </w:lvl>
  </w:abstractNum>
  <w:abstractNum w:abstractNumId="103">
    <w:nsid w:val="3DD15094"/>
    <w:multiLevelType w:val="hybridMultilevel"/>
    <w:lvl w:ilvl="0">
      <w:lvlJc w:val="left"/>
      <w:lvlText w:val="(%1)"/>
      <w:numFmt w:val="lowerLetter"/>
      <w:start w:val="1"/>
    </w:lvl>
  </w:abstractNum>
  <w:abstractNum w:abstractNumId="104">
    <w:nsid w:val="3DB012B3"/>
    <w:multiLevelType w:val="hybridMultilevel"/>
    <w:lvl w:ilvl="0">
      <w:lvlJc w:val="left"/>
      <w:lvlText w:val="(%1)"/>
      <w:numFmt w:val="lowerRoman"/>
      <w:start w:val="1"/>
    </w:lvl>
  </w:abstractNum>
  <w:abstractNum w:abstractNumId="105">
    <w:nsid w:val="2708C9AF"/>
    <w:multiLevelType w:val="hybridMultilevel"/>
    <w:lvl w:ilvl="0">
      <w:lvlJc w:val="left"/>
      <w:lvlText w:val="(%1)"/>
      <w:numFmt w:val="lowerRoman"/>
      <w:start w:val="2"/>
    </w:lvl>
  </w:abstractNum>
  <w:abstractNum w:abstractNumId="106">
    <w:nsid w:val="5B25ACE2"/>
    <w:multiLevelType w:val="hybridMultilevel"/>
    <w:lvl w:ilvl="0">
      <w:lvlJc w:val="left"/>
      <w:lvlText w:val="(%1)"/>
      <w:numFmt w:val="lowerRoman"/>
      <w:start w:val="3"/>
    </w:lvl>
  </w:abstractNum>
  <w:abstractNum w:abstractNumId="107">
    <w:nsid w:val="175DFCF0"/>
    <w:multiLevelType w:val="hybridMultilevel"/>
    <w:lvl w:ilvl="0">
      <w:lvlJc w:val="left"/>
      <w:lvlText w:val="%1."/>
      <w:numFmt w:val="decimal"/>
      <w:start w:val="10"/>
    </w:lvl>
  </w:abstractNum>
  <w:abstractNum w:abstractNumId="108">
    <w:nsid w:val="4F97E3E4"/>
    <w:multiLevelType w:val="hybridMultilevel"/>
    <w:lvl w:ilvl="0">
      <w:lvlJc w:val="left"/>
      <w:lvlText w:val="(%1)"/>
      <w:numFmt w:val="lowerLetter"/>
      <w:start w:val="2"/>
    </w:lvl>
  </w:abstractNum>
  <w:abstractNum w:abstractNumId="109">
    <w:nsid w:val="53B0A9E"/>
    <w:multiLevelType w:val="hybridMultilevel"/>
    <w:lvl w:ilvl="0">
      <w:lvlJc w:val="left"/>
      <w:lvlText w:val="(%1)"/>
      <w:numFmt w:val="lowerRoman"/>
      <w:start w:val="1"/>
    </w:lvl>
  </w:abstractNum>
  <w:abstractNum w:abstractNumId="110">
    <w:nsid w:val="34FD6B4F"/>
    <w:multiLevelType w:val="hybridMultilevel"/>
    <w:lvl w:ilvl="0">
      <w:lvlJc w:val="left"/>
      <w:lvlText w:val="%1."/>
      <w:numFmt w:val="decimal"/>
      <w:start w:val="10"/>
    </w:lvl>
    <w:lvl w:ilvl="1">
      <w:lvlJc w:val="left"/>
      <w:lvlText w:val="(%2)"/>
      <w:numFmt w:val="lowerLetter"/>
      <w:start w:val="2"/>
    </w:lvl>
  </w:abstractNum>
  <w:abstractNum w:abstractNumId="111">
    <w:nsid w:val="5915FF32"/>
    <w:multiLevelType w:val="hybridMultilevel"/>
    <w:lvl w:ilvl="0">
      <w:lvlJc w:val="left"/>
      <w:lvlText w:val="(%1)"/>
      <w:numFmt w:val="lowerRoman"/>
      <w:start w:val="2"/>
    </w:lvl>
  </w:abstractNum>
  <w:abstractNum w:abstractNumId="112">
    <w:nsid w:val="56438D15"/>
    <w:multiLevelType w:val="hybridMultilevel"/>
    <w:lvl w:ilvl="0">
      <w:lvlJc w:val="left"/>
      <w:lvlText w:val="%1."/>
      <w:numFmt w:val="decimal"/>
      <w:start w:val="10"/>
    </w:lvl>
  </w:abstractNum>
  <w:abstractNum w:abstractNumId="113">
    <w:nsid w:val="519E3149"/>
    <w:multiLevelType w:val="hybridMultilevel"/>
    <w:lvl w:ilvl="0">
      <w:lvlJc w:val="left"/>
      <w:lvlText w:val="(%1)"/>
      <w:numFmt w:val="lowerLetter"/>
      <w:start w:val="2"/>
    </w:lvl>
    <w:lvl w:ilvl="1">
      <w:lvlJc w:val="left"/>
      <w:lvlText w:val="(%2)"/>
      <w:numFmt w:val="lowerLetter"/>
      <w:start w:val="61"/>
    </w:lvl>
  </w:abstractNum>
  <w:abstractNum w:abstractNumId="114">
    <w:nsid w:val="2C6E4AFD"/>
    <w:multiLevelType w:val="hybridMultilevel"/>
    <w:lvl w:ilvl="0">
      <w:lvlJc w:val="left"/>
      <w:lvlText w:val="(%1)"/>
      <w:numFmt w:val="lowerRoman"/>
      <w:start w:val="4"/>
    </w:lvl>
  </w:abstractNum>
  <w:abstractNum w:abstractNumId="115">
    <w:nsid w:val="17A1B582"/>
    <w:multiLevelType w:val="hybridMultilevel"/>
    <w:lvl w:ilvl="0">
      <w:lvlJc w:val="left"/>
      <w:lvlText w:val="%1."/>
      <w:numFmt w:val="decimal"/>
      <w:start w:val="10"/>
    </w:lvl>
    <w:lvl w:ilvl="1">
      <w:lvlJc w:val="left"/>
      <w:lvlText w:val="(%2)"/>
      <w:numFmt w:val="lowerLetter"/>
      <w:start w:val="2"/>
    </w:lvl>
  </w:abstractNum>
  <w:abstractNum w:abstractNumId="116">
    <w:nsid w:val="4DF72E4E"/>
    <w:multiLevelType w:val="hybridMultilevel"/>
    <w:lvl w:ilvl="0">
      <w:lvlJc w:val="left"/>
      <w:lvlText w:val="(%1)"/>
      <w:numFmt w:val="lowerRoman"/>
      <w:start w:val="5"/>
    </w:lvl>
  </w:abstractNum>
  <w:abstractNum w:abstractNumId="117">
    <w:nsid w:val="5046B5A9"/>
    <w:multiLevelType w:val="hybridMultilevel"/>
    <w:lvl w:ilvl="0">
      <w:lvlJc w:val="left"/>
      <w:lvlText w:val="(%1)"/>
      <w:numFmt w:val="lowerLetter"/>
      <w:start w:val="3"/>
    </w:lvl>
  </w:abstractNum>
  <w:abstractNum w:abstractNumId="118">
    <w:nsid w:val="5D888A08"/>
    <w:multiLevelType w:val="hybridMultilevel"/>
    <w:lvl w:ilvl="0">
      <w:lvlJc w:val="left"/>
      <w:lvlText w:val="%1."/>
      <w:numFmt w:val="decimal"/>
      <w:start w:val="10"/>
    </w:lvl>
  </w:abstractNum>
  <w:abstractNum w:abstractNumId="119">
    <w:nsid w:val="2A082C70"/>
    <w:multiLevelType w:val="hybridMultilevel"/>
    <w:lvl w:ilvl="0">
      <w:lvlJc w:val="left"/>
      <w:lvlText w:val="(%1)"/>
      <w:numFmt w:val="lowerLetter"/>
      <w:start w:val="3"/>
    </w:lvl>
  </w:abstractNum>
  <w:abstractNum w:abstractNumId="120">
    <w:nsid w:val="5EC6AFD4"/>
    <w:multiLevelType w:val="hybridMultilevel"/>
    <w:lvl w:ilvl="0">
      <w:lvlJc w:val="left"/>
      <w:lvlText w:val="%1."/>
      <w:numFmt w:val="decimal"/>
      <w:start w:val="11"/>
    </w:lvl>
  </w:abstractNum>
  <w:abstractNum w:abstractNumId="121">
    <w:nsid w:val="19E21BB2"/>
    <w:multiLevelType w:val="hybridMultilevel"/>
    <w:lvl w:ilvl="0">
      <w:lvlJc w:val="left"/>
      <w:lvlText w:val="%1."/>
      <w:numFmt w:val="decimal"/>
      <w:start w:val="11"/>
    </w:lvl>
  </w:abstractNum>
  <w:abstractNum w:abstractNumId="122">
    <w:nsid w:val="75E0858A"/>
    <w:multiLevelType w:val="hybridMultilevel"/>
    <w:lvl w:ilvl="0">
      <w:lvlJc w:val="left"/>
      <w:lvlText w:val="%1."/>
      <w:numFmt w:val="decimal"/>
      <w:start w:val="11"/>
    </w:lvl>
  </w:abstractNum>
  <w:abstractNum w:abstractNumId="123">
    <w:nsid w:val="57A61A29"/>
    <w:multiLevelType w:val="hybridMultilevel"/>
    <w:lvl w:ilvl="0">
      <w:lvlJc w:val="left"/>
      <w:lvlText w:val="%1."/>
      <w:numFmt w:val="decimal"/>
      <w:start w:val="12"/>
    </w:lvl>
  </w:abstractNum>
  <w:abstractNum w:abstractNumId="124">
    <w:nsid w:val="5399C654"/>
    <w:multiLevelType w:val="hybridMultilevel"/>
    <w:lvl w:ilvl="0">
      <w:lvlJc w:val="left"/>
      <w:lvlText w:val="%1."/>
      <w:numFmt w:val="decimal"/>
      <w:start w:val="13"/>
    </w:lvl>
  </w:abstractNum>
  <w:abstractNum w:abstractNumId="125">
    <w:nsid w:val="20EE1348"/>
    <w:multiLevelType w:val="hybridMultilevel"/>
    <w:lvl w:ilvl="0">
      <w:lvlJc w:val="left"/>
      <w:lvlText w:val="(%1)"/>
      <w:numFmt w:val="lowerLetter"/>
      <w:start w:val="1"/>
    </w:lvl>
  </w:abstractNum>
  <w:abstractNum w:abstractNumId="126">
    <w:nsid w:val="4427069A"/>
    <w:multiLevelType w:val="hybridMultilevel"/>
    <w:lvl w:ilvl="0">
      <w:lvlJc w:val="left"/>
      <w:lvlText w:val="(%1)"/>
      <w:numFmt w:val="lowerLetter"/>
      <w:start w:val="2"/>
    </w:lvl>
  </w:abstractNum>
  <w:abstractNum w:abstractNumId="127">
    <w:nsid w:val="B37E80A"/>
    <w:multiLevelType w:val="hybridMultilevel"/>
    <w:lvl w:ilvl="0">
      <w:lvlJc w:val="left"/>
      <w:lvlText w:val="(%1)"/>
      <w:numFmt w:val="lowerLetter"/>
      <w:start w:val="3"/>
    </w:lvl>
  </w:abstractNum>
  <w:abstractNum w:abstractNumId="128">
    <w:nsid w:val="2157F6BC"/>
    <w:multiLevelType w:val="hybridMultilevel"/>
    <w:lvl w:ilvl="0">
      <w:lvlJc w:val="left"/>
      <w:lvlText w:val="%1."/>
      <w:numFmt w:val="decimal"/>
      <w:start w:val="14"/>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decimal"/>
      <w:start w:val="14"/>
    </w:lvl>
  </w:abstractNum>
  <w:abstractNum w:abstractNumId="131">
    <w:nsid w:val="BFFAE18"/>
    <w:multiLevelType w:val="hybridMultilevel"/>
    <w:lvl w:ilvl="0">
      <w:lvlJc w:val="left"/>
      <w:lvlText w:val="%1."/>
      <w:numFmt w:val="decimal"/>
      <w:start w:val="15"/>
    </w:lvl>
  </w:abstractNum>
  <w:abstractNum w:abstractNumId="132">
    <w:nsid w:val="E3E47A8"/>
    <w:multiLevelType w:val="hybridMultilevel"/>
    <w:lvl w:ilvl="0">
      <w:lvlJc w:val="left"/>
      <w:lvlText w:val="%1."/>
      <w:numFmt w:val="decimal"/>
      <w:start w:val="16"/>
    </w:lvl>
  </w:abstractNum>
  <w:abstractNum w:abstractNumId="133">
    <w:nsid w:val="2E48F044"/>
    <w:multiLevelType w:val="hybridMultilevel"/>
    <w:lvl w:ilvl="0">
      <w:lvlJc w:val="left"/>
      <w:lvlText w:val="•"/>
      <w:numFmt w:val="bullet"/>
      <w:start w:val="1"/>
    </w:lvl>
  </w:abstractNum>
  <w:abstractNum w:abstractNumId="134">
    <w:nsid w:val="49D0FEAC"/>
    <w:multiLevelType w:val="hybridMultilevel"/>
    <w:lvl w:ilvl="0">
      <w:lvlJc w:val="left"/>
      <w:lvlText w:val="•"/>
      <w:numFmt w:val="bullet"/>
      <w:start w:val="1"/>
    </w:lvl>
    <w:lvl w:ilvl="1">
      <w:lvlJc w:val="left"/>
      <w:lvlText w:val="o"/>
      <w:numFmt w:val="bullet"/>
      <w:start w:val="1"/>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decimal"/>
      <w:start w:val="1"/>
    </w:lvl>
    <w:lvl w:ilvl="1">
      <w:lvlJc w:val="left"/>
      <w:lvlText w:val="%2."/>
      <w:numFmt w:val="lowerLetter"/>
      <w:start w:val="1"/>
    </w:lvl>
  </w:abstractNum>
  <w:abstractNum w:abstractNumId="137">
    <w:nsid w:val="24F6AB8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142" Type="http://schemas.openxmlformats.org/officeDocument/2006/relationships/hyperlink" Target="https://www.sec.gov/Archives/edgar/data/0001795139/000119312519320787/d845813dex31.htm" TargetMode="External"/><Relationship Id="rId143" Type="http://schemas.openxmlformats.org/officeDocument/2006/relationships/hyperlink" Target="https://www.sec.gov/Archives/edgar/data/0001795139/000119312519320787/d845813dex41.htm" TargetMode="External"/><Relationship Id="rId144" Type="http://schemas.openxmlformats.org/officeDocument/2006/relationships/hyperlink" Target="https://www.sec.gov/Archives/edgar/data/0001795139/000119312519320787/d845813dex101.htm" TargetMode="External"/><Relationship Id="rId145" Type="http://schemas.openxmlformats.org/officeDocument/2006/relationships/hyperlink" Target="https://www.sec.gov/Archives/edgar/data/1795139/000119312521152714/d334570dex101.htm" TargetMode="External"/><Relationship Id="rId146" Type="http://schemas.openxmlformats.org/officeDocument/2006/relationships/hyperlink" Target="https://www.sec.gov/Archives/edgar/data/0001795139/000119312519320787/d845813dex108.htm" TargetMode="External"/><Relationship Id="rId147" Type="http://schemas.openxmlformats.org/officeDocument/2006/relationships/hyperlink" Target="https://www.sec.gov/Archives/edgar/data/0001795139/000119312519320787/d845813dex109.htm" TargetMode="External"/><Relationship Id="rId148" Type="http://schemas.openxmlformats.org/officeDocument/2006/relationships/hyperlink" Target="https://www.sec.gov/Archives/edgar/data/1795139/000095017023017437/gtbif-ex10_1.htm" TargetMode="External"/><Relationship Id="rId149" Type="http://schemas.openxmlformats.org/officeDocument/2006/relationships/hyperlink" Target="https://www.sec.gov/Archives/edgar/data/1795139/000095017023005368/gtbif-ex10_10.htm" TargetMode="External"/><Relationship Id="rId150" Type="http://schemas.openxmlformats.org/officeDocument/2006/relationships/hyperlink" Target="https://www.sec.gov/Archives/edgar/data/1795139/000095017023005368/gtbif-ex10_11.htm" TargetMode="External"/><Relationship Id="rId151" Type="http://schemas.openxmlformats.org/officeDocument/2006/relationships/hyperlink" Target="https://www.sec.gov/Archives/edgar/data/1795139/000095017023005368/gtbif-ex10_12.htm" TargetMode="External"/><Relationship Id="rId152" Type="http://schemas.openxmlformats.org/officeDocument/2006/relationships/hyperlink" Target="https://www.sec.gov/Archives/edgar/data/0001795139/000119312521084882/d113558dex1013.htm" TargetMode="External"/><Relationship Id="rId153" Type="http://schemas.openxmlformats.org/officeDocument/2006/relationships/hyperlink" Target="https://www.sec.gov/Archives/edgar/data/1795139/000095017023005368/gtbif-ex10_14.htm" TargetMode="External"/><Relationship Id="rId154" Type="http://schemas.openxmlformats.org/officeDocument/2006/relationships/hyperlink" Target="https://www.sec.gov/Archives/edgar/data/1795139/000095017023005368/gtbif-ex10_15.htm" TargetMode="External"/><Relationship Id="rId155" Type="http://schemas.openxmlformats.org/officeDocument/2006/relationships/hyperlink" Target="https://www.sec.gov/Archives/edgar/data/1795139/000095017023005368/gtbif-ex10_16.htm" TargetMode="External"/><Relationship Id="rId156" Type="http://schemas.openxmlformats.org/officeDocument/2006/relationships/hyperlink" Target="https://www.sec.gov/Archives/edgar/data/1795139/000095017023005368/gtbif-ex10_17.htm" TargetMode="External"/><Relationship Id="rId157" Type="http://schemas.openxmlformats.org/officeDocument/2006/relationships/hyperlink" Target="https://www.sec.gov/Archives/edgar/data/1795139/000095017023017437/gtbif-ex10_3.htm" TargetMode="External"/><Relationship Id="rId158" Type="http://schemas.openxmlformats.org/officeDocument/2006/relationships/hyperlink" Target="https://www.sec.gov/Archives/edgar/data/1795139/000095017023017437/gtbif-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2024-02-29T06:57:49Z</dcterms:created>
  <dcterms:modified xsi:type="dcterms:W3CDTF">2024-02-29T06:57:49Z</dcterms:modified>
</cp:coreProperties>
</file>