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Reisin Richard</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09/20/2023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Green Thumb Industries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GTII/GTBIF</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5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325 W. HURON STREET</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700</w:t>
      </w:r>
    </w:p>
    <w:p>
      <w:pPr>
        <w:spacing w:after="0" w:line="32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6"/>
                <w:szCs w:val="16"/>
                <w:color w:val="auto"/>
              </w:rPr>
            </w:pPr>
          </w:p>
        </w:tc>
      </w:tr>
      <w:tr>
        <w:trPr>
          <w:trHeight w:val="269"/>
        </w:trPr>
        <w:tc>
          <w:tcPr>
            <w:tcW w:w="1660" w:type="dxa"/>
            <w:vAlign w:val="bottom"/>
          </w:tcPr>
          <w:p>
            <w:pPr>
              <w:ind w:left="40"/>
              <w:spacing w:after="0"/>
              <w:rPr>
                <w:sz w:val="20"/>
                <w:szCs w:val="20"/>
                <w:color w:val="auto"/>
              </w:rPr>
            </w:pPr>
            <w:r>
              <w:rPr>
                <w:rFonts w:ascii="Arial" w:cs="Arial" w:eastAsia="Arial" w:hAnsi="Arial"/>
                <w:sz w:val="20"/>
                <w:szCs w:val="20"/>
                <w:color w:val="0000FF"/>
              </w:rPr>
              <w:t>CHICAGO  IL</w:t>
            </w:r>
          </w:p>
        </w:tc>
        <w:tc>
          <w:tcPr>
            <w:tcW w:w="920" w:type="dxa"/>
            <w:vAlign w:val="bottom"/>
          </w:tcPr>
          <w:p>
            <w:pPr>
              <w:jc w:val="right"/>
              <w:spacing w:after="0"/>
              <w:rPr>
                <w:sz w:val="20"/>
                <w:szCs w:val="20"/>
                <w:color w:val="auto"/>
              </w:rPr>
            </w:pPr>
            <w:r>
              <w:rPr>
                <w:rFonts w:ascii="Arial" w:cs="Arial" w:eastAsia="Arial" w:hAnsi="Arial"/>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10"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3"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5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Subordinate Voting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vMerge w:val="restart"/>
          </w:tcPr>
          <w:p>
            <w:pPr>
              <w:ind w:left="700"/>
              <w:spacing w:after="0"/>
              <w:rPr>
                <w:sz w:val="20"/>
                <w:szCs w:val="20"/>
                <w:color w:val="auto"/>
              </w:rPr>
            </w:pPr>
            <w:r>
              <w:rPr>
                <w:rFonts w:ascii="Arial" w:cs="Arial" w:eastAsia="Arial" w:hAnsi="Arial"/>
                <w:sz w:val="20"/>
                <w:szCs w:val="20"/>
                <w:color w:val="0000FF"/>
              </w:rPr>
              <w:t>70,285</w:t>
            </w:r>
          </w:p>
        </w:tc>
        <w:tc>
          <w:tcPr>
            <w:tcW w:w="66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Arial" w:cs="Arial" w:eastAsia="Arial" w:hAnsi="Arial"/>
                <w:sz w:val="20"/>
                <w:szCs w:val="20"/>
                <w:color w:val="0000FF"/>
              </w:rPr>
              <w:t>I</w:t>
            </w:r>
          </w:p>
        </w:tc>
        <w:tc>
          <w:tcPr>
            <w:tcW w:w="2780" w:type="dxa"/>
            <w:vAlign w:val="bottom"/>
            <w:gridSpan w:val="4"/>
          </w:tcPr>
          <w:p>
            <w:pPr>
              <w:spacing w:after="0"/>
              <w:rPr>
                <w:sz w:val="20"/>
                <w:szCs w:val="20"/>
                <w:color w:val="auto"/>
              </w:rPr>
            </w:pPr>
            <w:r>
              <w:rPr>
                <w:rFonts w:ascii="Arial" w:cs="Arial" w:eastAsia="Arial" w:hAnsi="Arial"/>
                <w:sz w:val="20"/>
                <w:szCs w:val="20"/>
                <w:color w:val="0000FF"/>
              </w:rPr>
              <w:t>Richard A. Reisin Revocable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20"/>
                <w:szCs w:val="20"/>
                <w:color w:val="0000FF"/>
                <w:w w:val="87"/>
              </w:rPr>
              <w:t>Trust</w:t>
            </w:r>
          </w:p>
        </w:tc>
        <w:tc>
          <w:tcPr>
            <w:tcW w:w="8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5"/>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5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4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420" w:type="dxa"/>
            <w:vAlign w:val="bottom"/>
          </w:tcPr>
          <w:p>
            <w:pPr>
              <w:spacing w:after="0"/>
              <w:rPr>
                <w:sz w:val="7"/>
                <w:szCs w:val="7"/>
                <w:color w:val="auto"/>
              </w:rPr>
            </w:pPr>
          </w:p>
        </w:tc>
        <w:tc>
          <w:tcPr>
            <w:tcW w:w="86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660" w:type="dxa"/>
            <w:vAlign w:val="bottom"/>
            <w:vMerge w:val="restart"/>
          </w:tcPr>
          <w:p>
            <w:pPr>
              <w:ind w:left="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26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660" w:type="dxa"/>
            <w:vAlign w:val="bottom"/>
          </w:tcPr>
          <w:p>
            <w:pPr>
              <w:ind w:left="8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Kathryn A. Lloyd,</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10/02/2023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2142490</wp:posOffset>
            </wp:positionH>
            <wp:positionV relativeFrom="page">
              <wp:posOffset>430530</wp:posOffset>
            </wp:positionV>
            <wp:extent cx="3281045" cy="669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81045" cy="669925"/>
                    </a:xfrm>
                    <a:prstGeom prst="rect">
                      <a:avLst/>
                    </a:prstGeom>
                    <a:noFill/>
                  </pic:spPr>
                </pic:pic>
              </a:graphicData>
            </a:graphic>
          </wp:anchor>
        </w:drawing>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APPENDIX C</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5" w:lineRule="exact"/>
        <w:rPr>
          <w:sz w:val="20"/>
          <w:szCs w:val="20"/>
          <w:color w:val="auto"/>
        </w:rPr>
      </w:pPr>
    </w:p>
    <w:p>
      <w:pPr>
        <w:ind w:right="520" w:firstLine="720"/>
        <w:spacing w:after="0" w:line="260" w:lineRule="auto"/>
        <w:rPr>
          <w:sz w:val="20"/>
          <w:szCs w:val="20"/>
          <w:color w:val="auto"/>
        </w:rPr>
      </w:pPr>
      <w:r>
        <w:rPr>
          <w:rFonts w:ascii="Arial" w:cs="Arial" w:eastAsia="Arial" w:hAnsi="Arial"/>
          <w:sz w:val="24"/>
          <w:szCs w:val="24"/>
          <w:color w:val="auto"/>
        </w:rPr>
        <w:t>The undersigned hereby constitutes and appoints each of Bret Kravitz and Kathryn A. Lloyd, signing singly, the undersigned’s true and lawful attorney-in-fact to:</w:t>
      </w:r>
    </w:p>
    <w:p>
      <w:pPr>
        <w:spacing w:after="0" w:line="47" w:lineRule="exact"/>
        <w:rPr>
          <w:sz w:val="20"/>
          <w:szCs w:val="20"/>
          <w:color w:val="auto"/>
        </w:rPr>
      </w:pPr>
    </w:p>
    <w:p>
      <w:pPr>
        <w:ind w:left="720" w:right="40" w:hanging="360"/>
        <w:spacing w:after="0" w:line="239" w:lineRule="auto"/>
        <w:tabs>
          <w:tab w:leader="none" w:pos="690" w:val="left"/>
        </w:tabs>
        <w:numPr>
          <w:ilvl w:val="0"/>
          <w:numId w:val="5"/>
        </w:numPr>
        <w:rPr>
          <w:rFonts w:ascii="Arial" w:cs="Arial" w:eastAsia="Arial" w:hAnsi="Arial"/>
          <w:sz w:val="24"/>
          <w:szCs w:val="24"/>
          <w:color w:val="auto"/>
        </w:rPr>
      </w:pPr>
      <w:r>
        <w:rPr>
          <w:rFonts w:ascii="Arial" w:cs="Arial" w:eastAsia="Arial" w:hAnsi="Arial"/>
          <w:sz w:val="24"/>
          <w:szCs w:val="24"/>
          <w:color w:val="auto"/>
        </w:rPr>
        <w:t>prepare, execute, deliver and file for and on behalf of the undersigned, the Uniform Application for Access codes to file on EDGAR (“Form ID”) with the Securities and Exchange Commission (“SEC”) and receive for and on behalf of the undersigned any notice given to the undersigned in connection with the Form ID;</w:t>
      </w:r>
    </w:p>
    <w:p>
      <w:pPr>
        <w:spacing w:after="0" w:line="1" w:lineRule="exact"/>
        <w:rPr>
          <w:rFonts w:ascii="Arial" w:cs="Arial" w:eastAsia="Arial" w:hAnsi="Arial"/>
          <w:sz w:val="24"/>
          <w:szCs w:val="24"/>
          <w:color w:val="auto"/>
        </w:rPr>
      </w:pPr>
    </w:p>
    <w:p>
      <w:pPr>
        <w:ind w:left="720" w:right="360" w:hanging="360"/>
        <w:spacing w:after="0" w:line="234" w:lineRule="auto"/>
        <w:tabs>
          <w:tab w:leader="none" w:pos="690" w:val="left"/>
        </w:tabs>
        <w:numPr>
          <w:ilvl w:val="0"/>
          <w:numId w:val="5"/>
        </w:numPr>
        <w:rPr>
          <w:rFonts w:ascii="Arial" w:cs="Arial" w:eastAsia="Arial" w:hAnsi="Arial"/>
          <w:sz w:val="24"/>
          <w:szCs w:val="24"/>
          <w:color w:val="auto"/>
        </w:rPr>
      </w:pPr>
      <w:r>
        <w:rPr>
          <w:rFonts w:ascii="Arial" w:cs="Arial" w:eastAsia="Arial" w:hAnsi="Arial"/>
          <w:sz w:val="24"/>
          <w:szCs w:val="24"/>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Green Thumb Industries, Inc., including but not limited to Forms 3, 4 and 5; and</w:t>
      </w:r>
    </w:p>
    <w:p>
      <w:pPr>
        <w:spacing w:after="0" w:line="4" w:lineRule="exact"/>
        <w:rPr>
          <w:rFonts w:ascii="Arial" w:cs="Arial" w:eastAsia="Arial" w:hAnsi="Arial"/>
          <w:sz w:val="24"/>
          <w:szCs w:val="24"/>
          <w:color w:val="auto"/>
        </w:rPr>
      </w:pPr>
    </w:p>
    <w:p>
      <w:pPr>
        <w:ind w:left="720" w:right="160" w:hanging="360"/>
        <w:spacing w:after="0" w:line="249" w:lineRule="auto"/>
        <w:tabs>
          <w:tab w:leader="none" w:pos="690" w:val="left"/>
        </w:tabs>
        <w:numPr>
          <w:ilvl w:val="0"/>
          <w:numId w:val="5"/>
        </w:numPr>
        <w:rPr>
          <w:rFonts w:ascii="Arial" w:cs="Arial" w:eastAsia="Arial" w:hAnsi="Arial"/>
          <w:sz w:val="23"/>
          <w:szCs w:val="23"/>
          <w:color w:val="auto"/>
        </w:rPr>
      </w:pPr>
      <w:r>
        <w:rPr>
          <w:rFonts w:ascii="Arial" w:cs="Arial" w:eastAsia="Arial" w:hAnsi="Arial"/>
          <w:sz w:val="23"/>
          <w:szCs w:val="2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9" w:lineRule="exact"/>
        <w:rPr>
          <w:sz w:val="20"/>
          <w:szCs w:val="20"/>
          <w:color w:val="auto"/>
        </w:rPr>
      </w:pPr>
    </w:p>
    <w:p>
      <w:pPr>
        <w:ind w:right="80" w:firstLine="720"/>
        <w:spacing w:after="0" w:line="247" w:lineRule="auto"/>
        <w:rPr>
          <w:sz w:val="20"/>
          <w:szCs w:val="20"/>
          <w:color w:val="auto"/>
        </w:rPr>
      </w:pPr>
      <w:r>
        <w:rPr>
          <w:rFonts w:ascii="Arial" w:cs="Arial" w:eastAsia="Arial" w:hAnsi="Arial"/>
          <w:sz w:val="24"/>
          <w:szCs w:val="24"/>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63" w:lineRule="exact"/>
        <w:rPr>
          <w:sz w:val="20"/>
          <w:szCs w:val="20"/>
          <w:color w:val="auto"/>
        </w:rPr>
      </w:pPr>
    </w:p>
    <w:p>
      <w:pPr>
        <w:ind w:right="20" w:firstLine="720"/>
        <w:spacing w:after="0" w:line="257" w:lineRule="auto"/>
        <w:rPr>
          <w:sz w:val="20"/>
          <w:szCs w:val="20"/>
          <w:color w:val="auto"/>
        </w:rPr>
      </w:pPr>
      <w:r>
        <w:rPr>
          <w:rFonts w:ascii="Arial" w:cs="Arial" w:eastAsia="Arial" w:hAnsi="Arial"/>
          <w:sz w:val="23"/>
          <w:szCs w:val="23"/>
          <w:color w:val="auto"/>
        </w:rPr>
        <w:t>This Power of Attorney shall be effective on the date set forth below and shall continue in full force and effect until the date on which the undersigned shall cease to be subject to Section 16 of the Exchanged act and the rules and regulations thereunder or until such earlier date on which written notification executed by the undersigned is filed with the SEC expressly revoking this Power of Attorney.</w:t>
      </w:r>
    </w:p>
    <w:p>
      <w:pPr>
        <w:spacing w:after="0" w:line="53" w:lineRule="exact"/>
        <w:rPr>
          <w:sz w:val="20"/>
          <w:szCs w:val="20"/>
          <w:color w:val="auto"/>
        </w:rPr>
      </w:pPr>
    </w:p>
    <w:p>
      <w:pPr>
        <w:ind w:right="300" w:firstLine="720"/>
        <w:spacing w:after="0" w:line="260" w:lineRule="auto"/>
        <w:rPr>
          <w:sz w:val="20"/>
          <w:szCs w:val="20"/>
          <w:color w:val="auto"/>
        </w:rPr>
      </w:pPr>
      <w:r>
        <w:rPr>
          <w:rFonts w:ascii="Arial" w:cs="Arial" w:eastAsia="Arial" w:hAnsi="Arial"/>
          <w:sz w:val="24"/>
          <w:szCs w:val="24"/>
          <w:color w:val="auto"/>
        </w:rPr>
        <w:t>IN WITNESS WHEREOF, the undersigned has caused this Power of Attorney to be executed as of this 14th day of August,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40"/>
        <w:spacing w:after="0"/>
        <w:rPr>
          <w:sz w:val="20"/>
          <w:szCs w:val="20"/>
          <w:color w:val="auto"/>
        </w:rPr>
      </w:pPr>
      <w:r>
        <w:rPr>
          <w:rFonts w:ascii="Arial" w:cs="Arial" w:eastAsia="Arial" w:hAnsi="Arial"/>
          <w:sz w:val="20"/>
          <w:szCs w:val="20"/>
          <w:u w:val="single" w:color="auto"/>
          <w:color w:val="auto"/>
        </w:rPr>
        <w:t>/s/Richard Reisin__________________________</w:t>
      </w:r>
    </w:p>
    <w:p>
      <w:pPr>
        <w:spacing w:after="0" w:line="26"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Richard Reisin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Richard Reisin</w:t>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95005" TargetMode="External"/><Relationship Id="rId11"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2023-10-02T15:14:50Z</dcterms:created>
  <dcterms:modified xsi:type="dcterms:W3CDTF">2023-10-02T15:14:50Z</dcterms:modified>
</cp:coreProperties>
</file>