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Proxy Statement Pursuant to Section 14(a) of the Securities</w:t>
      </w:r>
    </w:p>
    <w:p>
      <w:pPr>
        <w:spacing w:after="0" w:line="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Exchange Act of 1934 (Amendment No. )</w:t>
      </w:r>
    </w:p>
    <w:p>
      <w:pPr>
        <w:spacing w:after="0" w:line="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212529"/>
        </w:rPr>
        <w:t>☒</w:t>
      </w:r>
    </w:p>
    <w:p>
      <w:pPr>
        <w:spacing w:after="0" w:line="3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8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212529"/>
        </w:rPr>
      </w:pPr>
      <w:r>
        <w:rPr>
          <w:rFonts w:ascii="Times New Roman" w:cs="Times New Roman" w:eastAsia="Times New Roman" w:hAnsi="Times New Roman"/>
          <w:sz w:val="18"/>
          <w:szCs w:val="18"/>
          <w:color w:val="auto"/>
        </w:rPr>
        <w:t>Preliminary Proxy Statement</w:t>
      </w:r>
    </w:p>
    <w:p>
      <w:pPr>
        <w:spacing w:after="0" w:line="27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5"/>
          <w:szCs w:val="35"/>
          <w:b w:val="1"/>
          <w:bCs w:val="1"/>
          <w:color w:val="auto"/>
        </w:rPr>
        <w:t>GREEN THUMB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99"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333"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212529"/>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1196340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04"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2393950</wp:posOffset>
            </wp:positionH>
            <wp:positionV relativeFrom="page">
              <wp:posOffset>2334895</wp:posOffset>
            </wp:positionV>
            <wp:extent cx="2768600"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7686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43"/>
          <w:szCs w:val="43"/>
          <w:b w:val="1"/>
          <w:bCs w:val="1"/>
          <w:color w:val="auto"/>
        </w:rPr>
        <w:t>GREEN THUMB INDUSTRIES INC.</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ANNUAL AND SPECIAL MEETING OF SHAREHOLDERS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GREEN THUMB INDUSTRIES INC.</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ANNUAL AND SPECIAL MEETING OF SHAREHOLDERS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ON JUNE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April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624205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Notice of Annual and Special Meeting of Shareholders (the “Notice”)</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The 2026 annual and special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Green Thumb Industries Inc., a British Columbia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will be a virtual meeting held on June 16, 2026 beginning at 2:00 p.m. (Central time), at </w:t>
      </w:r>
      <w:r>
        <w:rPr>
          <w:rFonts w:ascii="Times New Roman" w:cs="Times New Roman" w:eastAsia="Times New Roman" w:hAnsi="Times New Roman"/>
          <w:sz w:val="18"/>
          <w:szCs w:val="18"/>
          <w:i w:val="1"/>
          <w:iCs w:val="1"/>
          <w:u w:val="single" w:color="auto"/>
          <w:color w:val="auto"/>
        </w:rPr>
        <w:t>www.virtualshareholdermeeting.com/GTBIF2026</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matters will be considered at the Meeting:</w:t>
      </w:r>
    </w:p>
    <w:p>
      <w:pPr>
        <w:spacing w:after="0" w:line="117"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setting of the number of directors at seven;</w:t>
      </w:r>
    </w:p>
    <w:p>
      <w:pPr>
        <w:spacing w:after="0" w:line="11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 for the forthcoming year from the nominees proposed by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an advisory basis, of the compensation paid to the Company’s named executive officers, as disclosed in the accompanying proxy statement;</w:t>
      </w:r>
    </w:p>
    <w:p>
      <w:pPr>
        <w:spacing w:after="0" w:line="49" w:lineRule="exact"/>
        <w:rPr>
          <w:rFonts w:ascii="Times New Roman" w:cs="Times New Roman" w:eastAsia="Times New Roman" w:hAnsi="Times New Roman"/>
          <w:sz w:val="18"/>
          <w:szCs w:val="18"/>
          <w:color w:val="auto"/>
        </w:rPr>
      </w:pPr>
    </w:p>
    <w:p>
      <w:pPr>
        <w:ind w:left="760" w:right="80" w:hanging="378"/>
        <w:spacing w:after="0" w:line="28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re-appointment of Baker Tilly US, LLP (“</w:t>
      </w:r>
      <w:r>
        <w:rPr>
          <w:rFonts w:ascii="Times New Roman" w:cs="Times New Roman" w:eastAsia="Times New Roman" w:hAnsi="Times New Roman"/>
          <w:sz w:val="18"/>
          <w:szCs w:val="18"/>
          <w:b w:val="1"/>
          <w:bCs w:val="1"/>
          <w:color w:val="auto"/>
        </w:rPr>
        <w:t>Baker Tilly</w:t>
      </w:r>
      <w:r>
        <w:rPr>
          <w:rFonts w:ascii="Times New Roman" w:cs="Times New Roman" w:eastAsia="Times New Roman" w:hAnsi="Times New Roman"/>
          <w:sz w:val="18"/>
          <w:szCs w:val="18"/>
          <w:color w:val="auto"/>
        </w:rPr>
        <w:t>”), as auditors for the Company and the authorization of the Board to fix the auditors’ remuneration and terms of engagement;</w:t>
      </w:r>
    </w:p>
    <w:p>
      <w:pPr>
        <w:spacing w:after="0" w:line="50"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the Company’s current articles to vary the automatic conversion provisions of the Super Voting Shares as further described in the accompanying proxy statement;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of such other business as may properly come before the Meeting or any adjournment(s) thereof.</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Notice is accompanied by the proxy statement and the accompanying form of proxy (“</w:t>
      </w:r>
      <w:r>
        <w:rPr>
          <w:rFonts w:ascii="Times New Roman" w:cs="Times New Roman" w:eastAsia="Times New Roman" w:hAnsi="Times New Roman"/>
          <w:sz w:val="18"/>
          <w:szCs w:val="18"/>
          <w:b w:val="1"/>
          <w:bCs w:val="1"/>
          <w:color w:val="auto"/>
        </w:rPr>
        <w:t>Proxy Instrument</w:t>
      </w:r>
      <w:r>
        <w:rPr>
          <w:rFonts w:ascii="Times New Roman" w:cs="Times New Roman" w:eastAsia="Times New Roman" w:hAnsi="Times New Roman"/>
          <w:sz w:val="18"/>
          <w:szCs w:val="18"/>
          <w:color w:val="auto"/>
        </w:rPr>
        <w:t xml:space="preserve">”). As permitted by applicable securities law, the Company is using “Notice-and-Access” to deliver the proxy statement to shareholders. This means that the proxy statement is being posted online to access, rather than being mailed out. Notice-and-Access substantially reduces the Company’s printing and mailing costs and is environmentally friendly as it reduces paper and energy consumption. The proxy statement, the audited annual consolidated financial statements of the Company for the fiscal year ended December 31, 2025, together with the notes thereto, the independent auditor’s report thereon and the related management’s discussion and analysis are available on the Investors page of the Company’s website at </w:t>
      </w:r>
      <w:r>
        <w:rPr>
          <w:rFonts w:ascii="Times New Roman" w:cs="Times New Roman" w:eastAsia="Times New Roman" w:hAnsi="Times New Roman"/>
          <w:sz w:val="18"/>
          <w:szCs w:val="18"/>
          <w:i w:val="1"/>
          <w:iCs w:val="1"/>
          <w:u w:val="single" w:color="auto"/>
          <w:color w:val="auto"/>
        </w:rPr>
        <w:t>gtigrows.com</w:t>
      </w:r>
      <w:r>
        <w:rPr>
          <w:rFonts w:ascii="Times New Roman" w:cs="Times New Roman" w:eastAsia="Times New Roman" w:hAnsi="Times New Roman"/>
          <w:sz w:val="18"/>
          <w:szCs w:val="18"/>
          <w:color w:val="auto"/>
        </w:rPr>
        <w:t>, Canada’s System for Electronic Data Analysis and Retrieval (“</w:t>
      </w:r>
      <w:r>
        <w:rPr>
          <w:rFonts w:ascii="Times New Roman" w:cs="Times New Roman" w:eastAsia="Times New Roman" w:hAnsi="Times New Roman"/>
          <w:sz w:val="18"/>
          <w:szCs w:val="18"/>
          <w:b w:val="1"/>
          <w:bCs w:val="1"/>
          <w:color w:val="auto"/>
        </w:rPr>
        <w:t>SEDAR+</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i w:val="1"/>
          <w:iCs w:val="1"/>
          <w:u w:val="single" w:color="auto"/>
          <w:color w:val="auto"/>
        </w:rPr>
        <w:t>www.sedarplus.ca</w:t>
      </w:r>
      <w:r>
        <w:rPr>
          <w:rFonts w:ascii="Times New Roman" w:cs="Times New Roman" w:eastAsia="Times New Roman" w:hAnsi="Times New Roman"/>
          <w:sz w:val="18"/>
          <w:szCs w:val="18"/>
          <w:color w:val="auto"/>
        </w:rPr>
        <w:t xml:space="preserve"> and the Securities and Exchange Commission’s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Shareholders will still receive a Proxy Instrument or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voting instruction form in the mail so they can vote their shares but, instead of receiving a paper copy of the proxy statement, they will receive a notice with information about how they can access the proxy statement electronically and how to request a paper copy.</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record date for the determination of shareholders of the Company entitled to receive notice of and to vote at the Meeting or any adjournment(s) thereof is April 20,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Shareholders of the Company whose names have been entered in the register of shareholders of the Company at the close of business on the Record Date will be entitled to receive notice of and to vote at the Meeting or any adjournment(s) thereof.</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shareholder of the Company may attend the Meeting live via webcast or may be represented by proxy. Registered shareholders of the Company who are unable to attend the Meeting or any adjournment(s) thereof via the webcast are requested to date, sign and return the accompanying Proxy Instrument for use at the Meeting or any adjournment(s) thereof.</w:t>
      </w:r>
    </w:p>
    <w:p>
      <w:pPr>
        <w:spacing w:after="0" w:line="17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To be effective, the enclosed Proxy Instrument must be returned to our proxy tabulator, Broadridge Financial Solutions (“</w:t>
      </w:r>
      <w:r>
        <w:rPr>
          <w:rFonts w:ascii="Times New Roman" w:cs="Times New Roman" w:eastAsia="Times New Roman" w:hAnsi="Times New Roman"/>
          <w:sz w:val="18"/>
          <w:szCs w:val="18"/>
          <w:b w:val="1"/>
          <w:bCs w:val="1"/>
          <w:color w:val="auto"/>
        </w:rPr>
        <w:t>Broadridge</w:t>
      </w:r>
      <w:r>
        <w:rPr>
          <w:rFonts w:ascii="Times New Roman" w:cs="Times New Roman" w:eastAsia="Times New Roman" w:hAnsi="Times New Roman"/>
          <w:sz w:val="18"/>
          <w:szCs w:val="18"/>
          <w:color w:val="auto"/>
        </w:rPr>
        <w:t>”) by mail using the enclosed return envelope to Vote Processing, c/o Broadridge, 51 Mercedes Way, Edgewood, NY 11717. Alternatively, you may vote by Internet at www.proxyvote.com and clicking “Vote” or by calling 1-800-690-6903. All instructions are listed on the enclosed Proxy Instrument. Your proxy or voting instructions must be received in each case no later than 10:59 p.m. (Central Time) on June 12, 2026 or, if the Meeting is adjourned, at least 48 hours (excluding Saturdays, Sundays and statutory holidays in the Province of British Columbia) before the beginning of any adjournment(s)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3" w:name="page4"/>
    <w:bookmarkEnd w:id="3"/>
    <w:p>
      <w:pPr>
        <w:jc w:val="both"/>
        <w:ind w:right="40"/>
        <w:spacing w:after="0" w:line="268" w:lineRule="auto"/>
        <w:rPr>
          <w:sz w:val="20"/>
          <w:szCs w:val="20"/>
          <w:color w:val="auto"/>
        </w:rPr>
      </w:pPr>
      <w:r>
        <w:rPr>
          <w:rFonts w:ascii="Times New Roman" w:cs="Times New Roman" w:eastAsia="Times New Roman" w:hAnsi="Times New Roman"/>
          <w:sz w:val="18"/>
          <w:szCs w:val="18"/>
          <w:color w:val="auto"/>
        </w:rPr>
        <w:t xml:space="preserve">Whether or not you plan to attend the Meeting via live webcast, we encourage you to read this proxy statement and </w:t>
      </w:r>
      <w:r>
        <w:rPr>
          <w:rFonts w:ascii="Times New Roman" w:cs="Times New Roman" w:eastAsia="Times New Roman" w:hAnsi="Times New Roman"/>
          <w:sz w:val="18"/>
          <w:szCs w:val="18"/>
          <w:b w:val="1"/>
          <w:bCs w:val="1"/>
          <w:i w:val="1"/>
          <w:iCs w:val="1"/>
          <w:u w:val="single" w:color="auto"/>
          <w:color w:val="auto"/>
        </w:rPr>
        <w:t>promptly vote your shares</w:t>
      </w:r>
      <w:r>
        <w:rPr>
          <w:rFonts w:ascii="Times New Roman" w:cs="Times New Roman" w:eastAsia="Times New Roman" w:hAnsi="Times New Roman"/>
          <w:sz w:val="18"/>
          <w:szCs w:val="18"/>
          <w:color w:val="auto"/>
        </w:rPr>
        <w:t>. For specific instructions on how to vote your shares, please refer to the section entitled “</w:t>
      </w:r>
      <w:r>
        <w:rPr>
          <w:rFonts w:ascii="Times New Roman" w:cs="Times New Roman" w:eastAsia="Times New Roman" w:hAnsi="Times New Roman"/>
          <w:sz w:val="18"/>
          <w:szCs w:val="18"/>
          <w:i w:val="1"/>
          <w:iCs w:val="1"/>
          <w:color w:val="auto"/>
        </w:rPr>
        <w:t>How You Can Vote</w:t>
      </w:r>
      <w:r>
        <w:rPr>
          <w:rFonts w:ascii="Times New Roman" w:cs="Times New Roman" w:eastAsia="Times New Roman" w:hAnsi="Times New Roman"/>
          <w:sz w:val="18"/>
          <w:szCs w:val="18"/>
          <w:color w:val="auto"/>
        </w:rPr>
        <w:t>” and to the instructions on your proxy or voting instruction card.</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DATED as of April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 xml:space="preserve">/s/ </w:t>
      </w:r>
      <w:r>
        <w:rPr>
          <w:rFonts w:ascii="Times New Roman" w:cs="Times New Roman" w:eastAsia="Times New Roman" w:hAnsi="Times New Roman"/>
          <w:sz w:val="18"/>
          <w:szCs w:val="18"/>
          <w:i w:val="1"/>
          <w:iCs w:val="1"/>
          <w:u w:val="single" w:color="auto"/>
          <w:color w:val="auto"/>
        </w:rPr>
        <w:t>Benjamin Kovler</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Benjamin Kovler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Executive Officer, Chairman and 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6130" cy="23787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378710"/>
                    </a:xfrm>
                    <a:prstGeom prst="rect">
                      <a:avLst/>
                    </a:prstGeom>
                    <a:noFill/>
                  </pic:spPr>
                </pic:pic>
              </a:graphicData>
            </a:graphic>
          </wp:anchor>
        </w:drawing>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ANNUAL AND SPECIAL MEETING OF SHAREHOLDERS TO BE HELD ON JUNE 16, 2026</w:t>
      </w:r>
    </w:p>
    <w:p>
      <w:pPr>
        <w:spacing w:after="0" w:line="207" w:lineRule="exact"/>
        <w:rPr>
          <w:sz w:val="20"/>
          <w:szCs w:val="20"/>
          <w:color w:val="auto"/>
        </w:rPr>
      </w:pPr>
    </w:p>
    <w:p>
      <w:pPr>
        <w:jc w:val="cente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Notice of Annual and Special Meeting and Proxy Statement are available on our website at </w:t>
      </w:r>
      <w:r>
        <w:rPr>
          <w:rFonts w:ascii="Times New Roman" w:cs="Times New Roman" w:eastAsia="Times New Roman" w:hAnsi="Times New Roman"/>
          <w:sz w:val="18"/>
          <w:szCs w:val="18"/>
          <w:i w:val="1"/>
          <w:iCs w:val="1"/>
          <w:u w:val="single" w:color="auto"/>
          <w:color w:val="auto"/>
        </w:rPr>
        <w:t>investors.gtigrows.com/2026proxy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2026 Annual Report to Shareholders,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includes our Annual Report on Form 10-K for the year ended December 31, 2025, is available on our website at </w:t>
      </w:r>
      <w:r>
        <w:rPr>
          <w:rFonts w:ascii="Times New Roman" w:cs="Times New Roman" w:eastAsia="Times New Roman" w:hAnsi="Times New Roman"/>
          <w:sz w:val="18"/>
          <w:szCs w:val="18"/>
          <w:i w:val="1"/>
          <w:iCs w:val="1"/>
          <w:u w:val="single" w:color="auto"/>
          <w:color w:val="auto"/>
        </w:rPr>
        <w:t>investors.gtigrows.com/2026annualreport</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1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PLEASE VOTE YOUR PROXY OVER THE INTERNET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BY VISITING WWW.PROXYVOTE.COM</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 BY TELEPHONE (800) 690-6903</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MARK, SIGN, DATE AND RETURN YOUR PROXY CARD BY MAIL</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WHETHER OR NOT YOU PLAN TO ATTEND THE ANNUAL AND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10"/>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20" w:type="dxa"/>
            <w:vAlign w:val="bottom"/>
          </w:tcPr>
          <w:p>
            <w:pPr>
              <w:spacing w:after="0"/>
              <w:rPr>
                <w:sz w:val="20"/>
                <w:szCs w:val="20"/>
                <w:color w:val="auto"/>
              </w:rPr>
            </w:pPr>
          </w:p>
        </w:tc>
      </w:tr>
      <w:tr>
        <w:trPr>
          <w:trHeight w:val="472"/>
        </w:trPr>
        <w:tc>
          <w:tcPr>
            <w:tcW w:w="97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GENERAL INFORMATION ABOUT THE ANNUAL AND SPECIAL MEETING AND VOTING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720" w:type="dxa"/>
            <w:vAlign w:val="bottom"/>
            <w:tcBorders>
              <w:top w:val="single" w:sz="8" w:color="0000FF"/>
            </w:tcBorders>
          </w:tcPr>
          <w:p>
            <w:pPr>
              <w:spacing w:after="0"/>
              <w:rPr>
                <w:sz w:val="21"/>
                <w:szCs w:val="21"/>
                <w:color w:val="auto"/>
              </w:rPr>
            </w:pPr>
          </w:p>
        </w:tc>
        <w:tc>
          <w:tcPr>
            <w:tcW w:w="6520" w:type="dxa"/>
            <w:vAlign w:val="bottom"/>
            <w:tcBorders>
              <w:top w:val="single" w:sz="8" w:color="0000FF"/>
            </w:tcBorders>
            <w:gridSpan w:val="38"/>
          </w:tcPr>
          <w:p>
            <w:pPr>
              <w:spacing w:after="0"/>
              <w:rPr>
                <w:sz w:val="20"/>
                <w:szCs w:val="20"/>
                <w:color w:val="auto"/>
              </w:rPr>
            </w:pPr>
            <w:r>
              <w:rPr>
                <w:rFonts w:ascii="Times New Roman" w:cs="Times New Roman" w:eastAsia="Times New Roman" w:hAnsi="Times New Roman"/>
                <w:sz w:val="18"/>
                <w:szCs w:val="18"/>
                <w:color w:val="0000FF"/>
              </w:rPr>
              <w:t>Proxy Materials</w:t>
            </w:r>
          </w:p>
        </w:tc>
        <w:tc>
          <w:tcPr>
            <w:tcW w:w="2480" w:type="dxa"/>
            <w:vAlign w:val="bottom"/>
            <w:gridSpan w:val="4"/>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90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How You Can Vote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354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Shareholder Proposals and Director Nominations</w:t>
            </w:r>
          </w:p>
        </w:tc>
        <w:tc>
          <w:tcPr>
            <w:tcW w:w="5460" w:type="dxa"/>
            <w:vAlign w:val="bottom"/>
            <w:gridSpan w:val="13"/>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0"/>
        </w:trPr>
        <w:tc>
          <w:tcPr>
            <w:tcW w:w="720" w:type="dxa"/>
            <w:vAlign w:val="bottom"/>
          </w:tcPr>
          <w:p>
            <w:pPr>
              <w:spacing w:after="0"/>
              <w:rPr>
                <w:sz w:val="21"/>
                <w:szCs w:val="21"/>
                <w:color w:val="auto"/>
              </w:rPr>
            </w:pPr>
          </w:p>
        </w:tc>
        <w:tc>
          <w:tcPr>
            <w:tcW w:w="352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FF"/>
              </w:rPr>
              <w:t>Description of the Company’s Voting Securities</w:t>
            </w:r>
          </w:p>
        </w:tc>
        <w:tc>
          <w:tcPr>
            <w:tcW w:w="5480" w:type="dxa"/>
            <w:vAlign w:val="bottom"/>
            <w:gridSpan w:val="14"/>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0"/>
        </w:trPr>
        <w:tc>
          <w:tcPr>
            <w:tcW w:w="720" w:type="dxa"/>
            <w:vAlign w:val="bottom"/>
          </w:tcPr>
          <w:p>
            <w:pPr>
              <w:spacing w:after="0"/>
              <w:rPr>
                <w:sz w:val="21"/>
                <w:szCs w:val="21"/>
                <w:color w:val="auto"/>
              </w:rPr>
            </w:pPr>
          </w:p>
        </w:tc>
        <w:tc>
          <w:tcPr>
            <w:tcW w:w="1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Notice-and-Access</w:t>
            </w:r>
          </w:p>
        </w:tc>
        <w:tc>
          <w:tcPr>
            <w:tcW w:w="7580" w:type="dxa"/>
            <w:vAlign w:val="bottom"/>
            <w:gridSpan w:val="37"/>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720" w:type="dxa"/>
            <w:vAlign w:val="bottom"/>
          </w:tcPr>
          <w:p>
            <w:pPr>
              <w:spacing w:after="0"/>
              <w:rPr>
                <w:sz w:val="21"/>
                <w:szCs w:val="21"/>
                <w:color w:val="auto"/>
              </w:rPr>
            </w:pPr>
          </w:p>
        </w:tc>
        <w:tc>
          <w:tcPr>
            <w:tcW w:w="2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Obtaining Additional Information</w:t>
            </w:r>
          </w:p>
        </w:tc>
        <w:tc>
          <w:tcPr>
            <w:tcW w:w="120" w:type="dxa"/>
            <w:vAlign w:val="bottom"/>
            <w:tcBorders>
              <w:bottom w:val="single" w:sz="8" w:color="0000EE"/>
            </w:tcBorders>
            <w:gridSpan w:val="2"/>
          </w:tcPr>
          <w:p>
            <w:pPr>
              <w:spacing w:after="0"/>
              <w:rPr>
                <w:sz w:val="21"/>
                <w:szCs w:val="21"/>
                <w:color w:val="auto"/>
              </w:rPr>
            </w:pPr>
          </w:p>
        </w:tc>
        <w:tc>
          <w:tcPr>
            <w:tcW w:w="6440" w:type="dxa"/>
            <w:vAlign w:val="bottom"/>
            <w:gridSpan w:val="25"/>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97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OVERVIEW OF PROPOSALS TO BE VOTED 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97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PROPOSALS NO. 1 AND 2—ELECTION OF DIRECTORS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720" w:type="dxa"/>
            <w:vAlign w:val="bottom"/>
            <w:tcBorders>
              <w:top w:val="single" w:sz="8" w:color="0000FF"/>
            </w:tcBorders>
          </w:tcPr>
          <w:p>
            <w:pPr>
              <w:spacing w:after="0"/>
              <w:rPr>
                <w:sz w:val="21"/>
                <w:szCs w:val="21"/>
                <w:color w:val="auto"/>
              </w:rPr>
            </w:pPr>
          </w:p>
        </w:tc>
        <w:tc>
          <w:tcPr>
            <w:tcW w:w="374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Biographical Information</w:t>
            </w:r>
          </w:p>
        </w:tc>
        <w:tc>
          <w:tcPr>
            <w:tcW w:w="60" w:type="dxa"/>
            <w:vAlign w:val="bottom"/>
            <w:tcBorders>
              <w:top w:val="single" w:sz="8" w:color="0000EE"/>
            </w:tcBorders>
            <w:gridSpan w:val="2"/>
          </w:tcPr>
          <w:p>
            <w:pPr>
              <w:spacing w:after="0"/>
              <w:rPr>
                <w:sz w:val="21"/>
                <w:szCs w:val="21"/>
                <w:color w:val="auto"/>
              </w:rPr>
            </w:pPr>
          </w:p>
        </w:tc>
        <w:tc>
          <w:tcPr>
            <w:tcW w:w="5200" w:type="dxa"/>
            <w:vAlign w:val="bottom"/>
            <w:gridSpan w:val="10"/>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7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27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Replacement or Removal of Directors</w:t>
            </w:r>
          </w:p>
        </w:tc>
        <w:tc>
          <w:tcPr>
            <w:tcW w:w="6260" w:type="dxa"/>
            <w:vAlign w:val="bottom"/>
            <w:gridSpan w:val="24"/>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720" w:type="dxa"/>
            <w:vAlign w:val="bottom"/>
          </w:tcPr>
          <w:p>
            <w:pPr>
              <w:spacing w:after="0"/>
              <w:rPr>
                <w:sz w:val="21"/>
                <w:szCs w:val="21"/>
                <w:color w:val="auto"/>
              </w:rPr>
            </w:pPr>
          </w:p>
        </w:tc>
        <w:tc>
          <w:tcPr>
            <w:tcW w:w="16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Advance Notice Policy</w:t>
            </w:r>
          </w:p>
        </w:tc>
        <w:tc>
          <w:tcPr>
            <w:tcW w:w="7320" w:type="dxa"/>
            <w:vAlign w:val="bottom"/>
            <w:gridSpan w:val="34"/>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720" w:type="dxa"/>
            <w:vAlign w:val="bottom"/>
          </w:tcPr>
          <w:p>
            <w:pPr>
              <w:spacing w:after="0"/>
              <w:rPr>
                <w:sz w:val="21"/>
                <w:szCs w:val="21"/>
                <w:color w:val="auto"/>
              </w:rPr>
            </w:pPr>
          </w:p>
        </w:tc>
        <w:tc>
          <w:tcPr>
            <w:tcW w:w="90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Corporate Cease Trade Orders, Bankruptcies, Penalties or Sanctions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7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674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8"/>
                <w:szCs w:val="18"/>
                <w:color w:val="0000FF"/>
                <w:w w:val="99"/>
              </w:rPr>
              <w:t>Certain Relationships, Related Transactions and Policy Regarding Related Party Transactions</w:t>
            </w:r>
          </w:p>
        </w:tc>
        <w:tc>
          <w:tcPr>
            <w:tcW w:w="20" w:type="dxa"/>
            <w:vAlign w:val="bottom"/>
            <w:tcBorders>
              <w:bottom w:val="single" w:sz="8" w:color="0000EE"/>
            </w:tcBorders>
          </w:tcPr>
          <w:p>
            <w:pPr>
              <w:spacing w:after="0"/>
              <w:rPr>
                <w:sz w:val="21"/>
                <w:szCs w:val="21"/>
                <w:color w:val="auto"/>
              </w:rPr>
            </w:pPr>
          </w:p>
        </w:tc>
        <w:tc>
          <w:tcPr>
            <w:tcW w:w="2240" w:type="dxa"/>
            <w:vAlign w:val="bottom"/>
            <w:gridSpan w:val="2"/>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97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PROPOSAL NO. 3—VOTE TO APPROVE, ON AN ADVISORY BASIS, OUR EXECUTIVE COMPENSATION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8380" w:type="dxa"/>
            <w:vAlign w:val="bottom"/>
            <w:tcBorders>
              <w:top w:val="single" w:sz="8" w:color="0000FF"/>
            </w:tcBorders>
            <w:gridSpan w:val="42"/>
          </w:tcPr>
          <w:p>
            <w:pPr>
              <w:spacing w:after="0"/>
              <w:rPr>
                <w:sz w:val="20"/>
                <w:szCs w:val="20"/>
                <w:color w:val="auto"/>
              </w:rPr>
            </w:pPr>
            <w:r>
              <w:rPr>
                <w:rFonts w:ascii="Times New Roman" w:cs="Times New Roman" w:eastAsia="Times New Roman" w:hAnsi="Times New Roman"/>
                <w:sz w:val="18"/>
                <w:szCs w:val="18"/>
                <w:color w:val="0000FF"/>
              </w:rPr>
              <w:t>PROPOSAL NO. 4—RE-APPOINTMENT AND REMUNERATION OF AUDITORS</w:t>
            </w:r>
          </w:p>
        </w:tc>
        <w:tc>
          <w:tcPr>
            <w:tcW w:w="1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0"/>
        </w:trPr>
        <w:tc>
          <w:tcPr>
            <w:tcW w:w="720" w:type="dxa"/>
            <w:vAlign w:val="bottom"/>
            <w:tcBorders>
              <w:top w:val="single" w:sz="8" w:color="0000FF"/>
            </w:tcBorders>
          </w:tcPr>
          <w:p>
            <w:pPr>
              <w:spacing w:after="0"/>
              <w:rPr>
                <w:sz w:val="21"/>
                <w:szCs w:val="21"/>
                <w:color w:val="auto"/>
              </w:rPr>
            </w:pPr>
          </w:p>
        </w:tc>
        <w:tc>
          <w:tcPr>
            <w:tcW w:w="244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Principal Audit Fees and Services</w:t>
            </w:r>
          </w:p>
        </w:tc>
        <w:tc>
          <w:tcPr>
            <w:tcW w:w="20" w:type="dxa"/>
            <w:vAlign w:val="bottom"/>
            <w:tcBorders>
              <w:top w:val="single" w:sz="8" w:color="0000FF"/>
              <w:bottom w:val="single" w:sz="8" w:color="0000EE"/>
            </w:tcBorders>
          </w:tcPr>
          <w:p>
            <w:pPr>
              <w:spacing w:after="0"/>
              <w:rPr>
                <w:sz w:val="21"/>
                <w:szCs w:val="21"/>
                <w:color w:val="auto"/>
              </w:rPr>
            </w:pPr>
          </w:p>
        </w:tc>
        <w:tc>
          <w:tcPr>
            <w:tcW w:w="3120" w:type="dxa"/>
            <w:vAlign w:val="bottom"/>
            <w:tcBorders>
              <w:top w:val="single" w:sz="8" w:color="0000FF"/>
            </w:tcBorders>
            <w:gridSpan w:val="20"/>
          </w:tcPr>
          <w:p>
            <w:pPr>
              <w:spacing w:after="0"/>
              <w:rPr>
                <w:sz w:val="21"/>
                <w:szCs w:val="21"/>
                <w:color w:val="auto"/>
              </w:rPr>
            </w:pPr>
          </w:p>
        </w:tc>
        <w:tc>
          <w:tcPr>
            <w:tcW w:w="3420" w:type="dxa"/>
            <w:vAlign w:val="bottom"/>
            <w:gridSpan w:val="6"/>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0"/>
        </w:trPr>
        <w:tc>
          <w:tcPr>
            <w:tcW w:w="720" w:type="dxa"/>
            <w:vAlign w:val="bottom"/>
          </w:tcPr>
          <w:p>
            <w:pPr>
              <w:spacing w:after="0"/>
              <w:rPr>
                <w:sz w:val="21"/>
                <w:szCs w:val="21"/>
                <w:color w:val="auto"/>
              </w:rPr>
            </w:pPr>
          </w:p>
        </w:tc>
        <w:tc>
          <w:tcPr>
            <w:tcW w:w="27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Pre-Approval Policies and Procedures</w:t>
            </w:r>
          </w:p>
        </w:tc>
        <w:tc>
          <w:tcPr>
            <w:tcW w:w="6260" w:type="dxa"/>
            <w:vAlign w:val="bottom"/>
            <w:gridSpan w:val="24"/>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0"/>
        </w:trPr>
        <w:tc>
          <w:tcPr>
            <w:tcW w:w="720" w:type="dxa"/>
            <w:vAlign w:val="bottom"/>
          </w:tcPr>
          <w:p>
            <w:pPr>
              <w:spacing w:after="0"/>
              <w:rPr>
                <w:sz w:val="21"/>
                <w:szCs w:val="21"/>
                <w:color w:val="auto"/>
              </w:rPr>
            </w:pPr>
          </w:p>
        </w:tc>
        <w:tc>
          <w:tcPr>
            <w:tcW w:w="90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Audit Committee Report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7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97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PROPOSAL NO. 5—VOTE TO APPROVE AMENDMENT TO THE ARTICLES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EE"/>
            </w:tcBorders>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97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0"/>
        </w:trPr>
        <w:tc>
          <w:tcPr>
            <w:tcW w:w="6760" w:type="dxa"/>
            <w:vAlign w:val="bottom"/>
            <w:tcBorders>
              <w:top w:val="single" w:sz="8" w:color="0000FF"/>
            </w:tcBorders>
            <w:gridSpan w:val="38"/>
          </w:tcPr>
          <w:p>
            <w:pPr>
              <w:spacing w:after="0"/>
              <w:rPr>
                <w:sz w:val="20"/>
                <w:szCs w:val="20"/>
                <w:color w:val="auto"/>
              </w:rPr>
            </w:pPr>
            <w:r>
              <w:rPr>
                <w:rFonts w:ascii="Times New Roman" w:cs="Times New Roman" w:eastAsia="Times New Roman" w:hAnsi="Times New Roman"/>
                <w:sz w:val="18"/>
                <w:szCs w:val="18"/>
                <w:color w:val="0000FF"/>
              </w:rPr>
              <w:t>SECURITY BASED COMPENSATION ARRANGEMENTS</w:t>
            </w:r>
          </w:p>
        </w:tc>
        <w:tc>
          <w:tcPr>
            <w:tcW w:w="2960" w:type="dxa"/>
            <w:vAlign w:val="bottom"/>
            <w:gridSpan w:val="5"/>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0"/>
        </w:trPr>
        <w:tc>
          <w:tcPr>
            <w:tcW w:w="720" w:type="dxa"/>
            <w:vAlign w:val="bottom"/>
            <w:tcBorders>
              <w:top w:val="single" w:sz="8" w:color="0000FF"/>
            </w:tcBorders>
          </w:tcPr>
          <w:p>
            <w:pPr>
              <w:spacing w:after="0"/>
              <w:rPr>
                <w:sz w:val="21"/>
                <w:szCs w:val="21"/>
                <w:color w:val="auto"/>
              </w:rPr>
            </w:pPr>
          </w:p>
        </w:tc>
        <w:tc>
          <w:tcPr>
            <w:tcW w:w="378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Equity Compensation Plan Information</w:t>
            </w:r>
          </w:p>
        </w:tc>
        <w:tc>
          <w:tcPr>
            <w:tcW w:w="5220" w:type="dxa"/>
            <w:vAlign w:val="bottom"/>
            <w:gridSpan w:val="11"/>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7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408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Summary of Terms and Conditions of the Incentive Plan</w:t>
            </w:r>
          </w:p>
        </w:tc>
        <w:tc>
          <w:tcPr>
            <w:tcW w:w="4920" w:type="dxa"/>
            <w:vAlign w:val="bottom"/>
            <w:gridSpan w:val="9"/>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0"/>
        </w:trPr>
        <w:tc>
          <w:tcPr>
            <w:tcW w:w="720" w:type="dxa"/>
            <w:vAlign w:val="bottom"/>
          </w:tcPr>
          <w:p>
            <w:pPr>
              <w:spacing w:after="0"/>
              <w:rPr>
                <w:sz w:val="21"/>
                <w:szCs w:val="21"/>
                <w:color w:val="auto"/>
              </w:rPr>
            </w:pPr>
          </w:p>
        </w:tc>
        <w:tc>
          <w:tcPr>
            <w:tcW w:w="1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Description of Awards</w:t>
            </w:r>
          </w:p>
        </w:tc>
        <w:tc>
          <w:tcPr>
            <w:tcW w:w="20" w:type="dxa"/>
            <w:vAlign w:val="bottom"/>
            <w:tcBorders>
              <w:bottom w:val="single" w:sz="8" w:color="0000EE"/>
            </w:tcBorders>
          </w:tcPr>
          <w:p>
            <w:pPr>
              <w:spacing w:after="0"/>
              <w:rPr>
                <w:sz w:val="21"/>
                <w:szCs w:val="21"/>
                <w:color w:val="auto"/>
              </w:rPr>
            </w:pPr>
          </w:p>
        </w:tc>
        <w:tc>
          <w:tcPr>
            <w:tcW w:w="7340" w:type="dxa"/>
            <w:vAlign w:val="bottom"/>
            <w:gridSpan w:val="35"/>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720" w:type="dxa"/>
            <w:vAlign w:val="bottom"/>
          </w:tcPr>
          <w:p>
            <w:pPr>
              <w:spacing w:after="0"/>
              <w:rPr>
                <w:sz w:val="21"/>
                <w:szCs w:val="21"/>
                <w:color w:val="auto"/>
              </w:rPr>
            </w:pPr>
          </w:p>
        </w:tc>
        <w:tc>
          <w:tcPr>
            <w:tcW w:w="90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Administration of the Stock and Incentive Plan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0"/>
        </w:trPr>
        <w:tc>
          <w:tcPr>
            <w:tcW w:w="720" w:type="dxa"/>
            <w:vAlign w:val="bottom"/>
          </w:tcPr>
          <w:p>
            <w:pPr>
              <w:spacing w:after="0"/>
              <w:rPr>
                <w:sz w:val="21"/>
                <w:szCs w:val="21"/>
                <w:color w:val="auto"/>
              </w:rPr>
            </w:pPr>
          </w:p>
        </w:tc>
        <w:tc>
          <w:tcPr>
            <w:tcW w:w="338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Tax Withholding</w:t>
            </w:r>
          </w:p>
        </w:tc>
        <w:tc>
          <w:tcPr>
            <w:tcW w:w="40" w:type="dxa"/>
            <w:vAlign w:val="bottom"/>
            <w:tcBorders>
              <w:top w:val="single" w:sz="8" w:color="0000EE"/>
            </w:tcBorders>
          </w:tcPr>
          <w:p>
            <w:pPr>
              <w:spacing w:after="0"/>
              <w:rPr>
                <w:sz w:val="21"/>
                <w:szCs w:val="21"/>
                <w:color w:val="auto"/>
              </w:rPr>
            </w:pPr>
          </w:p>
        </w:tc>
        <w:tc>
          <w:tcPr>
            <w:tcW w:w="5580" w:type="dxa"/>
            <w:vAlign w:val="bottom"/>
            <w:gridSpan w:val="16"/>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7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500" w:type="dxa"/>
            <w:vAlign w:val="bottom"/>
            <w:gridSpan w:val="1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22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Amendments and Termination</w:t>
            </w:r>
          </w:p>
        </w:tc>
        <w:tc>
          <w:tcPr>
            <w:tcW w:w="6800" w:type="dxa"/>
            <w:vAlign w:val="bottom"/>
            <w:gridSpan w:val="28"/>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50"/>
        </w:trPr>
        <w:tc>
          <w:tcPr>
            <w:tcW w:w="720" w:type="dxa"/>
            <w:vAlign w:val="bottom"/>
          </w:tcPr>
          <w:p>
            <w:pPr>
              <w:spacing w:after="0"/>
              <w:rPr>
                <w:sz w:val="21"/>
                <w:szCs w:val="21"/>
                <w:color w:val="auto"/>
              </w:rPr>
            </w:pPr>
          </w:p>
        </w:tc>
        <w:tc>
          <w:tcPr>
            <w:tcW w:w="16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Corporate Transactions</w:t>
            </w:r>
          </w:p>
        </w:tc>
        <w:tc>
          <w:tcPr>
            <w:tcW w:w="7320" w:type="dxa"/>
            <w:vAlign w:val="bottom"/>
            <w:gridSpan w:val="34"/>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50"/>
        </w:trPr>
        <w:tc>
          <w:tcPr>
            <w:tcW w:w="97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GOVERNANCE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500" w:type="dxa"/>
            <w:vAlign w:val="bottom"/>
            <w:gridSpan w:val="1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90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Board of Directors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720" w:type="dxa"/>
            <w:vAlign w:val="bottom"/>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500" w:type="dxa"/>
            <w:vAlign w:val="bottom"/>
            <w:gridSpan w:val="1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13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Board Committees</w:t>
            </w:r>
          </w:p>
        </w:tc>
        <w:tc>
          <w:tcPr>
            <w:tcW w:w="60" w:type="dxa"/>
            <w:vAlign w:val="bottom"/>
            <w:tcBorders>
              <w:bottom w:val="single" w:sz="8" w:color="0000EE"/>
            </w:tcBorders>
          </w:tcPr>
          <w:p>
            <w:pPr>
              <w:spacing w:after="0"/>
              <w:rPr>
                <w:sz w:val="21"/>
                <w:szCs w:val="21"/>
                <w:color w:val="auto"/>
              </w:rPr>
            </w:pPr>
          </w:p>
        </w:tc>
        <w:tc>
          <w:tcPr>
            <w:tcW w:w="7580" w:type="dxa"/>
            <w:vAlign w:val="bottom"/>
            <w:gridSpan w:val="37"/>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0"/>
        </w:trPr>
        <w:tc>
          <w:tcPr>
            <w:tcW w:w="720" w:type="dxa"/>
            <w:vAlign w:val="bottom"/>
          </w:tcPr>
          <w:p>
            <w:pPr>
              <w:spacing w:after="0"/>
              <w:rPr>
                <w:sz w:val="21"/>
                <w:szCs w:val="21"/>
                <w:color w:val="auto"/>
              </w:rPr>
            </w:pPr>
          </w:p>
        </w:tc>
        <w:tc>
          <w:tcPr>
            <w:tcW w:w="90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Communications with the Board of Directors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720" w:type="dxa"/>
            <w:vAlign w:val="bottom"/>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3"/>
          </w:tcPr>
          <w:p>
            <w:pPr>
              <w:spacing w:after="0" w:line="20" w:lineRule="exact"/>
              <w:rPr>
                <w:sz w:val="1"/>
                <w:szCs w:val="1"/>
                <w:color w:val="auto"/>
              </w:rPr>
            </w:pPr>
          </w:p>
        </w:tc>
        <w:tc>
          <w:tcPr>
            <w:tcW w:w="5500" w:type="dxa"/>
            <w:vAlign w:val="bottom"/>
            <w:gridSpan w:val="1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97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192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500" w:type="dxa"/>
            <w:vAlign w:val="bottom"/>
            <w:gridSpan w:val="1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39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20" w:type="dxa"/>
            <w:vAlign w:val="bottom"/>
            <w:tcBorders>
              <w:bottom w:val="single" w:sz="8" w:color="0000EE"/>
            </w:tcBorders>
          </w:tcPr>
          <w:p>
            <w:pPr>
              <w:spacing w:after="0"/>
              <w:rPr>
                <w:sz w:val="21"/>
                <w:szCs w:val="21"/>
                <w:color w:val="auto"/>
              </w:rPr>
            </w:pPr>
          </w:p>
        </w:tc>
        <w:tc>
          <w:tcPr>
            <w:tcW w:w="5800" w:type="dxa"/>
            <w:vAlign w:val="bottom"/>
            <w:gridSpan w:val="18"/>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0"/>
        </w:trPr>
        <w:tc>
          <w:tcPr>
            <w:tcW w:w="720" w:type="dxa"/>
            <w:vAlign w:val="bottom"/>
          </w:tcPr>
          <w:p>
            <w:pPr>
              <w:spacing w:after="0"/>
              <w:rPr>
                <w:sz w:val="21"/>
                <w:szCs w:val="21"/>
                <w:color w:val="auto"/>
              </w:rPr>
            </w:pPr>
          </w:p>
        </w:tc>
        <w:tc>
          <w:tcPr>
            <w:tcW w:w="90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Executive Summary of Executive Compensation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0"/>
        </w:trPr>
        <w:tc>
          <w:tcPr>
            <w:tcW w:w="720" w:type="dxa"/>
            <w:vAlign w:val="bottom"/>
          </w:tcPr>
          <w:p>
            <w:pPr>
              <w:spacing w:after="0"/>
              <w:rPr>
                <w:sz w:val="21"/>
                <w:szCs w:val="21"/>
                <w:color w:val="auto"/>
              </w:rPr>
            </w:pPr>
          </w:p>
        </w:tc>
        <w:tc>
          <w:tcPr>
            <w:tcW w:w="350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Compensation Governance and Process</w:t>
            </w:r>
          </w:p>
        </w:tc>
        <w:tc>
          <w:tcPr>
            <w:tcW w:w="5500" w:type="dxa"/>
            <w:vAlign w:val="bottom"/>
            <w:gridSpan w:val="15"/>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50"/>
        </w:trPr>
        <w:tc>
          <w:tcPr>
            <w:tcW w:w="720" w:type="dxa"/>
            <w:vAlign w:val="bottom"/>
          </w:tcPr>
          <w:p>
            <w:pPr>
              <w:spacing w:after="0"/>
              <w:rPr>
                <w:sz w:val="21"/>
                <w:szCs w:val="21"/>
                <w:color w:val="auto"/>
              </w:rPr>
            </w:pPr>
          </w:p>
        </w:tc>
        <w:tc>
          <w:tcPr>
            <w:tcW w:w="28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Elements of Compensation</w:t>
            </w:r>
          </w:p>
        </w:tc>
        <w:tc>
          <w:tcPr>
            <w:tcW w:w="6160" w:type="dxa"/>
            <w:vAlign w:val="bottom"/>
            <w:gridSpan w:val="22"/>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720" w:type="dxa"/>
            <w:vAlign w:val="bottom"/>
          </w:tcPr>
          <w:p>
            <w:pPr>
              <w:spacing w:after="0" w:line="20" w:lineRule="exact"/>
              <w:rPr>
                <w:sz w:val="1"/>
                <w:szCs w:val="1"/>
                <w:color w:val="auto"/>
              </w:rPr>
            </w:pPr>
          </w:p>
        </w:tc>
        <w:tc>
          <w:tcPr>
            <w:tcW w:w="1740" w:type="dxa"/>
            <w:vAlign w:val="bottom"/>
            <w:tcBorders>
              <w:right w:val="single" w:sz="8" w:color="0000FF"/>
            </w:tcBorders>
            <w:gridSpan w:val="9"/>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800" w:type="dxa"/>
            <w:vAlign w:val="bottom"/>
            <w:gridSpan w:val="18"/>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21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RYTHM, Inc. Equity Awards</w:t>
            </w:r>
          </w:p>
        </w:tc>
        <w:tc>
          <w:tcPr>
            <w:tcW w:w="6860" w:type="dxa"/>
            <w:vAlign w:val="bottom"/>
            <w:gridSpan w:val="29"/>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50"/>
        </w:trPr>
        <w:tc>
          <w:tcPr>
            <w:tcW w:w="720" w:type="dxa"/>
            <w:vAlign w:val="bottom"/>
          </w:tcPr>
          <w:p>
            <w:pPr>
              <w:spacing w:after="0"/>
              <w:rPr>
                <w:sz w:val="21"/>
                <w:szCs w:val="21"/>
                <w:color w:val="auto"/>
              </w:rPr>
            </w:pPr>
          </w:p>
        </w:tc>
        <w:tc>
          <w:tcPr>
            <w:tcW w:w="90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Insider Trading Policies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720" w:type="dxa"/>
            <w:vAlign w:val="bottom"/>
          </w:tcPr>
          <w:p>
            <w:pPr>
              <w:spacing w:after="0" w:line="20" w:lineRule="exact"/>
              <w:rPr>
                <w:sz w:val="1"/>
                <w:szCs w:val="1"/>
                <w:color w:val="auto"/>
              </w:rPr>
            </w:pPr>
          </w:p>
        </w:tc>
        <w:tc>
          <w:tcPr>
            <w:tcW w:w="1740" w:type="dxa"/>
            <w:vAlign w:val="bottom"/>
            <w:tcBorders>
              <w:right w:val="single" w:sz="8" w:color="0000EE"/>
            </w:tcBorders>
            <w:gridSpan w:val="9"/>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800" w:type="dxa"/>
            <w:vAlign w:val="bottom"/>
            <w:gridSpan w:val="18"/>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28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Perquisites and Other Personal Benefits</w:t>
            </w:r>
          </w:p>
        </w:tc>
        <w:tc>
          <w:tcPr>
            <w:tcW w:w="6140" w:type="dxa"/>
            <w:vAlign w:val="bottom"/>
            <w:gridSpan w:val="21"/>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0"/>
        </w:trPr>
        <w:tc>
          <w:tcPr>
            <w:tcW w:w="720" w:type="dxa"/>
            <w:vAlign w:val="bottom"/>
          </w:tcPr>
          <w:p>
            <w:pPr>
              <w:spacing w:after="0"/>
              <w:rPr>
                <w:sz w:val="21"/>
                <w:szCs w:val="21"/>
                <w:color w:val="auto"/>
              </w:rPr>
            </w:pPr>
          </w:p>
        </w:tc>
        <w:tc>
          <w:tcPr>
            <w:tcW w:w="90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Employment Arrangements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0"/>
        </w:trPr>
        <w:tc>
          <w:tcPr>
            <w:tcW w:w="720" w:type="dxa"/>
            <w:vAlign w:val="bottom"/>
          </w:tcPr>
          <w:p>
            <w:pPr>
              <w:spacing w:after="0"/>
              <w:rPr>
                <w:sz w:val="21"/>
                <w:szCs w:val="21"/>
                <w:color w:val="auto"/>
              </w:rPr>
            </w:pPr>
          </w:p>
        </w:tc>
        <w:tc>
          <w:tcPr>
            <w:tcW w:w="19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Retirement Benefit Plans</w:t>
            </w:r>
          </w:p>
        </w:tc>
        <w:tc>
          <w:tcPr>
            <w:tcW w:w="7020" w:type="dxa"/>
            <w:vAlign w:val="bottom"/>
            <w:gridSpan w:val="30"/>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720" w:type="dxa"/>
            <w:vAlign w:val="bottom"/>
          </w:tcPr>
          <w:p>
            <w:pPr>
              <w:spacing w:after="0" w:line="20" w:lineRule="exact"/>
              <w:rPr>
                <w:sz w:val="1"/>
                <w:szCs w:val="1"/>
                <w:color w:val="auto"/>
              </w:rPr>
            </w:pPr>
          </w:p>
        </w:tc>
        <w:tc>
          <w:tcPr>
            <w:tcW w:w="1740" w:type="dxa"/>
            <w:vAlign w:val="bottom"/>
            <w:tcBorders>
              <w:right w:val="single" w:sz="8" w:color="0000FF"/>
            </w:tcBorders>
            <w:gridSpan w:val="9"/>
            <w:shd w:val="clear" w:color="auto" w:fill="0000FF"/>
          </w:tcPr>
          <w:p>
            <w:pPr>
              <w:spacing w:after="0" w:line="20" w:lineRule="exact"/>
              <w:rPr>
                <w:sz w:val="1"/>
                <w:szCs w:val="1"/>
                <w:color w:val="auto"/>
              </w:rPr>
            </w:pPr>
          </w:p>
        </w:tc>
        <w:tc>
          <w:tcPr>
            <w:tcW w:w="820" w:type="dxa"/>
            <w:vAlign w:val="bottom"/>
            <w:tcBorders>
              <w:left w:val="single" w:sz="8" w:color="0000FF"/>
            </w:tcBorders>
            <w:gridSpan w:val="8"/>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5800" w:type="dxa"/>
            <w:vAlign w:val="bottom"/>
            <w:gridSpan w:val="18"/>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90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Termination and Change in Control Benefits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720" w:type="dxa"/>
            <w:vAlign w:val="bottom"/>
          </w:tcPr>
          <w:p>
            <w:pPr>
              <w:spacing w:after="0" w:line="20" w:lineRule="exact"/>
              <w:rPr>
                <w:sz w:val="1"/>
                <w:szCs w:val="1"/>
                <w:color w:val="auto"/>
              </w:rPr>
            </w:pPr>
          </w:p>
        </w:tc>
        <w:tc>
          <w:tcPr>
            <w:tcW w:w="2560" w:type="dxa"/>
            <w:vAlign w:val="bottom"/>
            <w:tcBorders>
              <w:right w:val="single" w:sz="8" w:color="0000FF"/>
            </w:tcBorders>
            <w:gridSpan w:val="17"/>
            <w:shd w:val="clear" w:color="auto" w:fill="0000FF"/>
          </w:tcPr>
          <w:p>
            <w:pPr>
              <w:spacing w:after="0" w:line="20" w:lineRule="exact"/>
              <w:rPr>
                <w:sz w:val="1"/>
                <w:szCs w:val="1"/>
                <w:color w:val="auto"/>
              </w:rPr>
            </w:pPr>
          </w:p>
        </w:tc>
        <w:tc>
          <w:tcPr>
            <w:tcW w:w="640" w:type="dxa"/>
            <w:vAlign w:val="bottom"/>
            <w:gridSpan w:val="7"/>
            <w:shd w:val="clear" w:color="auto" w:fill="0000FF"/>
          </w:tcPr>
          <w:p>
            <w:pPr>
              <w:spacing w:after="0" w:line="20" w:lineRule="exact"/>
              <w:rPr>
                <w:sz w:val="1"/>
                <w:szCs w:val="1"/>
                <w:color w:val="auto"/>
              </w:rPr>
            </w:pPr>
          </w:p>
        </w:tc>
        <w:tc>
          <w:tcPr>
            <w:tcW w:w="5800" w:type="dxa"/>
            <w:vAlign w:val="bottom"/>
            <w:gridSpan w:val="18"/>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0"/>
        </w:trPr>
        <w:tc>
          <w:tcPr>
            <w:tcW w:w="972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COMPENSATION COMMITTEE REPORT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7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8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COMPENSATION TABLES</w:t>
            </w:r>
          </w:p>
        </w:tc>
        <w:tc>
          <w:tcPr>
            <w:tcW w:w="5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2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Summary Compensation Table</w:t>
            </w:r>
          </w:p>
        </w:tc>
        <w:tc>
          <w:tcPr>
            <w:tcW w:w="2820" w:type="dxa"/>
            <w:vAlign w:val="bottom"/>
            <w:gridSpan w:val="9"/>
          </w:tcPr>
          <w:p>
            <w:pPr>
              <w:spacing w:after="0"/>
              <w:rPr>
                <w:sz w:val="21"/>
                <w:szCs w:val="21"/>
                <w:color w:val="auto"/>
              </w:rPr>
            </w:pPr>
          </w:p>
        </w:tc>
        <w:tc>
          <w:tcPr>
            <w:tcW w:w="5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0"/>
        </w:trPr>
        <w:tc>
          <w:tcPr>
            <w:tcW w:w="720" w:type="dxa"/>
            <w:vAlign w:val="bottom"/>
          </w:tcPr>
          <w:p>
            <w:pPr>
              <w:spacing w:after="0"/>
              <w:rPr>
                <w:sz w:val="21"/>
                <w:szCs w:val="21"/>
                <w:color w:val="auto"/>
              </w:rPr>
            </w:pPr>
          </w:p>
        </w:tc>
        <w:tc>
          <w:tcPr>
            <w:tcW w:w="5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Grant of Plan-Based Awards</w:t>
            </w:r>
          </w:p>
        </w:tc>
        <w:tc>
          <w:tcPr>
            <w:tcW w:w="5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7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24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Outstanding Equity Awards Table</w:t>
            </w:r>
          </w:p>
        </w:tc>
        <w:tc>
          <w:tcPr>
            <w:tcW w:w="20" w:type="dxa"/>
            <w:vAlign w:val="bottom"/>
            <w:tcBorders>
              <w:bottom w:val="single" w:sz="8" w:color="0000EE"/>
            </w:tcBorders>
          </w:tcPr>
          <w:p>
            <w:pPr>
              <w:spacing w:after="0"/>
              <w:rPr>
                <w:sz w:val="21"/>
                <w:szCs w:val="21"/>
                <w:color w:val="auto"/>
              </w:rPr>
            </w:pPr>
          </w:p>
        </w:tc>
        <w:tc>
          <w:tcPr>
            <w:tcW w:w="2600" w:type="dxa"/>
            <w:vAlign w:val="bottom"/>
            <w:gridSpan w:val="7"/>
          </w:tcPr>
          <w:p>
            <w:pPr>
              <w:spacing w:after="0"/>
              <w:rPr>
                <w:sz w:val="21"/>
                <w:szCs w:val="21"/>
                <w:color w:val="auto"/>
              </w:rPr>
            </w:pPr>
          </w:p>
        </w:tc>
        <w:tc>
          <w:tcPr>
            <w:tcW w:w="5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0"/>
        </w:trPr>
        <w:tc>
          <w:tcPr>
            <w:tcW w:w="720" w:type="dxa"/>
            <w:vAlign w:val="bottom"/>
          </w:tcPr>
          <w:p>
            <w:pPr>
              <w:spacing w:after="0"/>
              <w:rPr>
                <w:sz w:val="21"/>
                <w:szCs w:val="21"/>
                <w:color w:val="auto"/>
              </w:rPr>
            </w:pPr>
          </w:p>
        </w:tc>
        <w:tc>
          <w:tcPr>
            <w:tcW w:w="50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Options Exercised and Stock Vested</w:t>
            </w:r>
          </w:p>
        </w:tc>
        <w:tc>
          <w:tcPr>
            <w:tcW w:w="5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7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47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Potential Payments Upon Termination or Upon Change in Control</w:t>
            </w:r>
          </w:p>
        </w:tc>
        <w:tc>
          <w:tcPr>
            <w:tcW w:w="300" w:type="dxa"/>
            <w:vAlign w:val="bottom"/>
            <w:gridSpan w:val="2"/>
          </w:tcPr>
          <w:p>
            <w:pPr>
              <w:spacing w:after="0"/>
              <w:rPr>
                <w:sz w:val="21"/>
                <w:szCs w:val="21"/>
                <w:color w:val="auto"/>
              </w:rPr>
            </w:pPr>
          </w:p>
        </w:tc>
        <w:tc>
          <w:tcPr>
            <w:tcW w:w="5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720" w:type="dxa"/>
            <w:vAlign w:val="bottom"/>
          </w:tcPr>
          <w:p>
            <w:pPr>
              <w:spacing w:after="0"/>
              <w:rPr>
                <w:sz w:val="21"/>
                <w:szCs w:val="21"/>
                <w:color w:val="auto"/>
              </w:rPr>
            </w:pPr>
          </w:p>
        </w:tc>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Pay Ratio</w:t>
            </w:r>
          </w:p>
        </w:tc>
        <w:tc>
          <w:tcPr>
            <w:tcW w:w="20" w:type="dxa"/>
            <w:vAlign w:val="bottom"/>
            <w:tcBorders>
              <w:bottom w:val="single" w:sz="8" w:color="0000EE"/>
            </w:tcBorders>
          </w:tcPr>
          <w:p>
            <w:pPr>
              <w:spacing w:after="0"/>
              <w:rPr>
                <w:sz w:val="21"/>
                <w:szCs w:val="21"/>
                <w:color w:val="auto"/>
              </w:rPr>
            </w:pPr>
          </w:p>
        </w:tc>
        <w:tc>
          <w:tcPr>
            <w:tcW w:w="4360" w:type="dxa"/>
            <w:vAlign w:val="bottom"/>
            <w:gridSpan w:val="15"/>
          </w:tcPr>
          <w:p>
            <w:pPr>
              <w:spacing w:after="0"/>
              <w:rPr>
                <w:sz w:val="21"/>
                <w:szCs w:val="21"/>
                <w:color w:val="auto"/>
              </w:rPr>
            </w:pPr>
          </w:p>
        </w:tc>
        <w:tc>
          <w:tcPr>
            <w:tcW w:w="5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720" w:type="dxa"/>
            <w:vAlign w:val="bottom"/>
          </w:tcPr>
          <w:p>
            <w:pPr>
              <w:spacing w:after="0"/>
              <w:rPr>
                <w:sz w:val="21"/>
                <w:szCs w:val="21"/>
                <w:color w:val="auto"/>
              </w:rPr>
            </w:pPr>
          </w:p>
        </w:tc>
        <w:tc>
          <w:tcPr>
            <w:tcW w:w="2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Pay-versus-Performance Table</w:t>
            </w:r>
          </w:p>
        </w:tc>
        <w:tc>
          <w:tcPr>
            <w:tcW w:w="20" w:type="dxa"/>
            <w:vAlign w:val="bottom"/>
            <w:tcBorders>
              <w:bottom w:val="single" w:sz="8" w:color="0000EE"/>
            </w:tcBorders>
          </w:tcPr>
          <w:p>
            <w:pPr>
              <w:spacing w:after="0"/>
              <w:rPr>
                <w:sz w:val="21"/>
                <w:szCs w:val="21"/>
                <w:color w:val="auto"/>
              </w:rPr>
            </w:pPr>
          </w:p>
        </w:tc>
        <w:tc>
          <w:tcPr>
            <w:tcW w:w="2840" w:type="dxa"/>
            <w:vAlign w:val="bottom"/>
            <w:gridSpan w:val="10"/>
          </w:tcPr>
          <w:p>
            <w:pPr>
              <w:spacing w:after="0"/>
              <w:rPr>
                <w:sz w:val="21"/>
                <w:szCs w:val="21"/>
                <w:color w:val="auto"/>
              </w:rPr>
            </w:pPr>
          </w:p>
        </w:tc>
        <w:tc>
          <w:tcPr>
            <w:tcW w:w="5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50"/>
        </w:trPr>
        <w:tc>
          <w:tcPr>
            <w:tcW w:w="720" w:type="dxa"/>
            <w:vAlign w:val="bottom"/>
          </w:tcPr>
          <w:p>
            <w:pPr>
              <w:spacing w:after="0"/>
              <w:rPr>
                <w:sz w:val="21"/>
                <w:szCs w:val="21"/>
                <w:color w:val="auto"/>
              </w:rPr>
            </w:pPr>
          </w:p>
        </w:tc>
        <w:tc>
          <w:tcPr>
            <w:tcW w:w="50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Most Important Financial Measures Used to Determine Compensation</w:t>
            </w:r>
          </w:p>
        </w:tc>
        <w:tc>
          <w:tcPr>
            <w:tcW w:w="20" w:type="dxa"/>
            <w:vAlign w:val="bottom"/>
          </w:tcPr>
          <w:p>
            <w:pPr>
              <w:spacing w:after="0"/>
              <w:rPr>
                <w:sz w:val="21"/>
                <w:szCs w:val="21"/>
                <w:color w:val="auto"/>
              </w:rPr>
            </w:pPr>
          </w:p>
        </w:tc>
        <w:tc>
          <w:tcPr>
            <w:tcW w:w="5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50"/>
        </w:trPr>
        <w:tc>
          <w:tcPr>
            <w:tcW w:w="58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5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45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580" w:type="dxa"/>
            <w:vAlign w:val="bottom"/>
            <w:gridSpan w:val="3"/>
          </w:tcPr>
          <w:p>
            <w:pPr>
              <w:spacing w:after="0"/>
              <w:rPr>
                <w:sz w:val="21"/>
                <w:szCs w:val="21"/>
                <w:color w:val="auto"/>
              </w:rPr>
            </w:pPr>
          </w:p>
        </w:tc>
        <w:tc>
          <w:tcPr>
            <w:tcW w:w="5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5800" w:type="dxa"/>
            <w:vAlign w:val="bottom"/>
            <w:tcBorders>
              <w:bottom w:val="single" w:sz="8" w:color="0000EE"/>
            </w:tcBorders>
            <w:gridSpan w:val="20"/>
          </w:tcPr>
          <w:p>
            <w:pPr>
              <w:ind w:left="60"/>
              <w:spacing w:after="0"/>
              <w:rPr>
                <w:sz w:val="20"/>
                <w:szCs w:val="20"/>
                <w:color w:val="auto"/>
              </w:rPr>
            </w:pPr>
            <w:r>
              <w:rPr>
                <w:rFonts w:ascii="Times New Roman" w:cs="Times New Roman" w:eastAsia="Times New Roman" w:hAnsi="Times New Roman"/>
                <w:sz w:val="18"/>
                <w:szCs w:val="18"/>
                <w:color w:val="0000FF"/>
              </w:rPr>
              <w:t>SECTION 16(A) BENEFICIAL OWNERSHIP REPORTING COMPLIANCE</w:t>
            </w:r>
          </w:p>
        </w:tc>
        <w:tc>
          <w:tcPr>
            <w:tcW w:w="5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0"/>
        </w:trPr>
        <w:tc>
          <w:tcPr>
            <w:tcW w:w="9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APPROVAL</w:t>
            </w:r>
          </w:p>
        </w:tc>
        <w:tc>
          <w:tcPr>
            <w:tcW w:w="20" w:type="dxa"/>
            <w:vAlign w:val="bottom"/>
            <w:tcBorders>
              <w:bottom w:val="single" w:sz="8" w:color="0000EE"/>
            </w:tcBorders>
          </w:tcPr>
          <w:p>
            <w:pPr>
              <w:spacing w:after="0"/>
              <w:rPr>
                <w:sz w:val="21"/>
                <w:szCs w:val="21"/>
                <w:color w:val="auto"/>
              </w:rPr>
            </w:pPr>
          </w:p>
        </w:tc>
        <w:tc>
          <w:tcPr>
            <w:tcW w:w="4820" w:type="dxa"/>
            <w:vAlign w:val="bottom"/>
            <w:gridSpan w:val="17"/>
          </w:tcPr>
          <w:p>
            <w:pPr>
              <w:spacing w:after="0"/>
              <w:rPr>
                <w:sz w:val="21"/>
                <w:szCs w:val="21"/>
                <w:color w:val="auto"/>
              </w:rPr>
            </w:pPr>
          </w:p>
        </w:tc>
        <w:tc>
          <w:tcPr>
            <w:tcW w:w="5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50"/>
        </w:trPr>
        <w:tc>
          <w:tcPr>
            <w:tcW w:w="35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Appendix A—Non-GAAP Financial Information</w:t>
            </w:r>
          </w:p>
        </w:tc>
        <w:tc>
          <w:tcPr>
            <w:tcW w:w="20" w:type="dxa"/>
            <w:vAlign w:val="bottom"/>
            <w:tcBorders>
              <w:bottom w:val="single" w:sz="8" w:color="0000EE"/>
            </w:tcBorders>
          </w:tcPr>
          <w:p>
            <w:pPr>
              <w:spacing w:after="0"/>
              <w:rPr>
                <w:sz w:val="21"/>
                <w:szCs w:val="21"/>
                <w:color w:val="auto"/>
              </w:rPr>
            </w:pPr>
          </w:p>
        </w:tc>
        <w:tc>
          <w:tcPr>
            <w:tcW w:w="2220" w:type="dxa"/>
            <w:vAlign w:val="bottom"/>
            <w:gridSpan w:val="4"/>
          </w:tcPr>
          <w:p>
            <w:pPr>
              <w:spacing w:after="0"/>
              <w:rPr>
                <w:sz w:val="21"/>
                <w:szCs w:val="21"/>
                <w:color w:val="auto"/>
              </w:rPr>
            </w:pPr>
          </w:p>
        </w:tc>
        <w:tc>
          <w:tcPr>
            <w:tcW w:w="5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FOR THE 2026 ANNUAL AND SPECIAL MEETING OF SHAREHOLDERS TO BE HELD ON JUNE 16, 2026</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This proxy statement contains information about the 2026 annual and special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xml:space="preserve">”) of Green Thumb Industries Inc., to be held via live webcast on June 16, 2026 beginning at 2:00 p.m. (Central time), at </w:t>
      </w:r>
      <w:r>
        <w:rPr>
          <w:rFonts w:ascii="Times New Roman" w:cs="Times New Roman" w:eastAsia="Times New Roman" w:hAnsi="Times New Roman"/>
          <w:sz w:val="18"/>
          <w:szCs w:val="18"/>
          <w:i w:val="1"/>
          <w:iCs w:val="1"/>
          <w:u w:val="single" w:color="auto"/>
          <w:color w:val="auto"/>
        </w:rPr>
        <w:t>www.virtualshareholdermeeting.com/GTBIF2026</w:t>
      </w:r>
      <w:r>
        <w:rPr>
          <w:rFonts w:ascii="Times New Roman" w:cs="Times New Roman" w:eastAsia="Times New Roman" w:hAnsi="Times New Roman"/>
          <w:sz w:val="18"/>
          <w:szCs w:val="18"/>
          <w:color w:val="auto"/>
        </w:rPr>
        <w:t>.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the Company is using this proxy statement to solicit proxies for use at the Meeting. Unless the context otherwise requires, references to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Green Thumb</w:t>
      </w:r>
      <w:r>
        <w:rPr>
          <w:rFonts w:ascii="Times New Roman" w:cs="Times New Roman" w:eastAsia="Times New Roman" w:hAnsi="Times New Roman"/>
          <w:sz w:val="18"/>
          <w:szCs w:val="18"/>
          <w:color w:val="auto"/>
        </w:rPr>
        <w:t>” or similar terms refers to Green Thumb Industries Inc. together with its wholly-owned subsidiaries. The mailing address of our principal executive offices is 325 West Huron Street, Suite 700, Chicago, Illinois 60654.</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with respect to each of the matters set forth in the accompanying Notice of Meeting. You may revoke it at any time up to and including the day two business days preceding the day of the Meeting by giving our Corporate Secretary written notice to that effect or at the Meeting by providing written notice to our Chair to that effect.</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auto"/>
        </w:rPr>
        <w:t>We made this proxy statement and our Annual Report on Form 10-K for the fiscal year ended December 31, 2025 (the “</w:t>
      </w:r>
      <w:r>
        <w:rPr>
          <w:rFonts w:ascii="Times New Roman" w:cs="Times New Roman" w:eastAsia="Times New Roman" w:hAnsi="Times New Roman"/>
          <w:sz w:val="18"/>
          <w:szCs w:val="18"/>
          <w:b w:val="1"/>
          <w:bCs w:val="1"/>
          <w:color w:val="auto"/>
        </w:rPr>
        <w:t>2025 Form 10-K</w:t>
      </w:r>
      <w:r>
        <w:rPr>
          <w:rFonts w:ascii="Times New Roman" w:cs="Times New Roman" w:eastAsia="Times New Roman" w:hAnsi="Times New Roman"/>
          <w:sz w:val="18"/>
          <w:szCs w:val="18"/>
          <w:color w:val="auto"/>
        </w:rPr>
        <w:t>”) available to shareholders on April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and Special Meeting of Shareholders to be Held on June 16, 2025:</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This proxy statement and our 2025 Form 10-K are available for viewing, printing and downloading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A copy of our 2025 Form 10-K, as filed with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on February 25, 2026, except for exhibits, will be furnished without charge to any shareholder upon written request to our Corporate Secretary at investorrelations@gtigrows.com. This proxy statement and our 2025 Form 10-K are also available on the Investors page of our website at </w:t>
      </w:r>
      <w:r>
        <w:rPr>
          <w:rFonts w:ascii="Times New Roman" w:cs="Times New Roman" w:eastAsia="Times New Roman" w:hAnsi="Times New Roman"/>
          <w:sz w:val="18"/>
          <w:szCs w:val="18"/>
          <w:i w:val="1"/>
          <w:iCs w:val="1"/>
          <w:u w:val="single" w:color="auto"/>
          <w:color w:val="auto"/>
        </w:rPr>
        <w:t>gtigrows.com</w:t>
      </w:r>
      <w:r>
        <w:rPr>
          <w:rFonts w:ascii="Times New Roman" w:cs="Times New Roman" w:eastAsia="Times New Roman" w:hAnsi="Times New Roman"/>
          <w:sz w:val="18"/>
          <w:szCs w:val="18"/>
          <w:color w:val="auto"/>
        </w:rPr>
        <w:t xml:space="preserve">,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xml:space="preserve"> and SEDAR+ at </w:t>
      </w:r>
      <w:r>
        <w:rPr>
          <w:rFonts w:ascii="Times New Roman" w:cs="Times New Roman" w:eastAsia="Times New Roman" w:hAnsi="Times New Roman"/>
          <w:sz w:val="18"/>
          <w:szCs w:val="18"/>
          <w:i w:val="1"/>
          <w:iCs w:val="1"/>
          <w:u w:val="single" w:color="auto"/>
          <w:color w:val="auto"/>
        </w:rPr>
        <w:t>www.sedarplus.ca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46" w:right="3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AND SPECIAL MEETING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Materials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am I receiving these materials?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Board is using this proxy statement to solicit proxies for use at the Meeting to be held via live webcast on June 16, 2026 and is making these materials available by posting them online to access, rather than mailing them out unless requested by a shareholder. The cost of any solicitation will be borne by the Company. Proxies may also be solicited personally by employees of the Company at nominal cost to the Company.</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a shareholder, you are invited to attend the Meeting and are entitled and requested to vote on the business items described in this proxy statement. This proxy statement is furnished in connection with the solicitation of proxies by or on behalf of management of the Company and the Board. This proxy statement is designed to assist you in voting your shares and includes information that we are required to provide under the rules of the SEC and applicable Canadian securities laws.</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These proxy materials are being sent to both registered and non-registered shareholders. In some instances, the Company has distributed copies of the Notice, the proxy statement and the accompanying Proxy Instrument (collectively,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to clearing agencies, securities dealers, banks and trust companies, or their nominees (collectively “</w:t>
      </w:r>
      <w:r>
        <w:rPr>
          <w:rFonts w:ascii="Times New Roman" w:cs="Times New Roman" w:eastAsia="Times New Roman" w:hAnsi="Times New Roman"/>
          <w:sz w:val="18"/>
          <w:szCs w:val="18"/>
          <w:b w:val="1"/>
          <w:bCs w:val="1"/>
          <w:color w:val="auto"/>
        </w:rPr>
        <w:t>Intermediaries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color w:val="auto"/>
        </w:rPr>
        <w:t>Intermediary</w:t>
      </w:r>
      <w:r>
        <w:rPr>
          <w:rFonts w:ascii="Times New Roman" w:cs="Times New Roman" w:eastAsia="Times New Roman" w:hAnsi="Times New Roman"/>
          <w:sz w:val="18"/>
          <w:szCs w:val="18"/>
          <w:color w:val="auto"/>
        </w:rPr>
        <w:t>”) for onward distribution to non-registered shareholders whose shares are held by or in the custody of those Intermediaries (“</w:t>
      </w:r>
      <w:r>
        <w:rPr>
          <w:rFonts w:ascii="Times New Roman" w:cs="Times New Roman" w:eastAsia="Times New Roman" w:hAnsi="Times New Roman"/>
          <w:sz w:val="18"/>
          <w:szCs w:val="18"/>
          <w:b w:val="1"/>
          <w:bCs w:val="1"/>
          <w:color w:val="auto"/>
        </w:rPr>
        <w:t>Non-registered Shareholders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beneficial owners</w:t>
      </w:r>
      <w:r>
        <w:rPr>
          <w:rFonts w:ascii="Times New Roman" w:cs="Times New Roman" w:eastAsia="Times New Roman" w:hAnsi="Times New Roman"/>
          <w:sz w:val="18"/>
          <w:szCs w:val="18"/>
          <w:color w:val="auto"/>
        </w:rPr>
        <w:t>”). The Intermediaries are required to forward the Documents to Non-registered Shareholders.</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Solicitation of proxies from Non-registered Shareholders will be carried out by Intermediaries, or by the Company if the names and addresses of Non-registered Shareholders are provided by the Intermediaries.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Non-registered Shareholders who have received the Documents from their Intermediary should follow the directions of their Intermediary with respect to the procedure to be followed for voting at the Meeting. Generally, Non-registered Shareholders will either:</w:t>
      </w:r>
    </w:p>
    <w:p>
      <w:pPr>
        <w:spacing w:after="0" w:line="54" w:lineRule="exact"/>
        <w:rPr>
          <w:sz w:val="20"/>
          <w:szCs w:val="20"/>
          <w:color w:val="auto"/>
        </w:rPr>
      </w:pPr>
    </w:p>
    <w:p>
      <w:pPr>
        <w:ind w:left="1140" w:right="40" w:hanging="369"/>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provided with a form of proxy executed by the Intermediary but otherwise uncompleted. The Non-registered Shareholder may complete the proxy and return it directly to our proxy tabulator, Broadridge Financial Solutions; or</w:t>
      </w:r>
    </w:p>
    <w:p>
      <w:pPr>
        <w:spacing w:after="0" w:line="53" w:lineRule="exact"/>
        <w:rPr>
          <w:rFonts w:ascii="Times New Roman" w:cs="Times New Roman" w:eastAsia="Times New Roman" w:hAnsi="Times New Roman"/>
          <w:sz w:val="18"/>
          <w:szCs w:val="18"/>
          <w:color w:val="auto"/>
        </w:rPr>
      </w:pPr>
    </w:p>
    <w:p>
      <w:pPr>
        <w:ind w:left="1140" w:right="40" w:hanging="369"/>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provided with a request for voting instructions. The Intermediary is required to send the Company an executed form of proxy completed in accordance with any voting instructions received by the Intermediary.</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you are a Non-registered Shareholder (beneficial owner), the Company or its agent has sent these materials to your Intermediary in accordance with applicable securities regulatory requirements. Your Intermediary is responsible for: (i) delivering the Documents to you; and (ii) executing your proper voting instructions. Non-registered Shareholders who have elected to receive the Documents by electronic delivery (“</w:t>
      </w:r>
      <w:r>
        <w:rPr>
          <w:rFonts w:ascii="Times New Roman" w:cs="Times New Roman" w:eastAsia="Times New Roman" w:hAnsi="Times New Roman"/>
          <w:sz w:val="18"/>
          <w:szCs w:val="18"/>
          <w:b w:val="1"/>
          <w:bCs w:val="1"/>
          <w:color w:val="auto"/>
        </w:rPr>
        <w:t>e-Delivery</w:t>
      </w:r>
      <w:r>
        <w:rPr>
          <w:rFonts w:ascii="Times New Roman" w:cs="Times New Roman" w:eastAsia="Times New Roman" w:hAnsi="Times New Roman"/>
          <w:sz w:val="18"/>
          <w:szCs w:val="18"/>
          <w:color w:val="auto"/>
        </w:rPr>
        <w:t>”) will have received e-mail notification from the Intermediary that the Documents are available electronically on the Company’s website. Please return your voting instructions as specified in the request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136130" cy="5702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570230"/>
                    </a:xfrm>
                    <a:prstGeom prst="rect">
                      <a:avLst/>
                    </a:prstGeom>
                    <a:noFill/>
                  </pic:spPr>
                </pic:pic>
              </a:graphicData>
            </a:graphic>
          </wp:anchor>
        </w:drawing>
      </w:r>
    </w:p>
    <w:p>
      <w:pPr>
        <w:spacing w:after="0" w:line="3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Receiving Future Meeting Materials by Email</w:t>
      </w:r>
    </w:p>
    <w:p>
      <w:pPr>
        <w:spacing w:after="0" w:line="121" w:lineRule="exact"/>
        <w:rPr>
          <w:sz w:val="20"/>
          <w:szCs w:val="20"/>
          <w:color w:val="auto"/>
        </w:rPr>
      </w:pPr>
    </w:p>
    <w:p>
      <w:pPr>
        <w:ind w:left="140"/>
        <w:spacing w:after="0" w:line="282" w:lineRule="auto"/>
        <w:rPr>
          <w:sz w:val="20"/>
          <w:szCs w:val="20"/>
          <w:color w:val="auto"/>
        </w:rPr>
      </w:pPr>
      <w:r>
        <w:rPr>
          <w:rFonts w:ascii="Times New Roman" w:cs="Times New Roman" w:eastAsia="Times New Roman" w:hAnsi="Times New Roman"/>
          <w:sz w:val="18"/>
          <w:szCs w:val="18"/>
          <w:color w:val="auto"/>
        </w:rPr>
        <w:t xml:space="preserve">eDelivery ensures that shareholders receive documents faster, helps reduce printing and postage expenses and creates less paper waste. Shareholders who wish to enroll in e-Delivery may sign up at </w:t>
      </w:r>
      <w:r>
        <w:rPr>
          <w:rFonts w:ascii="Times New Roman" w:cs="Times New Roman" w:eastAsia="Times New Roman" w:hAnsi="Times New Roman"/>
          <w:sz w:val="18"/>
          <w:szCs w:val="18"/>
          <w:i w:val="1"/>
          <w:iCs w:val="1"/>
          <w:u w:val="single" w:color="auto"/>
          <w:color w:val="auto"/>
        </w:rPr>
        <w:t>www.proxyvote.com</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included in the proxy materials?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proxy materials include:</w:t>
      </w:r>
    </w:p>
    <w:p>
      <w:pPr>
        <w:spacing w:after="0" w:line="117" w:lineRule="exact"/>
        <w:rPr>
          <w:sz w:val="20"/>
          <w:szCs w:val="20"/>
          <w:color w:val="auto"/>
        </w:rPr>
      </w:pPr>
    </w:p>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Notice of Meeting;</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proxy statement for the Meeting;</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Instrument or voting instruction card;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2025 Form 10-K.</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What information is contained in this proxy statement?</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in this proxy statement relates to the proposals to be voted on at the Meeting, the voting process, our Board and its committees, corporate governance, the compensation of our directors and executive officers and other required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share an address with another shareholder, and we received only one paper copy of the proxy materials. How may I obtain an additional copy?</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If you share an address with another shareholder, you may receive only one set of proxy materials unless you have provided contrary instructions. If you wish to receive a separate set of the materials, please request the additional copy by contacting our Corporate Secretary at </w:t>
      </w:r>
      <w:r>
        <w:rPr>
          <w:rFonts w:ascii="Times New Roman" w:cs="Times New Roman" w:eastAsia="Times New Roman" w:hAnsi="Times New Roman"/>
          <w:sz w:val="18"/>
          <w:szCs w:val="18"/>
          <w:i w:val="1"/>
          <w:iCs w:val="1"/>
          <w:u w:val="single" w:color="auto"/>
          <w:color w:val="auto"/>
        </w:rPr>
        <w:t>investorrelations@gtigrows.com</w:t>
      </w:r>
      <w:r>
        <w:rPr>
          <w:rFonts w:ascii="Times New Roman" w:cs="Times New Roman" w:eastAsia="Times New Roman" w:hAnsi="Times New Roman"/>
          <w:sz w:val="18"/>
          <w:szCs w:val="18"/>
          <w:color w:val="auto"/>
        </w:rPr>
        <w:t xml:space="preserve"> or by calling us at (312) 471-6720.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separate set of the materials will be sent promptly following receipt of your request.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are a shareholder of record and wish to receive a separate set of proxy materials in the future, or if you have received multiple sets of proxy materials and would like to receive only one set in the future, please contact Broadridge Financial Solutions at:</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Broadridge</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 Mercedes Way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Edgewood, NY 11717</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1-866-540-7095</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shares and you wish to receive a separate set of proxy materials in the future, or if you have received multiple sets of proxy materials and would like to receive only one set in the future, please contact your bank or broker directly.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also may write to, or email us, at the address below to request a separate copy of the proxy materials: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Green Thumb Industries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325 West Huron Street, Suite 700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investorrelations@gtigrows.com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pays the cost of soliciting proxies for the Meeting?</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will bear the cost of solicitation. This solicitation of proxies is being made to shareholders by mail, but may be supplemented by telephone or other personal contact.</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will not reimburse Intermediaries for forwarding proxy materials to objecting beneficial owners and such objecting beneficial owners will not receive proxy materials unless their Intermediaries assume the cost of delivery.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items of business will be voted on at the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items to be voted on at the Meeting are to:</w:t>
      </w:r>
    </w:p>
    <w:p>
      <w:pPr>
        <w:spacing w:after="0" w:line="117" w:lineRule="exact"/>
        <w:rPr>
          <w:sz w:val="20"/>
          <w:szCs w:val="20"/>
          <w:color w:val="auto"/>
        </w:rPr>
      </w:pPr>
    </w:p>
    <w:p>
      <w:pPr>
        <w:ind w:left="1280" w:hanging="509"/>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the number of directors at seven;</w:t>
      </w:r>
    </w:p>
    <w:p>
      <w:pPr>
        <w:spacing w:after="0" w:line="117"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directors for the forthcoming year from the nominees proposed by the Board;</w:t>
      </w:r>
    </w:p>
    <w:p>
      <w:pPr>
        <w:spacing w:after="0" w:line="117" w:lineRule="exact"/>
        <w:rPr>
          <w:rFonts w:ascii="Times New Roman" w:cs="Times New Roman" w:eastAsia="Times New Roman" w:hAnsi="Times New Roman"/>
          <w:sz w:val="18"/>
          <w:szCs w:val="18"/>
          <w:color w:val="auto"/>
        </w:rPr>
      </w:pPr>
    </w:p>
    <w:p>
      <w:pPr>
        <w:ind w:left="1280" w:right="240" w:hanging="509"/>
        <w:spacing w:after="0" w:line="282" w:lineRule="auto"/>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 an advisory basis, the compensation paid to the Company’s named executive officers, as disclosed in this proxy statement (which we refer to as the “</w:t>
      </w:r>
      <w:r>
        <w:rPr>
          <w:rFonts w:ascii="Times New Roman" w:cs="Times New Roman" w:eastAsia="Times New Roman" w:hAnsi="Times New Roman"/>
          <w:sz w:val="18"/>
          <w:szCs w:val="18"/>
          <w:b w:val="1"/>
          <w:bCs w:val="1"/>
          <w:color w:val="auto"/>
        </w:rPr>
        <w:t>Say-on-Pay Proposal</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280" w:right="380" w:hanging="509"/>
        <w:spacing w:after="0" w:line="282" w:lineRule="auto"/>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Re-appoint Baker Tilly as auditors for the Company and the authorization of the Board to fix the auditors’ remuneration and terms of engagement;</w:t>
      </w:r>
    </w:p>
    <w:p>
      <w:pPr>
        <w:spacing w:after="0" w:line="49" w:lineRule="exact"/>
        <w:rPr>
          <w:rFonts w:ascii="Times New Roman" w:cs="Times New Roman" w:eastAsia="Times New Roman" w:hAnsi="Times New Roman"/>
          <w:sz w:val="18"/>
          <w:szCs w:val="18"/>
          <w:color w:val="auto"/>
        </w:rPr>
      </w:pPr>
    </w:p>
    <w:p>
      <w:pPr>
        <w:ind w:left="1280" w:hanging="509"/>
        <w:spacing w:after="0" w:line="268" w:lineRule="auto"/>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amendment of the Company’s current Amended and Restated Articles (the “</w:t>
      </w:r>
      <w:r>
        <w:rPr>
          <w:rFonts w:ascii="Times New Roman" w:cs="Times New Roman" w:eastAsia="Times New Roman" w:hAnsi="Times New Roman"/>
          <w:sz w:val="18"/>
          <w:szCs w:val="18"/>
          <w:b w:val="1"/>
          <w:bCs w:val="1"/>
          <w:color w:val="auto"/>
        </w:rPr>
        <w:t>Existing Articles”</w:t>
      </w:r>
      <w:r>
        <w:rPr>
          <w:rFonts w:ascii="Times New Roman" w:cs="Times New Roman" w:eastAsia="Times New Roman" w:hAnsi="Times New Roman"/>
          <w:sz w:val="18"/>
          <w:szCs w:val="18"/>
          <w:color w:val="auto"/>
        </w:rPr>
        <w:t>) to vary the automatic conversion provisions of the Company’s Super Voting Shares contained in Section 28.1(7)(b) of the Existing Articles, such that automatic conversion of Super Voting Shares is triggered when an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9" w:name="page10"/>
    <w:bookmarkEnd w:id="9"/>
    <w:p>
      <w:pPr>
        <w:ind w:left="1280"/>
        <w:spacing w:after="0"/>
        <w:rPr>
          <w:sz w:val="20"/>
          <w:szCs w:val="20"/>
          <w:color w:val="auto"/>
        </w:rPr>
      </w:pPr>
      <w:r>
        <w:rPr>
          <w:rFonts w:ascii="Times New Roman" w:cs="Times New Roman" w:eastAsia="Times New Roman" w:hAnsi="Times New Roman"/>
          <w:sz w:val="18"/>
          <w:szCs w:val="18"/>
          <w:color w:val="auto"/>
        </w:rPr>
        <w:t>initial holder’s holdings fall to 25%, instead of 50%, of the original number of such shares held (the “</w:t>
      </w:r>
      <w:r>
        <w:rPr>
          <w:rFonts w:ascii="Times New Roman" w:cs="Times New Roman" w:eastAsia="Times New Roman" w:hAnsi="Times New Roman"/>
          <w:sz w:val="18"/>
          <w:szCs w:val="18"/>
          <w:b w:val="1"/>
          <w:bCs w:val="1"/>
          <w:color w:val="auto"/>
        </w:rPr>
        <w:t>Amendment Proposal</w:t>
      </w:r>
      <w:r>
        <w:rPr>
          <w:rFonts w:ascii="Times New Roman" w:cs="Times New Roman" w:eastAsia="Times New Roman" w:hAnsi="Times New Roman"/>
          <w:sz w:val="18"/>
          <w:szCs w:val="18"/>
          <w:color w:val="auto"/>
        </w:rPr>
        <w:t>”); and</w:t>
      </w:r>
    </w:p>
    <w:p>
      <w:pPr>
        <w:spacing w:after="0" w:line="121" w:lineRule="exact"/>
        <w:rPr>
          <w:sz w:val="20"/>
          <w:szCs w:val="20"/>
          <w:color w:val="auto"/>
        </w:rPr>
      </w:pPr>
    </w:p>
    <w:p>
      <w:pPr>
        <w:ind w:left="1280" w:hanging="509"/>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such other business as may properly come before the Meeting or any adjournment(s) thereof.</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my voting choices?</w:t>
      </w:r>
    </w:p>
    <w:p>
      <w:pPr>
        <w:spacing w:after="0" w:line="117"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color w:val="auto"/>
        </w:rPr>
        <w:t>You may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for the setting of the number of directors at seven;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WITHHOLD</w:t>
      </w:r>
      <w:r>
        <w:rPr>
          <w:rFonts w:ascii="Times New Roman" w:cs="Times New Roman" w:eastAsia="Times New Roman" w:hAnsi="Times New Roman"/>
          <w:sz w:val="18"/>
          <w:szCs w:val="18"/>
          <w:color w:val="auto"/>
        </w:rPr>
        <w:t>” for the election of each director nominee;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ABSTAIN</w:t>
      </w:r>
      <w:r>
        <w:rPr>
          <w:rFonts w:ascii="Times New Roman" w:cs="Times New Roman" w:eastAsia="Times New Roman" w:hAnsi="Times New Roman"/>
          <w:sz w:val="18"/>
          <w:szCs w:val="18"/>
          <w:color w:val="auto"/>
        </w:rPr>
        <w:t>” for the Say-on-Pay Proposal;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WITHHOLD</w:t>
      </w:r>
      <w:r>
        <w:rPr>
          <w:rFonts w:ascii="Times New Roman" w:cs="Times New Roman" w:eastAsia="Times New Roman" w:hAnsi="Times New Roman"/>
          <w:sz w:val="18"/>
          <w:szCs w:val="18"/>
          <w:color w:val="auto"/>
        </w:rPr>
        <w:t>” for the re-appointment of Baker Tilly as auditors for the ensuing year and the authorization of the Board to fix the auditor’s remuneration and set the terms of engagement; and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ABSTAIN</w:t>
      </w:r>
      <w:r>
        <w:rPr>
          <w:rFonts w:ascii="Times New Roman" w:cs="Times New Roman" w:eastAsia="Times New Roman" w:hAnsi="Times New Roman"/>
          <w:sz w:val="18"/>
          <w:szCs w:val="18"/>
          <w:color w:val="auto"/>
        </w:rPr>
        <w:t>” for the Amendment Proposal.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does the Board recommend that I vote?</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Our Board recommends that you vote your shares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setting of the number of directors at seven;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each of its nominees for election to the Board;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Say-on-Pay Proposal; and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re-appointment of Baker Tilly, as auditors for fiscal 2025 and the authorization of the Board to fix the auditor’s remuneration and set the terms of engagement; and the independent members of our Board recommend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Amendment Proposal.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item?</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conduct business at the Meeting, the quorum of shareholders is one person who holds, or who represents by proxy one or more shareholders who in the aggregate hold, at least 5% of the issued shares entitled to be voted at the Meeting.</w:t>
      </w:r>
    </w:p>
    <w:p>
      <w:pPr>
        <w:spacing w:after="0" w:line="158"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color w:val="auto"/>
        </w:rPr>
        <w:t>If you indicate “</w:t>
      </w:r>
      <w:r>
        <w:rPr>
          <w:rFonts w:ascii="Times New Roman" w:cs="Times New Roman" w:eastAsia="Times New Roman" w:hAnsi="Times New Roman"/>
          <w:sz w:val="18"/>
          <w:szCs w:val="18"/>
          <w:b w:val="1"/>
          <w:bCs w:val="1"/>
          <w:u w:val="single" w:color="auto"/>
          <w:color w:val="auto"/>
        </w:rPr>
        <w:t>WITHHOLD</w:t>
      </w:r>
      <w:r>
        <w:rPr>
          <w:rFonts w:ascii="Times New Roman" w:cs="Times New Roman" w:eastAsia="Times New Roman" w:hAnsi="Times New Roman"/>
          <w:sz w:val="18"/>
          <w:szCs w:val="18"/>
          <w:color w:val="auto"/>
        </w:rPr>
        <w:t>” in respect to the election of directors, your vote will be counted for purposes of determining the presence or absence of a quorum for the transaction of business at the Meeting. As described below, broker non-votes will be counted for determining the presence or absence of a quorum for the transaction of business at the Meeting, but will not be considered votes cast with respect to the election of any director nominee or on any other proposal. Abstentions will also not be treated as votes cast and will not be counted in the determination of the outcome of the Say-on-Pay Proposal, the Amendment Proposal or any other proposal.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Required Vote</w:t>
            </w:r>
          </w:p>
        </w:tc>
      </w:tr>
      <w:tr>
        <w:trPr>
          <w:trHeight w:val="210"/>
        </w:trPr>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1.</w:t>
            </w:r>
          </w:p>
        </w:tc>
        <w:tc>
          <w:tcPr>
            <w:tcW w:w="6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Set the number of directors at seven</w:t>
            </w:r>
          </w:p>
        </w:tc>
        <w:tc>
          <w:tcPr>
            <w:tcW w:w="100" w:type="dxa"/>
            <w:vAlign w:val="bottom"/>
          </w:tcPr>
          <w:p>
            <w:pPr>
              <w:spacing w:after="0"/>
              <w:rPr>
                <w:sz w:val="18"/>
                <w:szCs w:val="18"/>
                <w:color w:val="auto"/>
              </w:rPr>
            </w:pPr>
          </w:p>
        </w:tc>
        <w:tc>
          <w:tcPr>
            <w:tcW w:w="4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Majority of the votes cast on the proposal</w:t>
            </w:r>
          </w:p>
        </w:tc>
      </w:tr>
      <w:tr>
        <w:trPr>
          <w:trHeight w:val="216"/>
        </w:trPr>
        <w:tc>
          <w:tcPr>
            <w:tcW w:w="14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w w:val="88"/>
              </w:rPr>
              <w:t>2.</w:t>
            </w:r>
          </w:p>
        </w:tc>
        <w:tc>
          <w:tcPr>
            <w:tcW w:w="6960" w:type="dxa"/>
            <w:vAlign w:val="bottom"/>
            <w:shd w:val="clear" w:color="auto" w:fill="FCEABC"/>
          </w:tcPr>
          <w:p>
            <w:pPr>
              <w:ind w:left="40"/>
              <w:spacing w:after="0"/>
              <w:rPr>
                <w:sz w:val="20"/>
                <w:szCs w:val="20"/>
                <w:color w:val="auto"/>
              </w:rPr>
            </w:pPr>
            <w:r>
              <w:rPr>
                <w:rFonts w:ascii="Times New Roman" w:cs="Times New Roman" w:eastAsia="Times New Roman" w:hAnsi="Times New Roman"/>
                <w:sz w:val="18"/>
                <w:szCs w:val="18"/>
                <w:color w:val="auto"/>
              </w:rPr>
              <w:t>Election of directors</w:t>
            </w:r>
          </w:p>
        </w:tc>
        <w:tc>
          <w:tcPr>
            <w:tcW w:w="4140" w:type="dxa"/>
            <w:vAlign w:val="bottom"/>
            <w:gridSpan w:val="2"/>
            <w:shd w:val="clear" w:color="auto" w:fill="FCEABC"/>
          </w:tcPr>
          <w:p>
            <w:pPr>
              <w:ind w:left="100"/>
              <w:spacing w:after="0"/>
              <w:rPr>
                <w:sz w:val="20"/>
                <w:szCs w:val="20"/>
                <w:color w:val="auto"/>
              </w:rPr>
            </w:pPr>
            <w:r>
              <w:rPr>
                <w:rFonts w:ascii="Times New Roman" w:cs="Times New Roman" w:eastAsia="Times New Roman" w:hAnsi="Times New Roman"/>
                <w:sz w:val="18"/>
                <w:szCs w:val="18"/>
                <w:color w:val="auto"/>
              </w:rPr>
              <w:t>Plurality of the votes cast</w:t>
            </w:r>
          </w:p>
        </w:tc>
      </w:tr>
      <w:tr>
        <w:trPr>
          <w:trHeight w:val="198"/>
        </w:trPr>
        <w:tc>
          <w:tcPr>
            <w:tcW w:w="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88"/>
              </w:rPr>
              <w:t>3.</w:t>
            </w:r>
          </w:p>
        </w:tc>
        <w:tc>
          <w:tcPr>
            <w:tcW w:w="69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Approve, on an advisory basis, the compensation of the named executive</w:t>
            </w:r>
          </w:p>
        </w:tc>
        <w:tc>
          <w:tcPr>
            <w:tcW w:w="100" w:type="dxa"/>
            <w:vAlign w:val="bottom"/>
          </w:tcPr>
          <w:p>
            <w:pPr>
              <w:spacing w:after="0"/>
              <w:rPr>
                <w:sz w:val="17"/>
                <w:szCs w:val="17"/>
                <w:color w:val="auto"/>
              </w:rPr>
            </w:pPr>
          </w:p>
        </w:tc>
        <w:tc>
          <w:tcPr>
            <w:tcW w:w="4040" w:type="dxa"/>
            <w:vAlign w:val="bottom"/>
          </w:tcPr>
          <w:p>
            <w:pPr>
              <w:spacing w:after="0"/>
              <w:rPr>
                <w:sz w:val="17"/>
                <w:szCs w:val="17"/>
                <w:color w:val="auto"/>
              </w:rPr>
            </w:pPr>
          </w:p>
        </w:tc>
      </w:tr>
      <w:tr>
        <w:trPr>
          <w:trHeight w:val="234"/>
        </w:trPr>
        <w:tc>
          <w:tcPr>
            <w:tcW w:w="14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officers, as disclosed in this Proxy Statement</w:t>
            </w: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Majority of the votes cast on the proposal</w:t>
            </w:r>
          </w:p>
        </w:tc>
      </w:tr>
      <w:tr>
        <w:trPr>
          <w:trHeight w:val="216"/>
        </w:trPr>
        <w:tc>
          <w:tcPr>
            <w:tcW w:w="14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w w:val="88"/>
              </w:rPr>
              <w:t>4.</w:t>
            </w:r>
          </w:p>
        </w:tc>
        <w:tc>
          <w:tcPr>
            <w:tcW w:w="6960" w:type="dxa"/>
            <w:vAlign w:val="bottom"/>
            <w:shd w:val="clear" w:color="auto" w:fill="FCEABC"/>
          </w:tcPr>
          <w:p>
            <w:pPr>
              <w:ind w:left="40"/>
              <w:spacing w:after="0"/>
              <w:rPr>
                <w:sz w:val="20"/>
                <w:szCs w:val="20"/>
                <w:color w:val="auto"/>
              </w:rPr>
            </w:pPr>
            <w:r>
              <w:rPr>
                <w:rFonts w:ascii="Times New Roman" w:cs="Times New Roman" w:eastAsia="Times New Roman" w:hAnsi="Times New Roman"/>
                <w:sz w:val="18"/>
                <w:szCs w:val="18"/>
                <w:color w:val="auto"/>
              </w:rPr>
              <w:t>Re-appointment and remuneration of auditors</w:t>
            </w:r>
          </w:p>
        </w:tc>
        <w:tc>
          <w:tcPr>
            <w:tcW w:w="4140" w:type="dxa"/>
            <w:vAlign w:val="bottom"/>
            <w:gridSpan w:val="2"/>
            <w:shd w:val="clear" w:color="auto" w:fill="FCEABC"/>
          </w:tcPr>
          <w:p>
            <w:pPr>
              <w:ind w:left="100"/>
              <w:spacing w:after="0"/>
              <w:rPr>
                <w:sz w:val="20"/>
                <w:szCs w:val="20"/>
                <w:color w:val="auto"/>
              </w:rPr>
            </w:pPr>
            <w:r>
              <w:rPr>
                <w:rFonts w:ascii="Times New Roman" w:cs="Times New Roman" w:eastAsia="Times New Roman" w:hAnsi="Times New Roman"/>
                <w:sz w:val="18"/>
                <w:szCs w:val="18"/>
                <w:color w:val="auto"/>
              </w:rPr>
              <w:t>Majority of the votes cast on the proposal</w:t>
            </w:r>
          </w:p>
        </w:tc>
      </w:tr>
      <w:tr>
        <w:trPr>
          <w:trHeight w:val="198"/>
        </w:trPr>
        <w:tc>
          <w:tcPr>
            <w:tcW w:w="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88"/>
              </w:rPr>
              <w:t>5.</w:t>
            </w:r>
          </w:p>
        </w:tc>
        <w:tc>
          <w:tcPr>
            <w:tcW w:w="69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Approve the Amendment Proposal, as described in this Proxy Statement</w:t>
            </w:r>
          </w:p>
        </w:tc>
        <w:tc>
          <w:tcPr>
            <w:tcW w:w="41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(i) 66 2/3% of the votes cast on the proposal by all</w:t>
            </w:r>
          </w:p>
        </w:tc>
      </w:tr>
      <w:tr>
        <w:trPr>
          <w:trHeight w:val="216"/>
        </w:trPr>
        <w:tc>
          <w:tcPr>
            <w:tcW w:w="14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voting as a single class, and (ii) a simple</w:t>
            </w:r>
          </w:p>
        </w:tc>
      </w:tr>
      <w:tr>
        <w:trPr>
          <w:trHeight w:val="216"/>
        </w:trPr>
        <w:tc>
          <w:tcPr>
            <w:tcW w:w="14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majority of affirmative votes cast at the Meeting,</w:t>
            </w:r>
          </w:p>
        </w:tc>
      </w:tr>
      <w:tr>
        <w:trPr>
          <w:trHeight w:val="216"/>
        </w:trPr>
        <w:tc>
          <w:tcPr>
            <w:tcW w:w="14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excluding votes cast by the “Initial Holders” (as</w:t>
            </w:r>
          </w:p>
        </w:tc>
      </w:tr>
      <w:tr>
        <w:trPr>
          <w:trHeight w:val="234"/>
        </w:trPr>
        <w:tc>
          <w:tcPr>
            <w:tcW w:w="14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defined in Proposal No. 5 below)</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happens if additional items are presented at the Meeting?</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management of the Company knows of no such amendments, variations or other matters to come before the Meeting. However, if other matters properly come before the Meeting, it is the intention of the persons named in the enclosed Proxy Instrument to vote such proxy according to their best judgment.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We expect to announce preliminary voting results at the Meeting and to publish final results in a current report on Form 8-K that we will file with the SEC promptly following the Meeting. The Form 8-K will also be available on SEDAR+ and on the Investors page of our website </w:t>
      </w:r>
      <w:r>
        <w:rPr>
          <w:rFonts w:ascii="Times New Roman" w:cs="Times New Roman" w:eastAsia="Times New Roman" w:hAnsi="Times New Roman"/>
          <w:sz w:val="18"/>
          <w:szCs w:val="18"/>
          <w:i w:val="1"/>
          <w:iCs w:val="1"/>
          <w:u w:val="single" w:color="auto"/>
          <w:color w:val="auto"/>
        </w:rPr>
        <w:t>gtigrows.com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How You Can Vote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shares can I vote?</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You are entitled to vote all shares owned by you on the Record Date, including (1) shares held directly in your name as the shareholder of record and (2) shares held for you as the beneficial owner through an Intermediary. On the Record Date, there were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shareholders of record holding (i)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Subordinate Voting Shares; (ii)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Multiple Voting Shares; and (iii)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Super Voting Shares.</w:t>
      </w:r>
    </w:p>
    <w:p>
      <w:pPr>
        <w:spacing w:after="0" w:line="17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REGISTERED SHAREHOLDERS HAVE THE RIGHT TO APPOINT A PERSON TO REPRESENT THEM AT THE MEETING OTHER THAN THE PERSON(S) DESIGNATED IN THE PROXY INSTRUMENT </w:t>
      </w:r>
      <w:r>
        <w:rPr>
          <w:rFonts w:ascii="Times New Roman" w:cs="Times New Roman" w:eastAsia="Times New Roman" w:hAnsi="Times New Roman"/>
          <w:sz w:val="18"/>
          <w:szCs w:val="18"/>
          <w:color w:val="auto"/>
        </w:rPr>
        <w:t>either by striking out the names of the persons designated in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Instrument and by inserting the name of the person or company to be appointed in the space provided in the Proxy Instrument or by completing another proper form of proxy and, in either case, delivering the completed proxy to Broadridge by mail using the enclosed return envelope to Vote Processing, c/o Broadridge, 51 Mercedes Way, Edgewood, NY 11717. Alternatively, you may vote by Internet at </w:t>
      </w:r>
      <w:r>
        <w:rPr>
          <w:rFonts w:ascii="Times New Roman" w:cs="Times New Roman" w:eastAsia="Times New Roman" w:hAnsi="Times New Roman"/>
          <w:sz w:val="18"/>
          <w:szCs w:val="18"/>
          <w:i w:val="1"/>
          <w:iCs w:val="1"/>
          <w:u w:val="single" w:color="auto"/>
          <w:color w:val="auto"/>
        </w:rPr>
        <w:t>www.proxyvote.com</w:t>
      </w:r>
      <w:r>
        <w:rPr>
          <w:rFonts w:ascii="Times New Roman" w:cs="Times New Roman" w:eastAsia="Times New Roman" w:hAnsi="Times New Roman"/>
          <w:sz w:val="18"/>
          <w:szCs w:val="18"/>
          <w:color w:val="auto"/>
        </w:rPr>
        <w:t xml:space="preserve"> and clicking “Vote” or by calling 1-800-690-6903.</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holding shares as a shareholder of record and as a beneficial owner?</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Most of our shareholders hold their shares through an Intermediary, such as a bank, broker or other nominee rather than having the shares registered directly in their own name. Summarized below are some distinctions between shares held of record and those owned beneficially.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of Record</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Odyssey Trust Company, you are the shareholder of record of the shares. As the shareholder of record, you have the right to grant a proxy to vote your shares to representatives from the Company or to another person, or to vote your shares electronically at the Meeting. You have received a proxy card to use in voting your shares either by mail or email.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your shares are held through an Intermediary such as a bank, broker, plan trustee or other nominee, it is likely that they are registered in the name of the Intermediary and you are the beneficial owner of shares held in street name.</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the beneficial owner of shares held for your account, you have the right to direct the registered holder to vote your shares as you instruct, and you also are invited to attend the Meeting. Your Intermediary has provided a voting instruction card for you to use in directing how your shares are to be voted. However, since a beneficial owner is not the shareholder of record, you may not vote your shares electronically at the Meeting, or any adjournment(s) or postponement(s) thereof, unless you obtain a legal proxy from the registered holder of the shares giving you the right to do so.</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vote at the Meeting?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You may vote electronically at the Meeting or any adjournment(s) or postponement(s) thereof, those shares that you hold in your name as the shareholder of record. You may vote electronically at the Meeting or any adjournment(s) or postponement(s) thereof, shares for which you are the beneficial owner only by obtaining a legal proxy giving you the right to vote the shares from the Intermediary that is the registered holder of your shares.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Even if you plan to attend the Meeting, we recommend that you also submit your proxy or voting instructions in advance as described below, so that your vote will be counted if you later decide not to attend.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vote without attending the Meeting?</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Whether you hold your shares as a shareholder of record or as a beneficial owner, you may direct how your shares are to be voted without attending the Meeting or any adjournment(s) or postponement(s) thereof. If you are a shareholder of record, you may vote by submitting a proxy. If you hold shares as a beneficial owner, you may vote by submitting voting instructions to the registered owner of your shares. Each registered shareholder submitting a proxy has the right to appoint one or more proxy holders (but not more than five) to represent the shareholder at the Meeting to the extent and with the powers conferred by the proxy.</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0" w:right="399" w:bottom="1440" w:gutter="0" w:footer="0" w:header="0"/>
        </w:sectPr>
      </w:pPr>
    </w:p>
    <w:bookmarkStart w:id="11" w:name="page12"/>
    <w:bookmarkEnd w:id="11"/>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For directions on how to vote, please refer to the following instructions and those included on your proxy or voting instruction card. A proxy form will not be valid unless completed and deposited in accordance with the instructions set out in the proxy form.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by Internet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may vote over the Internet by following the instructions on the proxy or voting instruction card.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by Mail</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Shareholders may vote by mail by signing, dating and returning their proxy or voting instruction card to our proxy tabulator, Broadridge, at the following address:</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Vote Processing, c/o Broadridge</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 Mercedes Way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Edgewood, NY 11717</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attend the virtual Meeting?</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year’s Meeting will again be a completely virtual meeting of shareholders, which will be conducted via live webcast. You are entitled to participate in the Meeting only if you were a registered shareholder as of the close of business on April 20, 2026 or if you hold a valid proxy to vote at the Meeting.</w:t>
      </w:r>
    </w:p>
    <w:p>
      <w:pPr>
        <w:spacing w:after="0" w:line="160"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color w:val="auto"/>
        </w:rPr>
        <w:t xml:space="preserve">You will be able to attend the Meeting online and submit your questions during the Meeting by visiting </w:t>
      </w:r>
      <w:r>
        <w:rPr>
          <w:rFonts w:ascii="Times New Roman" w:cs="Times New Roman" w:eastAsia="Times New Roman" w:hAnsi="Times New Roman"/>
          <w:sz w:val="18"/>
          <w:szCs w:val="18"/>
          <w:i w:val="1"/>
          <w:iCs w:val="1"/>
          <w:u w:val="single" w:color="auto"/>
          <w:color w:val="auto"/>
        </w:rPr>
        <w:t>www.virtualshareholdermeeting.com/GTBIF2026</w:t>
      </w:r>
      <w:r>
        <w:rPr>
          <w:rFonts w:ascii="Times New Roman" w:cs="Times New Roman" w:eastAsia="Times New Roman" w:hAnsi="Times New Roman"/>
          <w:sz w:val="18"/>
          <w:szCs w:val="18"/>
          <w:color w:val="auto"/>
        </w:rPr>
        <w:t>. You will also be able to vote your shares electronically at the Meeting. To participate, you will need your 16-digit control number that is included in your proxy materials, on your proxy card, or on the instructions that accompanied your proxy materials.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Meeting will begin promptly at 2:00 p.m., Central time. We encourage you to access the Meeting prior to the start time. Online access will open at 1:45 p.m., Central time, and you should allow ample time to log in to the Meeting webcast and test your computer audio system. Technical assistance will be available if you have difficulty logging into the Meeting via a telephone number that will be posted on the login page to the Meeting.</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recommend that you carefully review the procedures needed to gain admission in advance. If you do not comply with the procedures described here for attending the Meeting online, you will not be able to participate online.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will I need to attend the virtual Meeting?</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If you were a shareholder of record as of the close of business on April 20, 2026, or you hold a valid proxy for the Meeting, you may attend the Meeting, vote, and submit a question during the Meeting by visiting </w:t>
      </w:r>
      <w:r>
        <w:rPr>
          <w:rFonts w:ascii="Times New Roman" w:cs="Times New Roman" w:eastAsia="Times New Roman" w:hAnsi="Times New Roman"/>
          <w:sz w:val="18"/>
          <w:szCs w:val="18"/>
          <w:i w:val="1"/>
          <w:iCs w:val="1"/>
          <w:color w:val="auto"/>
        </w:rPr>
        <w:t>www.virtualshareholdermeeting.com/GTBIF2026</w:t>
      </w:r>
      <w:r>
        <w:rPr>
          <w:rFonts w:ascii="Times New Roman" w:cs="Times New Roman" w:eastAsia="Times New Roman" w:hAnsi="Times New Roman"/>
          <w:sz w:val="18"/>
          <w:szCs w:val="18"/>
          <w:color w:val="auto"/>
        </w:rPr>
        <w:t xml:space="preserve"> and using your 16-digit control number to enter the Meeting. If you are not a shareholder of record but hold shares as a beneficial owner in street name, you may join the Meeting as a guest or by obtaining a proxy from the owner of record. If you do not comply with the procedures outlined above, you will not be admitted to the virtual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I be able to attend the Meeting without a 16-digit control number?</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Yes, you may register to attend the Meeting as a guest, but you will not be able to submit questions or comments and will not be able to vote at the Meeting without your 16-digit control number.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a virtual annual meeting?</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excited to again embrace virtual meeting technology, which we believe provides expanded access, improved communications and cost and time savings for our shareholders and the Company. A virtual meeting enables increased shareholder attendance and participation from locations around the world. We believe the cost and time savings afforded by a virtual meeting encourages more shareholders to attend the Meeting and is the most appropriate format for our shareholders and other Meeting attendees.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2" w:name="page13"/>
    <w:bookmarkEnd w:id="12"/>
    <w:p>
      <w:pPr>
        <w:spacing w:after="0" w:line="261" w:lineRule="auto"/>
        <w:rPr>
          <w:sz w:val="20"/>
          <w:szCs w:val="20"/>
          <w:color w:val="auto"/>
        </w:rPr>
      </w:pPr>
      <w:r>
        <w:rPr>
          <w:rFonts w:ascii="Times New Roman" w:cs="Times New Roman" w:eastAsia="Times New Roman" w:hAnsi="Times New Roman"/>
          <w:sz w:val="18"/>
          <w:szCs w:val="18"/>
          <w:color w:val="auto"/>
        </w:rPr>
        <w:t xml:space="preserve">You will be able to attend the Meeting online and submit your questions or comments during the Meeting by visiting </w:t>
      </w:r>
      <w:r>
        <w:rPr>
          <w:rFonts w:ascii="Times New Roman" w:cs="Times New Roman" w:eastAsia="Times New Roman" w:hAnsi="Times New Roman"/>
          <w:sz w:val="18"/>
          <w:szCs w:val="18"/>
          <w:i w:val="1"/>
          <w:iCs w:val="1"/>
          <w:u w:val="single" w:color="auto"/>
          <w:color w:val="auto"/>
        </w:rPr>
        <w:t>www.virtualshareholdermeeting.com/GTBIF2026</w:t>
      </w:r>
      <w:r>
        <w:rPr>
          <w:rFonts w:ascii="Times New Roman" w:cs="Times New Roman" w:eastAsia="Times New Roman" w:hAnsi="Times New Roman"/>
          <w:sz w:val="18"/>
          <w:szCs w:val="18"/>
          <w:color w:val="auto"/>
        </w:rPr>
        <w:t>. You will also be able to vote your shares electronically at the Meeting. We encourage you to vote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prior to the Meeting to ensure they are represented. Even if you submit a vote prior to the Meeting, you will have an opportunity to vote again during the Meeting and automatically revoke your earlier vote.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if during the check-in period or during the Meeting I have technical difficulties or trouble accessing the virtual meeting website?</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Meeting. If you encounter any difficulties accessing the virtual Meeting during check-in or during the Meeting, please call the technical support number that will be posted on the virtual Meeting login page (</w:t>
      </w:r>
      <w:r>
        <w:rPr>
          <w:rFonts w:ascii="Times New Roman" w:cs="Times New Roman" w:eastAsia="Times New Roman" w:hAnsi="Times New Roman"/>
          <w:sz w:val="18"/>
          <w:szCs w:val="18"/>
          <w:i w:val="1"/>
          <w:iCs w:val="1"/>
          <w:u w:val="single" w:color="auto"/>
          <w:color w:val="auto"/>
        </w:rPr>
        <w:t>www.virtualshareholdermeeting.com/GTBIF2026</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submit questions for the Meeting?</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Shareholders who wish to submit questions or comments may do so during the live webcast of the Meeting at </w:t>
      </w:r>
      <w:r>
        <w:rPr>
          <w:rFonts w:ascii="Times New Roman" w:cs="Times New Roman" w:eastAsia="Times New Roman" w:hAnsi="Times New Roman"/>
          <w:sz w:val="18"/>
          <w:szCs w:val="18"/>
          <w:i w:val="1"/>
          <w:iCs w:val="1"/>
          <w:u w:val="single" w:color="auto"/>
          <w:color w:val="auto"/>
        </w:rPr>
        <w:t>www.virtualshareholdermeeting.com/GTBIF2026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will be available on the virtual Meeting site and technical assistance will be available.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will my shares be voted?</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Shares represented by properly executed proxies in favor of persons designated in the printed portion of the enclosed Proxy Instrument </w:t>
      </w:r>
      <w:r>
        <w:rPr>
          <w:rFonts w:ascii="Times New Roman" w:cs="Times New Roman" w:eastAsia="Times New Roman" w:hAnsi="Times New Roman"/>
          <w:sz w:val="18"/>
          <w:szCs w:val="18"/>
          <w:b w:val="1"/>
          <w:bCs w:val="1"/>
          <w:color w:val="auto"/>
        </w:rPr>
        <w:t>WILL, UNLESS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OTHERWISE INDICATED, BE VOTED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SETTING OF THE NUMBER OF DIRECTORS AT SEVEN,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ELECTION OF EACH DIRECTOR NOMINEE,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SAY-ON-PAY PROPOSAL,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RE-APPOINTMENT OF BAKER TILLY US, LLP AS THE AUDITORS OF THE COMPANY AND FOR THE AUTHORIZATION OF THE BOARD TO FIX THE AUDITORS’ REMUNERATION AND TERMS OF ENGAGEMENT, AND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AMENDMENT PROPOSAL</w:t>
      </w:r>
      <w:r>
        <w:rPr>
          <w:rFonts w:ascii="Times New Roman" w:cs="Times New Roman" w:eastAsia="Times New Roman" w:hAnsi="Times New Roman"/>
          <w:sz w:val="18"/>
          <w:szCs w:val="18"/>
          <w:color w:val="auto"/>
        </w:rPr>
        <w:t>. The shares represented by the Proxy Instrument will be voted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withheld from voting in accordance with the instructions of the shareholder on any ballot that may be called for and, if the shareholder specifies a choice with respect to any matter to be acted upon, the shares will be voted accordingly. The enclosed Proxy Instrument confers discretionary authority on the persons named therein with respect to amendments or variations to matters identified in the Notice or other matters which may properly come before the Meeting. As of the date of this proxy statement, management of the Company knows of no such amendments, variations or other matters to come before the Meeting. However, if other matters properly come before the Meeting, it is the intention of the persons named in the enclosed Proxy Instrument to vote such proxy according to their best judgment.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shares I hold in my brokerage account be voted if I do not provide timely voting instructions?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your shares are held through a brokerage firm, they will be voted as you instruct on the voting instruction card provided by your broker. If you sign and return your card without giving specific instructions, your shares will be voted in accordance with the recommendations of our Board.</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you do not return your voting instruction card on a timely basis, your broker will have the authority to vote your brokerage shares only on the proposal to re-appoint our auditor. Your broker will be prohibited from voting your shares without your instructions on setting the number of directors, the election of directors, the Say-on-Pay Proposal, the Amendment Proposal and on any other proposal. These “broker non-votes” will be counted only for the purpose of determining whether a quorum is present at the Meeting and not as votes cast. Such broker non-votes will have no effect on the outcome of the matter as they will not be deemed to be shares cast.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shares that I own as a shareholder of record be voted if I do not timely return my proxy card?</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Shares that you own as a shareholder of record will be voted as you instruct on your proxy card. If you sign and return your proxy card without giving specific instructions, they will be voted in accordance with the procedure set out above under the heading “</w:t>
      </w:r>
      <w:r>
        <w:rPr>
          <w:rFonts w:ascii="Times New Roman" w:cs="Times New Roman" w:eastAsia="Times New Roman" w:hAnsi="Times New Roman"/>
          <w:sz w:val="18"/>
          <w:szCs w:val="18"/>
          <w:i w:val="1"/>
          <w:iCs w:val="1"/>
          <w:color w:val="auto"/>
        </w:rPr>
        <w:t>How will my shares be voted?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If you do not timely return your proxy card, your shares will not be voted unless you or your proxy holder attends the Meeting via the live webcast and any adjournment(s) or postponement(s) thereof and votes electronically submitted during the Meeting as described above under the heading “</w:t>
      </w:r>
      <w:r>
        <w:rPr>
          <w:rFonts w:ascii="Times New Roman" w:cs="Times New Roman" w:eastAsia="Times New Roman" w:hAnsi="Times New Roman"/>
          <w:sz w:val="18"/>
          <w:szCs w:val="18"/>
          <w:i w:val="1"/>
          <w:iCs w:val="1"/>
          <w:color w:val="auto"/>
        </w:rPr>
        <w:t>How can I vote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Meeting?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When is the deadline to vote?</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If you hold shares as the shareholder of record, your vote by proxy must be received before 10:59 p.m. (Central time) on June 12, 2026 or 48 hours prior to any adjournment(s) of the Meeting or must be deposited at the Meeting with the chairman of the Meeting before the commencement of the Meeting or any adjournment(s)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hold shares as a beneficial owner, please follow the voting instructions provided by your Intermediary.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 I change or revoke my vote?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shareholder who has given a proxy pursuant to this solicitation may revoke it at any time up to and including the second business day preceding the day of the Meeting or any adjournment(s) thereof at which the proxy is to be used:</w:t>
      </w:r>
    </w:p>
    <w:p>
      <w:pPr>
        <w:spacing w:after="0" w:line="54" w:lineRule="exact"/>
        <w:rPr>
          <w:sz w:val="20"/>
          <w:szCs w:val="20"/>
          <w:color w:val="auto"/>
        </w:rPr>
      </w:pPr>
    </w:p>
    <w:p>
      <w:pPr>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instrument in writing executed by the shareholder or by his, her or its attorney authorized in writing and either delivered to the attention of the Corporate Secretary of the Company by mail using the enclosed return envelope to Vote Processing, c/o Broadridge, 51 Mercedes Way, Edgewood, NY 11717;</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delivering written notice of such revocation to the chairman of the Meeting prior to the commencement of the Meeting on the day of the Meeting or any adjournment(s) thereof,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permitted by law.</w:t>
      </w:r>
    </w:p>
    <w:p>
      <w:pPr>
        <w:spacing w:after="0" w:line="11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For shares you hold as a beneficial owner, you may change your vote by timely submitting new voting instructions to your Intermediary (which revokes your earlier instructions), or, if you have obtained a legal proxy from the Intermediary giving you the right to vote your shares, by attending the Meeting and voting via the live webcast.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Proposals and Director Nominations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deadline to submit shareholder proposals to be included in the proxy materials for next year’s annual meeting?</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Company is subject to the rules of both the SEC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provisions of the Business Corporations Act (British Columbia) (“</w:t>
      </w:r>
      <w:r>
        <w:rPr>
          <w:rFonts w:ascii="Times New Roman" w:cs="Times New Roman" w:eastAsia="Times New Roman" w:hAnsi="Times New Roman"/>
          <w:sz w:val="18"/>
          <w:szCs w:val="18"/>
          <w:b w:val="1"/>
          <w:bCs w:val="1"/>
          <w:color w:val="auto"/>
        </w:rPr>
        <w:t>BCBCA</w:t>
      </w:r>
      <w:r>
        <w:rPr>
          <w:rFonts w:ascii="Times New Roman" w:cs="Times New Roman" w:eastAsia="Times New Roman" w:hAnsi="Times New Roman"/>
          <w:sz w:val="18"/>
          <w:szCs w:val="18"/>
          <w:color w:val="auto"/>
        </w:rPr>
        <w:t>”) with respect to shareholder proposals, as well as the Existing Articles. As clearly indicated under the BCBCA and SEC rules under the Exchange Act, simply submitting a shareholder proposal does not guarantee its inclusion in the proxy materials.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Shareholder proposals submitted pursuant to SEC rules under the Exchange Act for inclusion in the Company’s proxy materials for next year’s annual meeting must be received by our Corporate Secretary no later than the close of business (Central time) on December 30, 2026 and must be submitted to our Corporate Secretary at Green Thumb Industries Inc., 325 West Huron Street, Suite 700, Chicago, Illinois 60654. Such proposals must also comply with all applicable provisions of Rule 14a-8 under the Exchange Act.</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BCBCA also sets out the requirements for a valid proposal and provides for the rights and obligations of the Company and the submitter upon a valid proposal being made. Proposals submitted under the applicable provisions of the BCBCA that a shareholder intends to present at next year’s annual meeting and wishes to be considered for inclusion in the Company’s proxy statement and form of proxy relating to next year’s annual meeting must be received at least three (3) months before the anniversary of the Company’s last annual general meeting (March 16, 2027). Such proposals must also comply with all applicable provisions of the BCBCA and the regulations thereunder.</w:t>
      </w:r>
    </w:p>
    <w:p>
      <w:pPr>
        <w:spacing w:after="0" w:line="18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Proposals that are not timely submitted or are submitted to the incorrect address or other than to the attention of our Corporate Secretary may, at our discretion, be excluded from our proxy materials.</w:t>
      </w:r>
    </w:p>
    <w:p>
      <w:pPr>
        <w:spacing w:after="0" w:line="16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See below under the heading “</w:t>
      </w:r>
      <w:r>
        <w:rPr>
          <w:rFonts w:ascii="Times New Roman" w:cs="Times New Roman" w:eastAsia="Times New Roman" w:hAnsi="Times New Roman"/>
          <w:sz w:val="18"/>
          <w:szCs w:val="18"/>
          <w:i w:val="1"/>
          <w:iCs w:val="1"/>
          <w:color w:val="auto"/>
        </w:rPr>
        <w:t>How may I nominate director candidates or present other business for consideration at a meeting?</w:t>
      </w:r>
      <w:r>
        <w:rPr>
          <w:rFonts w:ascii="Times New Roman" w:cs="Times New Roman" w:eastAsia="Times New Roman" w:hAnsi="Times New Roman"/>
          <w:sz w:val="18"/>
          <w:szCs w:val="18"/>
          <w:color w:val="auto"/>
        </w:rPr>
        <w:t>” for a description of the procedures through which shareholders may nominate director candidates for consideration.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I nominate director candidates or present other business for consideration at a meeting?</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Shareholders who wish to (1) submit director nominees for consideration or (2) present other items of business directly at next year’s annual meeting must give written notice of their intention to do so, in accordance with the deadlines described below, to our Corporate Secretary at the address set forth below under the heading “</w:t>
      </w:r>
      <w:r>
        <w:rPr>
          <w:rFonts w:ascii="Times New Roman" w:cs="Times New Roman" w:eastAsia="Times New Roman" w:hAnsi="Times New Roman"/>
          <w:sz w:val="18"/>
          <w:szCs w:val="18"/>
          <w:i w:val="1"/>
          <w:iCs w:val="1"/>
          <w:color w:val="auto"/>
        </w:rPr>
        <w:t>What if I have additional questions or how do I obtain additional copies of this proxy statement or voting materials?</w:t>
      </w:r>
      <w:r>
        <w:rPr>
          <w:rFonts w:ascii="Times New Roman" w:cs="Times New Roman" w:eastAsia="Times New Roman" w:hAnsi="Times New Roman"/>
          <w:sz w:val="18"/>
          <w:szCs w:val="18"/>
          <w:color w:val="auto"/>
        </w:rPr>
        <w:t>” Any such notice also must include the information required by the Articles (which may be obtained as provided below under the heading “</w:t>
      </w:r>
      <w:r>
        <w:rPr>
          <w:rFonts w:ascii="Times New Roman" w:cs="Times New Roman" w:eastAsia="Times New Roman" w:hAnsi="Times New Roman"/>
          <w:sz w:val="18"/>
          <w:szCs w:val="18"/>
          <w:i w:val="1"/>
          <w:iCs w:val="1"/>
          <w:color w:val="auto"/>
        </w:rPr>
        <w:t>How may I obtain financial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information about Green Thumb Industries Inc.?</w:t>
      </w:r>
      <w:r>
        <w:rPr>
          <w:rFonts w:ascii="Times New Roman" w:cs="Times New Roman" w:eastAsia="Times New Roman" w:hAnsi="Times New Roman"/>
          <w:sz w:val="18"/>
          <w:szCs w:val="18"/>
          <w:color w:val="auto"/>
        </w:rPr>
        <w:t>”) and must be updated and supplemented as provided in the Articles.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4" w:name="page15"/>
    <w:bookmarkEnd w:id="14"/>
    <w:p>
      <w:pPr>
        <w:ind w:right="40"/>
        <w:spacing w:after="0" w:line="254" w:lineRule="auto"/>
        <w:rPr>
          <w:sz w:val="20"/>
          <w:szCs w:val="20"/>
          <w:color w:val="auto"/>
        </w:rPr>
      </w:pPr>
      <w:r>
        <w:rPr>
          <w:rFonts w:ascii="Times New Roman" w:cs="Times New Roman" w:eastAsia="Times New Roman" w:hAnsi="Times New Roman"/>
          <w:sz w:val="18"/>
          <w:szCs w:val="18"/>
          <w:color w:val="auto"/>
        </w:rPr>
        <w:t>Written notice of director nominees must be received, in the case of an annual meeting, not less than thirty (30) days prior to the date of the annual meeting of shareholders; provided, however, that if the annual meeting of shareholders is to be held on a date that is less than fifty (50) days after the date on which the initial public announcement of the date of the annual meeting of shareholders was made, notice by the nominating shareholder may be made not later than the close of business on the tenth (10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day following such public announcement, provided that, if Notice-and-Access (as defined in Canadian National Instrument 54-101—</w:t>
      </w:r>
      <w:r>
        <w:rPr>
          <w:rFonts w:ascii="Times New Roman" w:cs="Times New Roman" w:eastAsia="Times New Roman" w:hAnsi="Times New Roman"/>
          <w:sz w:val="18"/>
          <w:szCs w:val="18"/>
          <w:i w:val="1"/>
          <w:iCs w:val="1"/>
          <w:color w:val="auto"/>
        </w:rPr>
        <w:t>Communication with Beneficial Owners of Securities of a Reporting 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NI 54-101</w:t>
      </w:r>
      <w:r>
        <w:rPr>
          <w:rFonts w:ascii="Times New Roman" w:cs="Times New Roman" w:eastAsia="Times New Roman" w:hAnsi="Times New Roman"/>
          <w:sz w:val="18"/>
          <w:szCs w:val="18"/>
          <w:color w:val="auto"/>
        </w:rPr>
        <w:t>”)) is used for delivery of proxy related materials in respect of a meeting described above, and the date of such first public announcement in respect of the meeting is not less than 50 days prior to the date of the applicable meeting, the notice must be received not later than the close of business on the 40th day before the applicable meeting. See “</w:t>
      </w:r>
      <w:r>
        <w:rPr>
          <w:rFonts w:ascii="Times New Roman" w:cs="Times New Roman" w:eastAsia="Times New Roman" w:hAnsi="Times New Roman"/>
          <w:sz w:val="18"/>
          <w:szCs w:val="18"/>
          <w:i w:val="1"/>
          <w:iCs w:val="1"/>
          <w:color w:val="auto"/>
        </w:rPr>
        <w:t>Advance Notice Policy</w:t>
      </w:r>
      <w:r>
        <w:rPr>
          <w:rFonts w:ascii="Times New Roman" w:cs="Times New Roman" w:eastAsia="Times New Roman" w:hAnsi="Times New Roman"/>
          <w:sz w:val="18"/>
          <w:szCs w:val="18"/>
          <w:color w:val="auto"/>
        </w:rPr>
        <w:t>” under “Proposals No. 1 and 2—Election of Directors” in this proxy statement.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I recommend candidates to serve as directors?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Shareholders may recommend director candidates for consideration by the Board by writing to our Corporate Secretary at the address set forth below under the heading “</w:t>
      </w:r>
      <w:r>
        <w:rPr>
          <w:rFonts w:ascii="Times New Roman" w:cs="Times New Roman" w:eastAsia="Times New Roman" w:hAnsi="Times New Roman"/>
          <w:sz w:val="18"/>
          <w:szCs w:val="18"/>
          <w:i w:val="1"/>
          <w:iCs w:val="1"/>
          <w:color w:val="auto"/>
        </w:rPr>
        <w:t>What if I have additional questions or how do I obtain additional copies of this proxy statement or voting materials?</w:t>
      </w:r>
      <w:r>
        <w:rPr>
          <w:rFonts w:ascii="Times New Roman" w:cs="Times New Roman" w:eastAsia="Times New Roman" w:hAnsi="Times New Roman"/>
          <w:sz w:val="18"/>
          <w:szCs w:val="18"/>
          <w:color w:val="auto"/>
        </w:rPr>
        <w:t>” in accordance with the notice provisions described above under the heading “</w:t>
      </w:r>
      <w:r>
        <w:rPr>
          <w:rFonts w:ascii="Times New Roman" w:cs="Times New Roman" w:eastAsia="Times New Roman" w:hAnsi="Times New Roman"/>
          <w:sz w:val="18"/>
          <w:szCs w:val="18"/>
          <w:i w:val="1"/>
          <w:iCs w:val="1"/>
          <w:color w:val="auto"/>
        </w:rPr>
        <w:t>How may I nominate director candidates or present other business for consideration at a meeting?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To be in proper written form, such notice must set forth the nominee’s (i) name, age, business and residential address and principal occupation or employment for the past five (5) years; and (ii) his or her direct or indirect beneficial ownership in, or control or direction over, any class or series of securities of the Company, including the number or principal amount and such other information on the nominee and the nominating shareholder as set forth in the Articles, which may be obtained in accordance with the instructions below under the heading “</w:t>
      </w:r>
      <w:r>
        <w:rPr>
          <w:rFonts w:ascii="Times New Roman" w:cs="Times New Roman" w:eastAsia="Times New Roman" w:hAnsi="Times New Roman"/>
          <w:sz w:val="18"/>
          <w:szCs w:val="18"/>
          <w:i w:val="1"/>
          <w:iCs w:val="1"/>
          <w:color w:val="auto"/>
        </w:rPr>
        <w:t>How may I obtain financial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about Green Thumb Industries Inc.?</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Company’s Voting Securities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an unlimited number of Subordinate Voting Shares, an unlimited number of Multiple Voting Shares and an unlimited number of Super Voting Shares.</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On April 20, 2026, the Record Date, there were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shareholders of record holding (i)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Subordinate Voting Shares; (ii)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Multiple Voting Shares; and (iii)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Super Voting Shares.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Subordinate Voting Shares and Multiple Voting Shares are “restricted securities” within the meaning of such term under applicable Canadian securities laws. Under Canadian securities laws, a “restricted security” means an equity security of a reporting issuer if, among other things, there is another class of securities of the reporting issuer that carries a greater number of votes per security relative to the equity security. As of the Record Date, the Subordinate Voting Shares represent approximately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voting rights attached to outstanding securities of the Company, the Multiple Voting Shares represent approximately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voting rights attached to outstanding securities of the Company, and the Super Voting Shares represent approximately[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voting rights attached to outstanding securities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number of equity shares assuming all are converted into Subordinate Voting Shares as of the Record Date would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Holders of Subordinate Voting Shares are entitled to notice of and to attend any meeting of the shareholders of the Company, except a meeting of which only holders of another particular class or series of shares of the Company have the right to vote. At each such meeting, holders of Subordinate Voting Shares are entitled to one vote in respect of each Subordinate Voting Share held.</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Holders of Multiple Voting Shares are entitled to notice of and to attend any meeting of the shareholders of the Company, except a meeting of which only holders of another particular class or series of shares of the Company have the right to vote. At each such meeting, holders of Multiple Voting Shares are entitled to one vote in respect of each Subordinate Voting Share into which such Multiple Voting Share could then be converted (currently 100 votes per Multiple Voting Share held).</w:t>
      </w:r>
    </w:p>
    <w:p>
      <w:pPr>
        <w:spacing w:after="0" w:line="19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Holders of Super Voting Shares are entitled to notice of and to attend any meeting of the shareholders of the Company, except a meeting of which only holders of another particular class or series of shares of the Company have the right to vote. At each such meeting, holders of Super Voting Shares are entitled to 1,000 votes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2025 Form 10-K, filed with the SEC on February 25, 2026, provides further information regarding our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5" w:name="page16"/>
    <w:bookmarkEnd w:id="15"/>
    <w:p>
      <w:pPr>
        <w:ind w:right="500"/>
        <w:spacing w:after="0" w:line="282" w:lineRule="auto"/>
        <w:rPr>
          <w:sz w:val="20"/>
          <w:szCs w:val="20"/>
          <w:color w:val="auto"/>
        </w:rPr>
      </w:pPr>
      <w:r>
        <w:rPr>
          <w:rFonts w:ascii="Times New Roman" w:cs="Times New Roman" w:eastAsia="Times New Roman" w:hAnsi="Times New Roman"/>
          <w:sz w:val="18"/>
          <w:szCs w:val="18"/>
          <w:color w:val="auto"/>
        </w:rPr>
        <w:t>Except as set out below, to the knowledge of the directors and officers of the Company, as of April 5, 2026, no person beneficially owns or exercises control over, directly or indirectly, more than 10% of the outstanding voting securities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Percentage of</w:t>
            </w:r>
          </w:p>
        </w:tc>
      </w:tr>
      <w:tr>
        <w:trPr>
          <w:trHeight w:val="148"/>
        </w:trPr>
        <w:tc>
          <w:tcPr>
            <w:tcW w:w="162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40" w:type="dxa"/>
            <w:vAlign w:val="bottom"/>
          </w:tcPr>
          <w:p>
            <w:pPr>
              <w:spacing w:after="0"/>
              <w:rPr>
                <w:sz w:val="12"/>
                <w:szCs w:val="12"/>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96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left="73"/>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980" w:type="dxa"/>
            <w:vAlign w:val="bottom"/>
          </w:tcPr>
          <w:p>
            <w:pPr>
              <w:jc w:val="center"/>
              <w:ind w:left="113"/>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Votes</w:t>
            </w:r>
          </w:p>
        </w:tc>
      </w:tr>
      <w:tr>
        <w:trPr>
          <w:trHeight w:val="148"/>
        </w:trPr>
        <w:tc>
          <w:tcPr>
            <w:tcW w:w="162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Super</w:t>
            </w:r>
          </w:p>
        </w:tc>
        <w:tc>
          <w:tcPr>
            <w:tcW w:w="24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Super</w:t>
            </w:r>
          </w:p>
        </w:tc>
        <w:tc>
          <w:tcPr>
            <w:tcW w:w="96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Multiple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Multiple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Subordinate</w:t>
            </w:r>
          </w:p>
        </w:tc>
        <w:tc>
          <w:tcPr>
            <w:tcW w:w="980" w:type="dxa"/>
            <w:vAlign w:val="bottom"/>
          </w:tcPr>
          <w:p>
            <w:pPr>
              <w:jc w:val="center"/>
              <w:ind w:left="113"/>
              <w:spacing w:after="0"/>
              <w:rPr>
                <w:sz w:val="20"/>
                <w:szCs w:val="20"/>
                <w:color w:val="auto"/>
              </w:rPr>
            </w:pPr>
            <w:r>
              <w:rPr>
                <w:rFonts w:ascii="Times New Roman" w:cs="Times New Roman" w:eastAsia="Times New Roman" w:hAnsi="Times New Roman"/>
                <w:sz w:val="13"/>
                <w:szCs w:val="13"/>
                <w:b w:val="1"/>
                <w:bCs w:val="1"/>
                <w:color w:val="auto"/>
              </w:rPr>
              <w:t>Subordinate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Attaching to all</w:t>
            </w:r>
          </w:p>
        </w:tc>
      </w:tr>
      <w:tr>
        <w:trPr>
          <w:trHeight w:val="148"/>
        </w:trPr>
        <w:tc>
          <w:tcPr>
            <w:tcW w:w="162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Voting</w:t>
            </w:r>
          </w:p>
        </w:tc>
        <w:tc>
          <w:tcPr>
            <w:tcW w:w="24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Voting</w:t>
            </w:r>
          </w:p>
        </w:tc>
        <w:tc>
          <w:tcPr>
            <w:tcW w:w="960" w:type="dxa"/>
            <w:vAlign w:val="bottom"/>
          </w:tcPr>
          <w:p>
            <w:pPr>
              <w:jc w:val="center"/>
              <w:ind w:left="133"/>
              <w:spacing w:after="0"/>
              <w:rPr>
                <w:sz w:val="20"/>
                <w:szCs w:val="20"/>
                <w:color w:val="auto"/>
              </w:rPr>
            </w:pPr>
            <w:r>
              <w:rPr>
                <w:rFonts w:ascii="Times New Roman" w:cs="Times New Roman" w:eastAsia="Times New Roman" w:hAnsi="Times New Roman"/>
                <w:sz w:val="13"/>
                <w:szCs w:val="13"/>
                <w:b w:val="1"/>
                <w:bCs w:val="1"/>
                <w:color w:val="auto"/>
              </w:rPr>
              <w:t>Voting</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Voting</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Voting</w:t>
            </w:r>
          </w:p>
        </w:tc>
        <w:tc>
          <w:tcPr>
            <w:tcW w:w="980" w:type="dxa"/>
            <w:vAlign w:val="bottom"/>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Voting</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Outstanding</w:t>
            </w:r>
          </w:p>
        </w:tc>
      </w:tr>
      <w:tr>
        <w:trPr>
          <w:trHeight w:val="149"/>
        </w:trPr>
        <w:tc>
          <w:tcPr>
            <w:tcW w:w="162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center"/>
              <w:ind w:left="13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80" w:type="dxa"/>
            <w:vAlign w:val="bottom"/>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Shares</w:t>
            </w:r>
          </w:p>
        </w:tc>
      </w:tr>
      <w:tr>
        <w:trPr>
          <w:trHeight w:val="148"/>
        </w:trPr>
        <w:tc>
          <w:tcPr>
            <w:tcW w:w="162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Owned,</w:t>
            </w:r>
          </w:p>
        </w:tc>
        <w:tc>
          <w:tcPr>
            <w:tcW w:w="24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Owned,</w:t>
            </w:r>
          </w:p>
        </w:tc>
        <w:tc>
          <w:tcPr>
            <w:tcW w:w="960" w:type="dxa"/>
            <w:vAlign w:val="bottom"/>
          </w:tcPr>
          <w:p>
            <w:pPr>
              <w:jc w:val="center"/>
              <w:ind w:left="133"/>
              <w:spacing w:after="0"/>
              <w:rPr>
                <w:sz w:val="20"/>
                <w:szCs w:val="20"/>
                <w:color w:val="auto"/>
              </w:rPr>
            </w:pPr>
            <w:r>
              <w:rPr>
                <w:rFonts w:ascii="Times New Roman" w:cs="Times New Roman" w:eastAsia="Times New Roman" w:hAnsi="Times New Roman"/>
                <w:sz w:val="13"/>
                <w:szCs w:val="13"/>
                <w:b w:val="1"/>
                <w:bCs w:val="1"/>
                <w:color w:val="auto"/>
              </w:rPr>
              <w:t>Owned,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left="73"/>
              <w:spacing w:after="0"/>
              <w:rPr>
                <w:sz w:val="20"/>
                <w:szCs w:val="20"/>
                <w:color w:val="auto"/>
              </w:rPr>
            </w:pPr>
            <w:r>
              <w:rPr>
                <w:rFonts w:ascii="Times New Roman" w:cs="Times New Roman" w:eastAsia="Times New Roman" w:hAnsi="Times New Roman"/>
                <w:sz w:val="13"/>
                <w:szCs w:val="13"/>
                <w:b w:val="1"/>
                <w:bCs w:val="1"/>
                <w:color w:val="auto"/>
              </w:rPr>
              <w:t>Owned,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Owned,</w:t>
            </w:r>
          </w:p>
        </w:tc>
        <w:tc>
          <w:tcPr>
            <w:tcW w:w="980" w:type="dxa"/>
            <w:vAlign w:val="bottom"/>
          </w:tcPr>
          <w:p>
            <w:pPr>
              <w:jc w:val="center"/>
              <w:ind w:left="113"/>
              <w:spacing w:after="0"/>
              <w:rPr>
                <w:sz w:val="20"/>
                <w:szCs w:val="20"/>
                <w:color w:val="auto"/>
              </w:rPr>
            </w:pPr>
            <w:r>
              <w:rPr>
                <w:rFonts w:ascii="Times New Roman" w:cs="Times New Roman" w:eastAsia="Times New Roman" w:hAnsi="Times New Roman"/>
                <w:sz w:val="13"/>
                <w:szCs w:val="13"/>
                <w:b w:val="1"/>
                <w:bCs w:val="1"/>
                <w:color w:val="auto"/>
              </w:rPr>
              <w:t>Owned,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Owned,</w:t>
            </w:r>
          </w:p>
        </w:tc>
      </w:tr>
      <w:tr>
        <w:trPr>
          <w:trHeight w:val="148"/>
        </w:trPr>
        <w:tc>
          <w:tcPr>
            <w:tcW w:w="162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Controlled</w:t>
            </w:r>
          </w:p>
        </w:tc>
        <w:tc>
          <w:tcPr>
            <w:tcW w:w="24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Controlled</w:t>
            </w:r>
          </w:p>
        </w:tc>
        <w:tc>
          <w:tcPr>
            <w:tcW w:w="96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Controlled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Controlled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Controlled</w:t>
            </w:r>
          </w:p>
        </w:tc>
        <w:tc>
          <w:tcPr>
            <w:tcW w:w="980" w:type="dxa"/>
            <w:vAlign w:val="bottom"/>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Controlled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Controlled</w:t>
            </w:r>
          </w:p>
        </w:tc>
      </w:tr>
      <w:tr>
        <w:trPr>
          <w:trHeight w:val="159"/>
        </w:trPr>
        <w:tc>
          <w:tcPr>
            <w:tcW w:w="1620" w:type="dxa"/>
            <w:vAlign w:val="bottom"/>
          </w:tcPr>
          <w:p>
            <w:pPr>
              <w:spacing w:after="0"/>
              <w:rPr>
                <w:sz w:val="20"/>
                <w:szCs w:val="20"/>
                <w:color w:val="auto"/>
              </w:rPr>
            </w:pPr>
            <w:r>
              <w:rPr>
                <w:rFonts w:ascii="Times New Roman" w:cs="Times New Roman" w:eastAsia="Times New Roman" w:hAnsi="Times New Roman"/>
                <w:sz w:val="13"/>
                <w:szCs w:val="13"/>
                <w:b w:val="1"/>
                <w:bCs w:val="1"/>
                <w:u w:val="single" w:color="auto"/>
                <w:color w:val="auto"/>
              </w:rPr>
              <w:t>Name of Shareholder</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or Directed</w:t>
            </w:r>
          </w:p>
        </w:tc>
        <w:tc>
          <w:tcPr>
            <w:tcW w:w="24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or Directed</w:t>
            </w:r>
          </w:p>
        </w:tc>
        <w:tc>
          <w:tcPr>
            <w:tcW w:w="220" w:type="dxa"/>
            <w:vAlign w:val="bottom"/>
          </w:tcPr>
          <w:p>
            <w:pPr>
              <w:spacing w:after="0"/>
              <w:rPr>
                <w:sz w:val="13"/>
                <w:szCs w:val="13"/>
                <w:color w:val="auto"/>
              </w:rPr>
            </w:pPr>
          </w:p>
        </w:tc>
        <w:tc>
          <w:tcPr>
            <w:tcW w:w="96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or Directed</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or Directed</w:t>
            </w:r>
          </w:p>
        </w:tc>
        <w:tc>
          <w:tcPr>
            <w:tcW w:w="1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or Directed</w:t>
            </w:r>
          </w:p>
        </w:tc>
        <w:tc>
          <w:tcPr>
            <w:tcW w:w="220" w:type="dxa"/>
            <w:vAlign w:val="bottom"/>
          </w:tcPr>
          <w:p>
            <w:pPr>
              <w:spacing w:after="0"/>
              <w:rPr>
                <w:sz w:val="13"/>
                <w:szCs w:val="13"/>
                <w:color w:val="auto"/>
              </w:rPr>
            </w:pPr>
          </w:p>
        </w:tc>
        <w:tc>
          <w:tcPr>
            <w:tcW w:w="98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or Directed</w:t>
            </w:r>
          </w:p>
        </w:tc>
        <w:tc>
          <w:tcPr>
            <w:tcW w:w="1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or Directed</w:t>
            </w:r>
          </w:p>
        </w:tc>
        <w:tc>
          <w:tcPr>
            <w:tcW w:w="120" w:type="dxa"/>
            <w:vAlign w:val="bottom"/>
          </w:tcPr>
          <w:p>
            <w:pPr>
              <w:spacing w:after="0"/>
              <w:rPr>
                <w:sz w:val="13"/>
                <w:szCs w:val="13"/>
                <w:color w:val="auto"/>
              </w:rPr>
            </w:pPr>
          </w:p>
        </w:tc>
      </w:tr>
      <w:tr>
        <w:trPr>
          <w:trHeight w:val="148"/>
        </w:trPr>
        <w:tc>
          <w:tcPr>
            <w:tcW w:w="162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Benjamin Kovler</w:t>
            </w:r>
            <w:r>
              <w:rPr>
                <w:rFonts w:ascii="Times New Roman" w:cs="Times New Roman" w:eastAsia="Times New Roman" w:hAnsi="Times New Roman"/>
                <w:sz w:val="17"/>
                <w:szCs w:val="17"/>
                <w:color w:val="auto"/>
                <w:vertAlign w:val="superscript"/>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140,754</w:t>
            </w:r>
          </w:p>
        </w:tc>
        <w:tc>
          <w:tcPr>
            <w:tcW w:w="24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69.8%</w:t>
            </w:r>
          </w:p>
        </w:tc>
        <w:tc>
          <w:tcPr>
            <w:tcW w:w="960" w:type="dxa"/>
            <w:vAlign w:val="bottom"/>
          </w:tcPr>
          <w:p>
            <w:pPr>
              <w:spacing w:after="0"/>
              <w:rPr>
                <w:sz w:val="12"/>
                <w:szCs w:val="12"/>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735,908</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5"/>
              </w:rPr>
              <w:t>0.4%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93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w:t>
      </w:r>
      <w:r>
        <w:rPr>
          <w:rFonts w:ascii="Times New Roman" w:cs="Times New Roman" w:eastAsia="Times New Roman" w:hAnsi="Times New Roman"/>
          <w:sz w:val="14"/>
          <w:szCs w:val="14"/>
          <w:b w:val="1"/>
          <w:bCs w:val="1"/>
          <w:color w:val="auto"/>
        </w:rPr>
        <w:t>:</w:t>
      </w:r>
    </w:p>
    <w:p>
      <w:pPr>
        <w:spacing w:after="0" w:line="6" w:lineRule="exact"/>
        <w:rPr>
          <w:sz w:val="20"/>
          <w:szCs w:val="20"/>
          <w:color w:val="auto"/>
        </w:rPr>
      </w:pPr>
    </w:p>
    <w:p>
      <w:pPr>
        <w:ind w:left="380" w:right="180" w:hanging="372"/>
        <w:spacing w:after="0" w:line="233"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Subordinate Voting Shares, Multiple Voting Shares and Super Voting Shares either (i) held, directly or indirectly, by Mr. Kovler, his associates and/or certain other related entities and trusts, or (ii) over which Mr. Kovler exercises direction or control, and (iii) which Mr. Kovler, his associates and/or certain other related entities and trusts have the right to acquire within 60 days of April 5, 2026.</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Take-Over Bid Protection</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Under applicable Canadian law, an offer to purchase Super Voting Shares would not necessarily require that an offer be made to purchase Subordinate Voting Shares or Multiple Voting Shares. In accordance with the rules applicable to most senior issuers in Canada, in the event of a take-over bid, the holders of Subordinate Voting Shares or of Multiple Voting Shares will be entitled to participate on an equal footing with holders of Super Voting Shares. The owners of all the outstanding Super Voting Shares entered into a customary coattail agreement with the Company and a trustee (the “</w:t>
      </w:r>
      <w:r>
        <w:rPr>
          <w:rFonts w:ascii="Times New Roman" w:cs="Times New Roman" w:eastAsia="Times New Roman" w:hAnsi="Times New Roman"/>
          <w:sz w:val="18"/>
          <w:szCs w:val="18"/>
          <w:b w:val="1"/>
          <w:bCs w:val="1"/>
          <w:color w:val="auto"/>
        </w:rPr>
        <w:t>Coattail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Coattail Agreement contains provisions customary in Canada for dual class, listed corporations designed to prevent transactions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would deprive the holders of Subordinate Voting Shares or Multiple Voting Shares of rights under applicable take-over bid legislation to which they would have been entitled if the Super Voting Shares had been Subordinate Voting Shares or Multiple Voting Shares.</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undertakings in the Coattail Agreement do not apply to prevent a sale by any initial holder of Super Voting Shares if concurrently an offer is made to purchase Subordinate Voting Shares and Multiple Voting Shares that:</w:t>
      </w:r>
    </w:p>
    <w:p>
      <w:pPr>
        <w:spacing w:after="0" w:line="54" w:lineRule="exact"/>
        <w:rPr>
          <w:sz w:val="20"/>
          <w:szCs w:val="20"/>
          <w:color w:val="auto"/>
        </w:rPr>
      </w:pPr>
    </w:p>
    <w:p>
      <w:pPr>
        <w:ind w:left="900" w:right="4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a price per Subordinate Voting Share or Multiple Voting Share (on an as converted to Subordinate Voting Share basis) at least as high as the highest price per share paid pursuant to the take-over bid for the Super Voting Shares (on an as converted to Subordinate Voting Share basis);</w:t>
      </w:r>
    </w:p>
    <w:p>
      <w:pPr>
        <w:spacing w:after="0" w:line="67" w:lineRule="exact"/>
        <w:rPr>
          <w:rFonts w:ascii="Times New Roman" w:cs="Times New Roman" w:eastAsia="Times New Roman" w:hAnsi="Times New Roman"/>
          <w:sz w:val="18"/>
          <w:szCs w:val="18"/>
          <w:color w:val="auto"/>
        </w:rPr>
      </w:pPr>
    </w:p>
    <w:p>
      <w:pPr>
        <w:ind w:left="900" w:right="280" w:hanging="383"/>
        <w:spacing w:after="0" w:line="261"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the percentage of outstanding Subordinate Voting Shares or Multiple Voting Shares to be taken up (exclusive of shares owned immediately prior to the offer by the offeror or persons acting jointly or in concert with the offeror) is at least as high as the percentage of Super Voting Shares to be sold (exclusive of Super Voting Shares owned immediately prior to the offer by the offeror and persons acting jointly or in concert with the offeror);</w:t>
      </w:r>
    </w:p>
    <w:p>
      <w:pPr>
        <w:spacing w:after="0" w:line="71"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 condition attached other than the right not to take up and pay for Subordinate Voting Shares or Multiple Voting Shares tendered if no shares are purchased pursuant to the offer for Super Voting Shares;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all other material respects identical to the offer for Super Voting Shares.</w:t>
      </w:r>
    </w:p>
    <w:p>
      <w:pPr>
        <w:spacing w:after="0" w:line="23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the Coattail Agreement does not prevent the transfer of Super Voting Shares by an initial holder to a Permitted Holder (as that term is defined in the Articles). The conversion of Super Voting Shares into Multiple Voting Shares, whether or not such Multiple Voting Shares are subsequently sold or converted into Subordinate Voting Shares, would not constitute a disposition of Super Voting Shares for the purposes of the Coattail Agreement.</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Under the Coattail Agreement, any disposition of Super Voting Shares (including a transfer to a pledgee as security) by a holder of Super Voting Shares party to the agreement will be conditional upon the transferee or pledgee becoming a party to the Coattail Agreement, to the extent such transferred Super Voting Shares are not automatically converted into Multiple Voting Shares in accordance with the Articles.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Coattail Agreement contains provisions for authorizing action by the trustee to enforce the rights under the Coattail Agreement on behalf of the holders of the Subordinate Voting Shares or of the Multiple Voting Shares. The obligation of the trustee to take such action is conditional on the Company or holders of the Subordinate Voting Shares or of the Multiple Voting Shares, as the case may be, providing such funds and indemnity as the trustee may require. No holder of Subordinate Voting Shares or of Multiple Voting Shares, as the case may be, has the right, other than through the trustee, to institute any action or proceeding or to exercise any other remedy to enforce any rights arising under the Coattail Agreement unless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6" w:name="page17"/>
    <w:bookmarkEnd w:id="16"/>
    <w:p>
      <w:pPr>
        <w:ind w:right="80"/>
        <w:spacing w:after="0" w:line="261" w:lineRule="auto"/>
        <w:rPr>
          <w:sz w:val="20"/>
          <w:szCs w:val="20"/>
          <w:color w:val="auto"/>
        </w:rPr>
      </w:pPr>
      <w:r>
        <w:rPr>
          <w:rFonts w:ascii="Times New Roman" w:cs="Times New Roman" w:eastAsia="Times New Roman" w:hAnsi="Times New Roman"/>
          <w:sz w:val="18"/>
          <w:szCs w:val="18"/>
          <w:color w:val="auto"/>
        </w:rPr>
        <w:t>trustee fails to act on a request authorized by holders of not less than 10% of the outstanding Subordinate Voting Shares or of Multiple Voting Shares, as the case may be, and reasonable funds and indemnity have been provided to the trustee. The Company has agreed to pay the reasonable costs of any action that may be taken in good faith by holders of Subordinate Voting Shares or of Multiple Voting Shares, as the case may be, pursuant to the Coattail Agreement.</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Coattail Agreement provides that it may not be amended, and no provision thereof may be waived, unless, prior to giving effect to such amendment or waiver, the following have been obtained: (i) the consent of any applicable securities regulatory authority in Canada; and (ii) the approval of at least 66 2/3% of the votes cast by holders of Subordinate Voting Shares and 66 2/3% of the votes cast by holders of Multiple Voting Shares excluding votes attached to Subordinate Voting Shares and to Multiple Voting Shares, if any, held by the initial holders, their affiliates and any persons who have an agreement to purchase Super Voting Shares on terms which would constitute a sale or disposition for purposes of the Coattail Agreement other than as permitted thereby.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provision of the Coattail Agreement limits the rights of any holders of Subordinate Voting Shares or of Multiple Voting Shares under applicable law.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Notice-and-Access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using the “Notice-and-Access” provisions of applicable securities laws under Rule 14a-16 under the Exchange Act and in NI 54-101 and Canadian National Instrument 51-102—</w:t>
      </w:r>
      <w:r>
        <w:rPr>
          <w:rFonts w:ascii="Times New Roman" w:cs="Times New Roman" w:eastAsia="Times New Roman" w:hAnsi="Times New Roman"/>
          <w:sz w:val="18"/>
          <w:szCs w:val="18"/>
          <w:i w:val="1"/>
          <w:iCs w:val="1"/>
          <w:color w:val="auto"/>
        </w:rPr>
        <w:t>Continuous Disclosure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NI 51-102</w:t>
      </w:r>
      <w:r>
        <w:rPr>
          <w:rFonts w:ascii="Times New Roman" w:cs="Times New Roman" w:eastAsia="Times New Roman" w:hAnsi="Times New Roman"/>
          <w:sz w:val="18"/>
          <w:szCs w:val="18"/>
          <w:color w:val="auto"/>
        </w:rPr>
        <w:t xml:space="preserve">”), for distribution of the Meeting materials to shareholders. Under Notice-and-Access, companies may post electronic versions of such materials on a website for investor access and review and will make such documents available in hard copy upon request at no cost. Notice-and-Access substantially reduces the Company’s printing and mailing costs and is environmentally friendly as it reduces paper and energy consumption. The proxy statement, the 2025 Form 10-K, together with the notes thereto, and the independent auditor’s report thereon and the related management’s discussion and analysis are available on the Investors page of our website at </w:t>
      </w:r>
      <w:r>
        <w:rPr>
          <w:rFonts w:ascii="Times New Roman" w:cs="Times New Roman" w:eastAsia="Times New Roman" w:hAnsi="Times New Roman"/>
          <w:sz w:val="18"/>
          <w:szCs w:val="18"/>
          <w:i w:val="1"/>
          <w:iCs w:val="1"/>
          <w:u w:val="single" w:color="auto"/>
          <w:color w:val="auto"/>
        </w:rPr>
        <w:t>gtigrows.com</w:t>
      </w:r>
      <w:r>
        <w:rPr>
          <w:rFonts w:ascii="Times New Roman" w:cs="Times New Roman" w:eastAsia="Times New Roman" w:hAnsi="Times New Roman"/>
          <w:sz w:val="18"/>
          <w:szCs w:val="18"/>
          <w:color w:val="auto"/>
        </w:rPr>
        <w:t xml:space="preserve">, SEDAR+ under the Company’s profile at </w:t>
      </w:r>
      <w:r>
        <w:rPr>
          <w:rFonts w:ascii="Times New Roman" w:cs="Times New Roman" w:eastAsia="Times New Roman" w:hAnsi="Times New Roman"/>
          <w:sz w:val="18"/>
          <w:szCs w:val="18"/>
          <w:i w:val="1"/>
          <w:iCs w:val="1"/>
          <w:u w:val="single" w:color="auto"/>
          <w:color w:val="auto"/>
        </w:rPr>
        <w:t>www.sedarplus.ca</w:t>
      </w:r>
      <w:r>
        <w:rPr>
          <w:rFonts w:ascii="Times New Roman" w:cs="Times New Roman" w:eastAsia="Times New Roman" w:hAnsi="Times New Roman"/>
          <w:sz w:val="18"/>
          <w:szCs w:val="18"/>
          <w:color w:val="auto"/>
        </w:rPr>
        <w:t xml:space="preserve"> and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The Company has elected not to use the procedure known as “stratification” in relation to its use of the “Notice-and-Access” rules.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Obtaining 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I obtain financial and other information about Green Thumb Industries Inc.?</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included in our 2025 Form 10-K. We filed our 2025 Form 10-K with the SEC, 100 F Street, N.E., Washington, D.C. 20549, on February 25, 2026. We will furnish a copy of our 2025 Form 10-K (as amended, excluding exhibits, except those that are specifically requested) without charge to any shareholder who so requests by writing to our Corporate Secretary at the address below under the heading in “</w:t>
      </w:r>
      <w:r>
        <w:rPr>
          <w:rFonts w:ascii="Times New Roman" w:cs="Times New Roman" w:eastAsia="Times New Roman" w:hAnsi="Times New Roman"/>
          <w:sz w:val="18"/>
          <w:szCs w:val="18"/>
          <w:i w:val="1"/>
          <w:iCs w:val="1"/>
          <w:color w:val="auto"/>
        </w:rPr>
        <w:t>What if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have additional questions or how do I obtain additional copies of this proxy statement or voting materials?</w:t>
      </w:r>
      <w:r>
        <w:rPr>
          <w:rFonts w:ascii="Times New Roman" w:cs="Times New Roman" w:eastAsia="Times New Roman" w:hAnsi="Times New Roman"/>
          <w:sz w:val="18"/>
          <w:szCs w:val="18"/>
          <w:color w:val="auto"/>
        </w:rPr>
        <w:t>” Our 2025 Form 10-K is also available free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charge on the Investors page of our website at </w:t>
      </w:r>
      <w:r>
        <w:rPr>
          <w:rFonts w:ascii="Times New Roman" w:cs="Times New Roman" w:eastAsia="Times New Roman" w:hAnsi="Times New Roman"/>
          <w:sz w:val="18"/>
          <w:szCs w:val="18"/>
          <w:i w:val="1"/>
          <w:iCs w:val="1"/>
          <w:u w:val="single" w:color="auto"/>
          <w:color w:val="auto"/>
        </w:rPr>
        <w:t>gtigrows.com</w:t>
      </w:r>
      <w:r>
        <w:rPr>
          <w:rFonts w:ascii="Times New Roman" w:cs="Times New Roman" w:eastAsia="Times New Roman" w:hAnsi="Times New Roman"/>
          <w:sz w:val="18"/>
          <w:szCs w:val="18"/>
          <w:color w:val="auto"/>
        </w:rPr>
        <w:t xml:space="preserve">, on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xml:space="preserve">, and on SEDAR+ under the Company’s profile at </w:t>
      </w:r>
      <w:r>
        <w:rPr>
          <w:rFonts w:ascii="Times New Roman" w:cs="Times New Roman" w:eastAsia="Times New Roman" w:hAnsi="Times New Roman"/>
          <w:sz w:val="18"/>
          <w:szCs w:val="18"/>
          <w:i w:val="1"/>
          <w:iCs w:val="1"/>
          <w:u w:val="single" w:color="auto"/>
          <w:color w:val="auto"/>
        </w:rPr>
        <w:t>www.sedarplus.ca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writing to us, shareholders also may obtain, without charge, a copy of the Articles, code of conduct and Board standing committee charters.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if I have questions for the Company’s transfer agent?</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If you are a shareholder of record and have questions concerning share certificates, ownership transfer or other matters relating to your share account, please contact our transfer agent at the following address:</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Odyssey Trust Co.</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Trader’s Bank Building, Suite 1100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67 Yonge Street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Toronto, ON M5E 1J8</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if I have additional questions or how do I obtain additional copies of this proxy statement or voting materials?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additional questions or need additional copies of this proxy statement or voting materials, please contact us at: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Green Thumb Industries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7" w:name="page18"/>
    <w:bookmarkEnd w:id="17"/>
    <w:p>
      <w:pPr>
        <w:jc w:val="center"/>
        <w:ind w:right="5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325 West Huron Street, Suite 700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investorrelations@gtigrows.com</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OVERVIEW OF PROPOSALS TO BE VOTED ON</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All proposals herein are included in this proxy statement at the direction of our Board. Our Board unanimously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setting of the number of directors at seven, the election of the director nominees and the compensation of our named executive officers in Proposals No. 1, 2 and 3,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re-appointment and remuneration of auditors in Proposal No. 4, and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the Amendment Proposal in Proposal No. 5.</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PROPOSALS NO. 1 AND 2—ELECTION OF DIRECTORS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Articles provide that the number of directors should not be fewer than three directors. There are currently seven directors of the Company. It is proposed to fix the number of directors at seven and that seven directors be elected at the Meeting.</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Management proposes to nominate at the Meeting the persons whose names are set forth in the table below, each to serve as a director of the Company until the next meeting of shareholders at which the election of directors is considered, or until his/her successor is duly elected or appointed, unless he/she resigns, is removed or becomes disqualified in accordance with the Articles or the BCBCA. The persons named in the accompanying Proxy Instrument intend to vote for the election of such persons at the Meeting, unless otherwise directed. Management does not contemplate that any of the nominees will be unable to serve as a director of the Company.</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sets out the name of each current director, each of whom is proposed by the Board to be nominated for election as a director of the Company at the Meeting, and each of their respective positions and the period during which such person has been a director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3"/>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5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1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Residence</w:t>
            </w: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09"/>
        </w:trPr>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8"/>
              </w:rPr>
              <w:t>Dawn</w:t>
            </w:r>
          </w:p>
        </w:tc>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Wilson Barnes</w:t>
            </w:r>
          </w:p>
        </w:tc>
        <w:tc>
          <w:tcPr>
            <w:tcW w:w="240" w:type="dxa"/>
            <w:vAlign w:val="bottom"/>
            <w:tcBorders>
              <w:top w:val="single" w:sz="8" w:color="auto"/>
            </w:tcBorders>
          </w:tcPr>
          <w:p>
            <w:pPr>
              <w:spacing w:after="0"/>
              <w:rPr>
                <w:sz w:val="18"/>
                <w:szCs w:val="18"/>
                <w:color w:val="auto"/>
              </w:rPr>
            </w:pP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59</w:t>
            </w:r>
          </w:p>
        </w:tc>
        <w:tc>
          <w:tcPr>
            <w:tcW w:w="5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Director, Audit Committee member</w:t>
            </w:r>
          </w:p>
        </w:tc>
        <w:tc>
          <w:tcPr>
            <w:tcW w:w="14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Georgia, USA</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6"/>
        </w:trPr>
        <w:tc>
          <w:tcPr>
            <w:tcW w:w="276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Anthony Georgiadis</w:t>
            </w:r>
          </w:p>
        </w:tc>
        <w:tc>
          <w:tcPr>
            <w:tcW w:w="700" w:type="dxa"/>
            <w:vAlign w:val="bottom"/>
            <w:gridSpan w:val="2"/>
            <w:shd w:val="clear" w:color="auto" w:fill="FCEABC"/>
          </w:tcPr>
          <w:p>
            <w:pPr>
              <w:jc w:val="right"/>
              <w:ind w:right="170"/>
              <w:spacing w:after="0"/>
              <w:rPr>
                <w:sz w:val="20"/>
                <w:szCs w:val="20"/>
                <w:color w:val="auto"/>
              </w:rPr>
            </w:pPr>
            <w:r>
              <w:rPr>
                <w:rFonts w:ascii="Times New Roman" w:cs="Times New Roman" w:eastAsia="Times New Roman" w:hAnsi="Times New Roman"/>
                <w:sz w:val="18"/>
                <w:szCs w:val="18"/>
                <w:color w:val="auto"/>
              </w:rPr>
              <w:t>48</w:t>
            </w:r>
          </w:p>
        </w:tc>
        <w:tc>
          <w:tcPr>
            <w:tcW w:w="5240" w:type="dxa"/>
            <w:vAlign w:val="bottom"/>
            <w:shd w:val="clear" w:color="auto" w:fill="FCEABC"/>
          </w:tcPr>
          <w:p>
            <w:pPr>
              <w:jc w:val="center"/>
              <w:spacing w:after="0"/>
              <w:rPr>
                <w:sz w:val="20"/>
                <w:szCs w:val="20"/>
                <w:color w:val="auto"/>
              </w:rPr>
            </w:pPr>
            <w:r>
              <w:rPr>
                <w:rFonts w:ascii="Times New Roman" w:cs="Times New Roman" w:eastAsia="Times New Roman" w:hAnsi="Times New Roman"/>
                <w:sz w:val="18"/>
                <w:szCs w:val="18"/>
                <w:color w:val="auto"/>
                <w:w w:val="99"/>
              </w:rPr>
              <w:t>Director and President</w:t>
            </w:r>
          </w:p>
        </w:tc>
        <w:tc>
          <w:tcPr>
            <w:tcW w:w="140" w:type="dxa"/>
            <w:vAlign w:val="bottom"/>
            <w:shd w:val="clear" w:color="auto" w:fill="FCEABC"/>
          </w:tcPr>
          <w:p>
            <w:pPr>
              <w:spacing w:after="0"/>
              <w:rPr>
                <w:sz w:val="18"/>
                <w:szCs w:val="18"/>
                <w:color w:val="auto"/>
              </w:rPr>
            </w:pPr>
          </w:p>
        </w:tc>
        <w:tc>
          <w:tcPr>
            <w:tcW w:w="1260" w:type="dxa"/>
            <w:vAlign w:val="bottom"/>
            <w:shd w:val="clear" w:color="auto" w:fill="FCEABC"/>
          </w:tcPr>
          <w:p>
            <w:pPr>
              <w:jc w:val="center"/>
              <w:spacing w:after="0"/>
              <w:rPr>
                <w:sz w:val="20"/>
                <w:szCs w:val="20"/>
                <w:color w:val="auto"/>
              </w:rPr>
            </w:pPr>
            <w:r>
              <w:rPr>
                <w:rFonts w:ascii="Times New Roman" w:cs="Times New Roman" w:eastAsia="Times New Roman" w:hAnsi="Times New Roman"/>
                <w:sz w:val="18"/>
                <w:szCs w:val="18"/>
                <w:color w:val="auto"/>
                <w:w w:val="98"/>
              </w:rPr>
              <w:t>Florida, USA</w:t>
            </w:r>
          </w:p>
        </w:tc>
        <w:tc>
          <w:tcPr>
            <w:tcW w:w="1140" w:type="dxa"/>
            <w:vAlign w:val="bottom"/>
            <w:gridSpan w:val="2"/>
            <w:shd w:val="clear" w:color="auto" w:fill="FCEABC"/>
          </w:tcPr>
          <w:p>
            <w:pPr>
              <w:jc w:val="center"/>
              <w:ind w:left="10"/>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Goldman</w:t>
            </w:r>
          </w:p>
        </w:tc>
        <w:tc>
          <w:tcPr>
            <w:tcW w:w="7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49</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Audit Committee member, Compensation Committee Chair</w:t>
            </w: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Illinois, USA</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6"/>
        </w:trPr>
        <w:tc>
          <w:tcPr>
            <w:tcW w:w="276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Benjamin Kovler</w:t>
            </w:r>
          </w:p>
        </w:tc>
        <w:tc>
          <w:tcPr>
            <w:tcW w:w="700" w:type="dxa"/>
            <w:vAlign w:val="bottom"/>
            <w:gridSpan w:val="2"/>
            <w:shd w:val="clear" w:color="auto" w:fill="FCEABC"/>
          </w:tcPr>
          <w:p>
            <w:pPr>
              <w:jc w:val="right"/>
              <w:ind w:right="170"/>
              <w:spacing w:after="0"/>
              <w:rPr>
                <w:sz w:val="20"/>
                <w:szCs w:val="20"/>
                <w:color w:val="auto"/>
              </w:rPr>
            </w:pPr>
            <w:r>
              <w:rPr>
                <w:rFonts w:ascii="Times New Roman" w:cs="Times New Roman" w:eastAsia="Times New Roman" w:hAnsi="Times New Roman"/>
                <w:sz w:val="18"/>
                <w:szCs w:val="18"/>
                <w:color w:val="auto"/>
              </w:rPr>
              <w:t>47</w:t>
            </w:r>
          </w:p>
        </w:tc>
        <w:tc>
          <w:tcPr>
            <w:tcW w:w="5240" w:type="dxa"/>
            <w:vAlign w:val="bottom"/>
            <w:shd w:val="clear" w:color="auto" w:fill="FCEABC"/>
          </w:tcPr>
          <w:p>
            <w:pPr>
              <w:jc w:val="center"/>
              <w:spacing w:after="0"/>
              <w:rPr>
                <w:sz w:val="20"/>
                <w:szCs w:val="20"/>
                <w:color w:val="auto"/>
              </w:rPr>
            </w:pPr>
            <w:r>
              <w:rPr>
                <w:rFonts w:ascii="Times New Roman" w:cs="Times New Roman" w:eastAsia="Times New Roman" w:hAnsi="Times New Roman"/>
                <w:sz w:val="18"/>
                <w:szCs w:val="18"/>
                <w:color w:val="auto"/>
                <w:w w:val="99"/>
              </w:rPr>
              <w:t>Founder, Chairman of the Board and Chief Executive Officer</w:t>
            </w:r>
          </w:p>
        </w:tc>
        <w:tc>
          <w:tcPr>
            <w:tcW w:w="140" w:type="dxa"/>
            <w:vAlign w:val="bottom"/>
            <w:shd w:val="clear" w:color="auto" w:fill="FCEABC"/>
          </w:tcPr>
          <w:p>
            <w:pPr>
              <w:spacing w:after="0"/>
              <w:rPr>
                <w:sz w:val="18"/>
                <w:szCs w:val="18"/>
                <w:color w:val="auto"/>
              </w:rPr>
            </w:pPr>
          </w:p>
        </w:tc>
        <w:tc>
          <w:tcPr>
            <w:tcW w:w="1260" w:type="dxa"/>
            <w:vAlign w:val="bottom"/>
            <w:shd w:val="clear" w:color="auto" w:fill="FCEABC"/>
          </w:tcPr>
          <w:p>
            <w:pPr>
              <w:jc w:val="center"/>
              <w:spacing w:after="0"/>
              <w:rPr>
                <w:sz w:val="20"/>
                <w:szCs w:val="20"/>
                <w:color w:val="auto"/>
              </w:rPr>
            </w:pPr>
            <w:r>
              <w:rPr>
                <w:rFonts w:ascii="Times New Roman" w:cs="Times New Roman" w:eastAsia="Times New Roman" w:hAnsi="Times New Roman"/>
                <w:sz w:val="18"/>
                <w:szCs w:val="18"/>
                <w:color w:val="auto"/>
                <w:w w:val="99"/>
              </w:rPr>
              <w:t>Illinois, USA</w:t>
            </w:r>
          </w:p>
        </w:tc>
        <w:tc>
          <w:tcPr>
            <w:tcW w:w="1140" w:type="dxa"/>
            <w:vAlign w:val="bottom"/>
            <w:gridSpan w:val="2"/>
            <w:shd w:val="clear" w:color="auto" w:fill="FCEABC"/>
          </w:tcPr>
          <w:p>
            <w:pPr>
              <w:jc w:val="center"/>
              <w:ind w:left="10"/>
              <w:spacing w:after="0"/>
              <w:rPr>
                <w:sz w:val="20"/>
                <w:szCs w:val="20"/>
                <w:color w:val="auto"/>
              </w:rPr>
            </w:pPr>
            <w:r>
              <w:rPr>
                <w:rFonts w:ascii="Times New Roman" w:cs="Times New Roman" w:eastAsia="Times New Roman" w:hAnsi="Times New Roman"/>
                <w:sz w:val="18"/>
                <w:szCs w:val="18"/>
                <w:color w:val="auto"/>
                <w:w w:val="99"/>
              </w:rPr>
              <w:t>2014</w:t>
            </w: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Ethan Nadelmann</w:t>
            </w:r>
          </w:p>
        </w:tc>
        <w:tc>
          <w:tcPr>
            <w:tcW w:w="7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69</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 Compensation Committee member</w:t>
            </w: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USA</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6"/>
        </w:trPr>
        <w:tc>
          <w:tcPr>
            <w:tcW w:w="276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Richard Reisin</w:t>
            </w:r>
          </w:p>
        </w:tc>
        <w:tc>
          <w:tcPr>
            <w:tcW w:w="700" w:type="dxa"/>
            <w:vAlign w:val="bottom"/>
            <w:gridSpan w:val="2"/>
            <w:shd w:val="clear" w:color="auto" w:fill="FCEABC"/>
          </w:tcPr>
          <w:p>
            <w:pPr>
              <w:jc w:val="right"/>
              <w:ind w:right="170"/>
              <w:spacing w:after="0"/>
              <w:rPr>
                <w:sz w:val="20"/>
                <w:szCs w:val="20"/>
                <w:color w:val="auto"/>
              </w:rPr>
            </w:pPr>
            <w:r>
              <w:rPr>
                <w:rFonts w:ascii="Times New Roman" w:cs="Times New Roman" w:eastAsia="Times New Roman" w:hAnsi="Times New Roman"/>
                <w:sz w:val="18"/>
                <w:szCs w:val="18"/>
                <w:color w:val="auto"/>
              </w:rPr>
              <w:t>70</w:t>
            </w:r>
          </w:p>
        </w:tc>
        <w:tc>
          <w:tcPr>
            <w:tcW w:w="5240" w:type="dxa"/>
            <w:vAlign w:val="bottom"/>
            <w:shd w:val="clear" w:color="auto" w:fill="FCEABC"/>
          </w:tcPr>
          <w:p>
            <w:pPr>
              <w:jc w:val="center"/>
              <w:spacing w:after="0"/>
              <w:rPr>
                <w:sz w:val="20"/>
                <w:szCs w:val="20"/>
                <w:color w:val="auto"/>
              </w:rPr>
            </w:pPr>
            <w:r>
              <w:rPr>
                <w:rFonts w:ascii="Times New Roman" w:cs="Times New Roman" w:eastAsia="Times New Roman" w:hAnsi="Times New Roman"/>
                <w:sz w:val="18"/>
                <w:szCs w:val="18"/>
                <w:color w:val="auto"/>
                <w:w w:val="99"/>
              </w:rPr>
              <w:t>Director, Audit Committee Chair</w:t>
            </w:r>
          </w:p>
        </w:tc>
        <w:tc>
          <w:tcPr>
            <w:tcW w:w="140" w:type="dxa"/>
            <w:vAlign w:val="bottom"/>
            <w:shd w:val="clear" w:color="auto" w:fill="FCEABC"/>
          </w:tcPr>
          <w:p>
            <w:pPr>
              <w:spacing w:after="0"/>
              <w:rPr>
                <w:sz w:val="18"/>
                <w:szCs w:val="18"/>
                <w:color w:val="auto"/>
              </w:rPr>
            </w:pPr>
          </w:p>
        </w:tc>
        <w:tc>
          <w:tcPr>
            <w:tcW w:w="1260" w:type="dxa"/>
            <w:vAlign w:val="bottom"/>
            <w:shd w:val="clear" w:color="auto" w:fill="FCEABC"/>
          </w:tcPr>
          <w:p>
            <w:pPr>
              <w:jc w:val="center"/>
              <w:spacing w:after="0"/>
              <w:rPr>
                <w:sz w:val="20"/>
                <w:szCs w:val="20"/>
                <w:color w:val="auto"/>
              </w:rPr>
            </w:pPr>
            <w:r>
              <w:rPr>
                <w:rFonts w:ascii="Times New Roman" w:cs="Times New Roman" w:eastAsia="Times New Roman" w:hAnsi="Times New Roman"/>
                <w:sz w:val="18"/>
                <w:szCs w:val="18"/>
                <w:color w:val="auto"/>
                <w:w w:val="98"/>
              </w:rPr>
              <w:t>Florida, USA</w:t>
            </w:r>
          </w:p>
        </w:tc>
        <w:tc>
          <w:tcPr>
            <w:tcW w:w="1140" w:type="dxa"/>
            <w:vAlign w:val="bottom"/>
            <w:gridSpan w:val="2"/>
            <w:shd w:val="clear" w:color="auto" w:fill="FCEAB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34"/>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Hannah (Buchan) Ross</w:t>
            </w:r>
          </w:p>
        </w:tc>
        <w:tc>
          <w:tcPr>
            <w:tcW w:w="7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Audit Committee member, Compensation Committee member</w:t>
            </w:r>
          </w:p>
        </w:tc>
        <w:tc>
          <w:tcPr>
            <w:tcW w:w="1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California, USA</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630"/>
        </w:trPr>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40" w:type="dxa"/>
            <w:vAlign w:val="bottom"/>
          </w:tcPr>
          <w:p>
            <w:pPr>
              <w:jc w:val="right"/>
              <w:ind w:right="2892"/>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63"/>
        </w:trPr>
        <w:tc>
          <w:tcPr>
            <w:tcW w:w="3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Consistent with the Company’s ongoing effort to maintain a highly qualified, independent Board with relevant expertise to guide the Company going forward, the Board believes a broad range of characteristics, including skills and experience, as well as diversity and demographic factors are important considerations in selecting director nominees. The nominees for election, whose information appears below, reflect those efforts. Following is a summary of key qualifications each nominee brings to the Board are the biographies of the nominees for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3429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00" w:type="dxa"/>
            <w:vAlign w:val="bottom"/>
            <w:tcBorders>
              <w:bottom w:val="single" w:sz="8" w:color="026937"/>
            </w:tcBorders>
            <w:shd w:val="clear" w:color="auto" w:fill="026937"/>
          </w:tcPr>
          <w:p>
            <w:pPr>
              <w:ind w:left="1860"/>
              <w:spacing w:after="0"/>
              <w:rPr>
                <w:sz w:val="20"/>
                <w:szCs w:val="20"/>
                <w:color w:val="auto"/>
              </w:rPr>
            </w:pPr>
            <w:r>
              <w:rPr>
                <w:rFonts w:ascii="Times New Roman" w:cs="Times New Roman" w:eastAsia="Times New Roman" w:hAnsi="Times New Roman"/>
                <w:sz w:val="14"/>
                <w:szCs w:val="14"/>
                <w:b w:val="1"/>
                <w:bCs w:val="1"/>
                <w:color w:val="F2F2F2"/>
              </w:rPr>
              <w:t>Qualification</w:t>
            </w:r>
          </w:p>
        </w:tc>
        <w:tc>
          <w:tcPr>
            <w:tcW w:w="1850" w:type="dxa"/>
            <w:vAlign w:val="bottom"/>
            <w:tcBorders>
              <w:bottom w:val="single" w:sz="8" w:color="026937"/>
            </w:tcBorders>
            <w:shd w:val="clear" w:color="auto" w:fill="026937"/>
          </w:tcPr>
          <w:p>
            <w:pPr>
              <w:spacing w:after="0"/>
              <w:rPr>
                <w:sz w:val="20"/>
                <w:szCs w:val="20"/>
                <w:color w:val="auto"/>
              </w:rPr>
            </w:pPr>
          </w:p>
        </w:tc>
        <w:tc>
          <w:tcPr>
            <w:tcW w:w="1070" w:type="dxa"/>
            <w:vAlign w:val="bottom"/>
            <w:tcBorders>
              <w:bottom w:val="single" w:sz="8" w:color="026937"/>
            </w:tcBorders>
            <w:shd w:val="clear" w:color="auto" w:fill="026937"/>
          </w:tcPr>
          <w:p>
            <w:pPr>
              <w:jc w:val="center"/>
              <w:spacing w:after="0"/>
              <w:rPr>
                <w:sz w:val="20"/>
                <w:szCs w:val="20"/>
                <w:color w:val="auto"/>
              </w:rPr>
            </w:pPr>
            <w:r>
              <w:rPr>
                <w:rFonts w:ascii="Times New Roman" w:cs="Times New Roman" w:eastAsia="Times New Roman" w:hAnsi="Times New Roman"/>
                <w:sz w:val="14"/>
                <w:szCs w:val="14"/>
                <w:b w:val="1"/>
                <w:bCs w:val="1"/>
                <w:color w:val="F2F2F2"/>
                <w:w w:val="99"/>
              </w:rPr>
              <w:t>Barnes</w:t>
            </w:r>
          </w:p>
        </w:tc>
        <w:tc>
          <w:tcPr>
            <w:tcW w:w="1200" w:type="dxa"/>
            <w:vAlign w:val="bottom"/>
            <w:tcBorders>
              <w:bottom w:val="single" w:sz="8" w:color="026937"/>
            </w:tcBorders>
            <w:shd w:val="clear" w:color="auto" w:fill="026937"/>
          </w:tcPr>
          <w:p>
            <w:pPr>
              <w:jc w:val="center"/>
              <w:spacing w:after="0"/>
              <w:rPr>
                <w:sz w:val="20"/>
                <w:szCs w:val="20"/>
                <w:color w:val="auto"/>
              </w:rPr>
            </w:pPr>
            <w:r>
              <w:rPr>
                <w:rFonts w:ascii="Times New Roman" w:cs="Times New Roman" w:eastAsia="Times New Roman" w:hAnsi="Times New Roman"/>
                <w:sz w:val="14"/>
                <w:szCs w:val="14"/>
                <w:b w:val="1"/>
                <w:bCs w:val="1"/>
                <w:color w:val="F2F2F2"/>
              </w:rPr>
              <w:t>Georgiadis</w:t>
            </w:r>
          </w:p>
        </w:tc>
        <w:tc>
          <w:tcPr>
            <w:tcW w:w="1060" w:type="dxa"/>
            <w:vAlign w:val="bottom"/>
            <w:tcBorders>
              <w:bottom w:val="single" w:sz="8" w:color="026937"/>
            </w:tcBorders>
            <w:shd w:val="clear" w:color="auto" w:fill="026937"/>
          </w:tcPr>
          <w:p>
            <w:pPr>
              <w:jc w:val="center"/>
              <w:spacing w:after="0"/>
              <w:rPr>
                <w:sz w:val="20"/>
                <w:szCs w:val="20"/>
                <w:color w:val="auto"/>
              </w:rPr>
            </w:pPr>
            <w:r>
              <w:rPr>
                <w:rFonts w:ascii="Times New Roman" w:cs="Times New Roman" w:eastAsia="Times New Roman" w:hAnsi="Times New Roman"/>
                <w:sz w:val="14"/>
                <w:szCs w:val="14"/>
                <w:b w:val="1"/>
                <w:bCs w:val="1"/>
                <w:color w:val="F2F2F2"/>
              </w:rPr>
              <w:t>Goldman</w:t>
            </w:r>
          </w:p>
        </w:tc>
        <w:tc>
          <w:tcPr>
            <w:tcW w:w="860" w:type="dxa"/>
            <w:vAlign w:val="bottom"/>
            <w:tcBorders>
              <w:bottom w:val="single" w:sz="8" w:color="026937"/>
            </w:tcBorders>
            <w:shd w:val="clear" w:color="auto" w:fill="026937"/>
          </w:tcPr>
          <w:p>
            <w:pPr>
              <w:jc w:val="center"/>
              <w:spacing w:after="0"/>
              <w:rPr>
                <w:sz w:val="20"/>
                <w:szCs w:val="20"/>
                <w:color w:val="auto"/>
              </w:rPr>
            </w:pPr>
            <w:r>
              <w:rPr>
                <w:rFonts w:ascii="Times New Roman" w:cs="Times New Roman" w:eastAsia="Times New Roman" w:hAnsi="Times New Roman"/>
                <w:sz w:val="14"/>
                <w:szCs w:val="14"/>
                <w:b w:val="1"/>
                <w:bCs w:val="1"/>
                <w:color w:val="F2F2F2"/>
              </w:rPr>
              <w:t>Kovler</w:t>
            </w:r>
          </w:p>
        </w:tc>
        <w:tc>
          <w:tcPr>
            <w:tcW w:w="1120" w:type="dxa"/>
            <w:vAlign w:val="bottom"/>
            <w:tcBorders>
              <w:bottom w:val="single" w:sz="8" w:color="026937"/>
            </w:tcBorders>
            <w:shd w:val="clear" w:color="auto" w:fill="026937"/>
          </w:tcPr>
          <w:p>
            <w:pPr>
              <w:jc w:val="center"/>
              <w:spacing w:after="0"/>
              <w:rPr>
                <w:sz w:val="20"/>
                <w:szCs w:val="20"/>
                <w:color w:val="auto"/>
              </w:rPr>
            </w:pPr>
            <w:r>
              <w:rPr>
                <w:rFonts w:ascii="Times New Roman" w:cs="Times New Roman" w:eastAsia="Times New Roman" w:hAnsi="Times New Roman"/>
                <w:sz w:val="14"/>
                <w:szCs w:val="14"/>
                <w:b w:val="1"/>
                <w:bCs w:val="1"/>
                <w:color w:val="F2F2F2"/>
              </w:rPr>
              <w:t>Nadelmann</w:t>
            </w:r>
          </w:p>
        </w:tc>
        <w:tc>
          <w:tcPr>
            <w:tcW w:w="760" w:type="dxa"/>
            <w:vAlign w:val="bottom"/>
            <w:tcBorders>
              <w:bottom w:val="single" w:sz="8" w:color="026937"/>
            </w:tcBorders>
            <w:shd w:val="clear" w:color="auto" w:fill="026937"/>
          </w:tcPr>
          <w:p>
            <w:pPr>
              <w:jc w:val="center"/>
              <w:spacing w:after="0"/>
              <w:rPr>
                <w:sz w:val="20"/>
                <w:szCs w:val="20"/>
                <w:color w:val="auto"/>
              </w:rPr>
            </w:pPr>
            <w:r>
              <w:rPr>
                <w:rFonts w:ascii="Times New Roman" w:cs="Times New Roman" w:eastAsia="Times New Roman" w:hAnsi="Times New Roman"/>
                <w:sz w:val="14"/>
                <w:szCs w:val="14"/>
                <w:b w:val="1"/>
                <w:bCs w:val="1"/>
                <w:color w:val="F2F2F2"/>
              </w:rPr>
              <w:t>Reisin</w:t>
            </w:r>
          </w:p>
        </w:tc>
        <w:tc>
          <w:tcPr>
            <w:tcW w:w="620" w:type="dxa"/>
            <w:vAlign w:val="bottom"/>
            <w:tcBorders>
              <w:bottom w:val="single" w:sz="8" w:color="026937"/>
            </w:tcBorders>
            <w:shd w:val="clear" w:color="auto" w:fill="026937"/>
          </w:tcPr>
          <w:p>
            <w:pPr>
              <w:jc w:val="center"/>
              <w:spacing w:after="0"/>
              <w:rPr>
                <w:sz w:val="20"/>
                <w:szCs w:val="20"/>
                <w:color w:val="auto"/>
              </w:rPr>
            </w:pPr>
            <w:r>
              <w:rPr>
                <w:rFonts w:ascii="Times New Roman" w:cs="Times New Roman" w:eastAsia="Times New Roman" w:hAnsi="Times New Roman"/>
                <w:sz w:val="14"/>
                <w:szCs w:val="14"/>
                <w:b w:val="1"/>
                <w:bCs w:val="1"/>
                <w:color w:val="F2F2F2"/>
              </w:rPr>
              <w:t>Ross</w:t>
            </w:r>
          </w:p>
        </w:tc>
      </w:tr>
      <w:tr>
        <w:trPr>
          <w:trHeight w:val="234"/>
        </w:trPr>
        <w:tc>
          <w:tcPr>
            <w:tcW w:w="2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Independence</w:t>
            </w:r>
          </w:p>
        </w:tc>
        <w:tc>
          <w:tcPr>
            <w:tcW w:w="1850" w:type="dxa"/>
            <w:vAlign w:val="bottom"/>
          </w:tcPr>
          <w:p>
            <w:pPr>
              <w:spacing w:after="0"/>
              <w:rPr>
                <w:sz w:val="20"/>
                <w:szCs w:val="20"/>
                <w:color w:val="auto"/>
              </w:rPr>
            </w:pPr>
          </w:p>
        </w:tc>
        <w:tc>
          <w:tcPr>
            <w:tcW w:w="1070" w:type="dxa"/>
            <w:vAlign w:val="bottom"/>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026937"/>
              </w:rPr>
              <w:t>●</w:t>
            </w:r>
          </w:p>
        </w:tc>
      </w:tr>
      <w:tr>
        <w:trPr>
          <w:trHeight w:val="36"/>
        </w:trPr>
        <w:tc>
          <w:tcPr>
            <w:tcW w:w="4550" w:type="dxa"/>
            <w:vAlign w:val="bottom"/>
            <w:gridSpan w:val="2"/>
          </w:tcPr>
          <w:p>
            <w:pPr>
              <w:spacing w:after="0"/>
              <w:rPr>
                <w:sz w:val="3"/>
                <w:szCs w:val="3"/>
                <w:color w:val="auto"/>
              </w:rPr>
            </w:pPr>
          </w:p>
        </w:tc>
        <w:tc>
          <w:tcPr>
            <w:tcW w:w="107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77"/>
        </w:trPr>
        <w:tc>
          <w:tcPr>
            <w:tcW w:w="4550" w:type="dxa"/>
            <w:vAlign w:val="bottom"/>
            <w:tcBorders>
              <w:bottom w:val="single" w:sz="8" w:color="E5E5E5"/>
            </w:tcBorders>
            <w:gridSpan w:val="2"/>
            <w:shd w:val="clear" w:color="auto" w:fill="E5E5E5"/>
          </w:tcPr>
          <w:p>
            <w:pPr>
              <w:ind w:left="60"/>
              <w:spacing w:after="0"/>
              <w:rPr>
                <w:sz w:val="20"/>
                <w:szCs w:val="20"/>
                <w:color w:val="auto"/>
              </w:rPr>
            </w:pPr>
            <w:r>
              <w:rPr>
                <w:rFonts w:ascii="Times New Roman" w:cs="Times New Roman" w:eastAsia="Times New Roman" w:hAnsi="Times New Roman"/>
                <w:sz w:val="16"/>
                <w:szCs w:val="16"/>
                <w:color w:val="auto"/>
              </w:rPr>
              <w:t>Core business skills, including financial and strategic planning</w:t>
            </w:r>
          </w:p>
        </w:tc>
        <w:tc>
          <w:tcPr>
            <w:tcW w:w="107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120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106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86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112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76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62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rPr>
              <w:t>●</w:t>
            </w:r>
          </w:p>
        </w:tc>
      </w:tr>
      <w:tr>
        <w:trPr>
          <w:trHeight w:val="257"/>
        </w:trPr>
        <w:tc>
          <w:tcPr>
            <w:tcW w:w="455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Real estate planning, development and transactions</w:t>
            </w:r>
          </w:p>
        </w:tc>
        <w:tc>
          <w:tcPr>
            <w:tcW w:w="1070" w:type="dxa"/>
            <w:vAlign w:val="bottom"/>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10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41"/>
        </w:trPr>
        <w:tc>
          <w:tcPr>
            <w:tcW w:w="2700" w:type="dxa"/>
            <w:vAlign w:val="bottom"/>
          </w:tcPr>
          <w:p>
            <w:pPr>
              <w:spacing w:after="0"/>
              <w:rPr>
                <w:sz w:val="3"/>
                <w:szCs w:val="3"/>
                <w:color w:val="auto"/>
              </w:rPr>
            </w:pPr>
          </w:p>
        </w:tc>
        <w:tc>
          <w:tcPr>
            <w:tcW w:w="1850" w:type="dxa"/>
            <w:vAlign w:val="bottom"/>
          </w:tcPr>
          <w:p>
            <w:pPr>
              <w:spacing w:after="0"/>
              <w:rPr>
                <w:sz w:val="3"/>
                <w:szCs w:val="3"/>
                <w:color w:val="auto"/>
              </w:rPr>
            </w:pPr>
          </w:p>
        </w:tc>
        <w:tc>
          <w:tcPr>
            <w:tcW w:w="107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77"/>
        </w:trPr>
        <w:tc>
          <w:tcPr>
            <w:tcW w:w="2700" w:type="dxa"/>
            <w:vAlign w:val="bottom"/>
            <w:tcBorders>
              <w:bottom w:val="single" w:sz="8" w:color="E5E5E5"/>
            </w:tcBorders>
            <w:shd w:val="clear" w:color="auto" w:fill="E5E5E5"/>
          </w:tcPr>
          <w:p>
            <w:pPr>
              <w:ind w:left="60"/>
              <w:spacing w:after="0"/>
              <w:rPr>
                <w:sz w:val="20"/>
                <w:szCs w:val="20"/>
                <w:color w:val="auto"/>
              </w:rPr>
            </w:pPr>
            <w:r>
              <w:rPr>
                <w:rFonts w:ascii="Times New Roman" w:cs="Times New Roman" w:eastAsia="Times New Roman" w:hAnsi="Times New Roman"/>
                <w:sz w:val="16"/>
                <w:szCs w:val="16"/>
                <w:color w:val="auto"/>
              </w:rPr>
              <w:t>Operating and management experience</w:t>
            </w:r>
          </w:p>
        </w:tc>
        <w:tc>
          <w:tcPr>
            <w:tcW w:w="1850" w:type="dxa"/>
            <w:vAlign w:val="bottom"/>
            <w:tcBorders>
              <w:bottom w:val="single" w:sz="8" w:color="E5E5E5"/>
            </w:tcBorders>
            <w:shd w:val="clear" w:color="auto" w:fill="E5E5E5"/>
          </w:tcPr>
          <w:p>
            <w:pPr>
              <w:spacing w:after="0"/>
              <w:rPr>
                <w:sz w:val="24"/>
                <w:szCs w:val="24"/>
                <w:color w:val="auto"/>
              </w:rPr>
            </w:pPr>
          </w:p>
        </w:tc>
        <w:tc>
          <w:tcPr>
            <w:tcW w:w="107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120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106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86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112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76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62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rPr>
              <w:t>●</w:t>
            </w:r>
          </w:p>
        </w:tc>
      </w:tr>
      <w:tr>
        <w:trPr>
          <w:trHeight w:val="257"/>
        </w:trPr>
        <w:tc>
          <w:tcPr>
            <w:tcW w:w="455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Finance, financial reporting and analysis expertise</w:t>
            </w:r>
          </w:p>
        </w:tc>
        <w:tc>
          <w:tcPr>
            <w:tcW w:w="1070" w:type="dxa"/>
            <w:vAlign w:val="bottom"/>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1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026937"/>
              </w:rPr>
              <w:t>●</w:t>
            </w:r>
          </w:p>
        </w:tc>
      </w:tr>
      <w:tr>
        <w:trPr>
          <w:trHeight w:val="40"/>
        </w:trPr>
        <w:tc>
          <w:tcPr>
            <w:tcW w:w="2700" w:type="dxa"/>
            <w:vAlign w:val="bottom"/>
          </w:tcPr>
          <w:p>
            <w:pPr>
              <w:spacing w:after="0"/>
              <w:rPr>
                <w:sz w:val="3"/>
                <w:szCs w:val="3"/>
                <w:color w:val="auto"/>
              </w:rPr>
            </w:pPr>
          </w:p>
        </w:tc>
        <w:tc>
          <w:tcPr>
            <w:tcW w:w="1850" w:type="dxa"/>
            <w:vAlign w:val="bottom"/>
          </w:tcPr>
          <w:p>
            <w:pPr>
              <w:spacing w:after="0"/>
              <w:rPr>
                <w:sz w:val="3"/>
                <w:szCs w:val="3"/>
                <w:color w:val="auto"/>
              </w:rPr>
            </w:pPr>
          </w:p>
        </w:tc>
        <w:tc>
          <w:tcPr>
            <w:tcW w:w="107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77"/>
        </w:trPr>
        <w:tc>
          <w:tcPr>
            <w:tcW w:w="2700" w:type="dxa"/>
            <w:vAlign w:val="bottom"/>
            <w:tcBorders>
              <w:bottom w:val="single" w:sz="8" w:color="E5E5E5"/>
            </w:tcBorders>
            <w:shd w:val="clear" w:color="auto" w:fill="E5E5E5"/>
          </w:tcPr>
          <w:p>
            <w:pPr>
              <w:ind w:left="60"/>
              <w:spacing w:after="0"/>
              <w:rPr>
                <w:sz w:val="20"/>
                <w:szCs w:val="20"/>
                <w:color w:val="auto"/>
              </w:rPr>
            </w:pPr>
            <w:r>
              <w:rPr>
                <w:rFonts w:ascii="Times New Roman" w:cs="Times New Roman" w:eastAsia="Times New Roman" w:hAnsi="Times New Roman"/>
                <w:sz w:val="16"/>
                <w:szCs w:val="16"/>
                <w:color w:val="auto"/>
              </w:rPr>
              <w:t>Cannabis industry expertise</w:t>
            </w:r>
          </w:p>
        </w:tc>
        <w:tc>
          <w:tcPr>
            <w:tcW w:w="1850" w:type="dxa"/>
            <w:vAlign w:val="bottom"/>
            <w:tcBorders>
              <w:bottom w:val="single" w:sz="8" w:color="E5E5E5"/>
            </w:tcBorders>
            <w:shd w:val="clear" w:color="auto" w:fill="E5E5E5"/>
          </w:tcPr>
          <w:p>
            <w:pPr>
              <w:spacing w:after="0"/>
              <w:rPr>
                <w:sz w:val="24"/>
                <w:szCs w:val="24"/>
                <w:color w:val="auto"/>
              </w:rPr>
            </w:pPr>
          </w:p>
        </w:tc>
        <w:tc>
          <w:tcPr>
            <w:tcW w:w="107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120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106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86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112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76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62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rPr>
              <w:t>●</w:t>
            </w:r>
          </w:p>
        </w:tc>
      </w:tr>
      <w:tr>
        <w:trPr>
          <w:trHeight w:val="257"/>
        </w:trPr>
        <w:tc>
          <w:tcPr>
            <w:tcW w:w="2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Marketing and branding expertise</w:t>
            </w:r>
          </w:p>
        </w:tc>
        <w:tc>
          <w:tcPr>
            <w:tcW w:w="1850" w:type="dxa"/>
            <w:vAlign w:val="bottom"/>
          </w:tcPr>
          <w:p>
            <w:pPr>
              <w:spacing w:after="0"/>
              <w:rPr>
                <w:sz w:val="22"/>
                <w:szCs w:val="22"/>
                <w:color w:val="auto"/>
              </w:rPr>
            </w:pPr>
          </w:p>
        </w:tc>
        <w:tc>
          <w:tcPr>
            <w:tcW w:w="107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86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76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026937"/>
              </w:rPr>
              <w:t>●</w:t>
            </w:r>
          </w:p>
        </w:tc>
      </w:tr>
      <w:tr>
        <w:trPr>
          <w:trHeight w:val="40"/>
        </w:trPr>
        <w:tc>
          <w:tcPr>
            <w:tcW w:w="2700" w:type="dxa"/>
            <w:vAlign w:val="bottom"/>
          </w:tcPr>
          <w:p>
            <w:pPr>
              <w:spacing w:after="0"/>
              <w:rPr>
                <w:sz w:val="3"/>
                <w:szCs w:val="3"/>
                <w:color w:val="auto"/>
              </w:rPr>
            </w:pPr>
          </w:p>
        </w:tc>
        <w:tc>
          <w:tcPr>
            <w:tcW w:w="1850" w:type="dxa"/>
            <w:vAlign w:val="bottom"/>
          </w:tcPr>
          <w:p>
            <w:pPr>
              <w:spacing w:after="0"/>
              <w:rPr>
                <w:sz w:val="3"/>
                <w:szCs w:val="3"/>
                <w:color w:val="auto"/>
              </w:rPr>
            </w:pPr>
          </w:p>
        </w:tc>
        <w:tc>
          <w:tcPr>
            <w:tcW w:w="107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50"/>
        </w:trPr>
        <w:tc>
          <w:tcPr>
            <w:tcW w:w="2700" w:type="dxa"/>
            <w:vAlign w:val="bottom"/>
            <w:tcBorders>
              <w:bottom w:val="single" w:sz="8" w:color="E5E5E5"/>
            </w:tcBorders>
            <w:shd w:val="clear" w:color="auto" w:fill="E5E5E5"/>
          </w:tcPr>
          <w:p>
            <w:pPr>
              <w:ind w:left="40"/>
              <w:spacing w:after="0"/>
              <w:rPr>
                <w:sz w:val="20"/>
                <w:szCs w:val="20"/>
                <w:color w:val="auto"/>
              </w:rPr>
            </w:pPr>
            <w:r>
              <w:rPr>
                <w:rFonts w:ascii="Times New Roman" w:cs="Times New Roman" w:eastAsia="Times New Roman" w:hAnsi="Times New Roman"/>
                <w:sz w:val="16"/>
                <w:szCs w:val="16"/>
                <w:color w:val="auto"/>
              </w:rPr>
              <w:t>CEO experience</w:t>
            </w:r>
          </w:p>
        </w:tc>
        <w:tc>
          <w:tcPr>
            <w:tcW w:w="1850" w:type="dxa"/>
            <w:vAlign w:val="bottom"/>
            <w:tcBorders>
              <w:bottom w:val="single" w:sz="8" w:color="E5E5E5"/>
            </w:tcBorders>
            <w:shd w:val="clear" w:color="auto" w:fill="E5E5E5"/>
          </w:tcPr>
          <w:p>
            <w:pPr>
              <w:spacing w:after="0"/>
              <w:rPr>
                <w:sz w:val="21"/>
                <w:szCs w:val="21"/>
                <w:color w:val="auto"/>
              </w:rPr>
            </w:pPr>
          </w:p>
        </w:tc>
        <w:tc>
          <w:tcPr>
            <w:tcW w:w="1070" w:type="dxa"/>
            <w:vAlign w:val="bottom"/>
            <w:tcBorders>
              <w:bottom w:val="single" w:sz="8" w:color="E5E5E5"/>
            </w:tcBorders>
            <w:shd w:val="clear" w:color="auto" w:fill="E5E5E5"/>
          </w:tcPr>
          <w:p>
            <w:pPr>
              <w:spacing w:after="0"/>
              <w:rPr>
                <w:sz w:val="21"/>
                <w:szCs w:val="21"/>
                <w:color w:val="auto"/>
              </w:rPr>
            </w:pPr>
          </w:p>
        </w:tc>
        <w:tc>
          <w:tcPr>
            <w:tcW w:w="1200" w:type="dxa"/>
            <w:vAlign w:val="bottom"/>
            <w:tcBorders>
              <w:bottom w:val="single" w:sz="8" w:color="E5E5E5"/>
            </w:tcBorders>
            <w:shd w:val="clear" w:color="auto" w:fill="E5E5E5"/>
          </w:tcPr>
          <w:p>
            <w:pPr>
              <w:spacing w:after="0"/>
              <w:rPr>
                <w:sz w:val="21"/>
                <w:szCs w:val="21"/>
                <w:color w:val="auto"/>
              </w:rPr>
            </w:pPr>
          </w:p>
        </w:tc>
        <w:tc>
          <w:tcPr>
            <w:tcW w:w="1060" w:type="dxa"/>
            <w:vAlign w:val="bottom"/>
            <w:tcBorders>
              <w:bottom w:val="single" w:sz="8" w:color="E5E5E5"/>
            </w:tcBorders>
            <w:shd w:val="clear" w:color="auto" w:fill="E5E5E5"/>
          </w:tcPr>
          <w:p>
            <w:pPr>
              <w:spacing w:after="0"/>
              <w:rPr>
                <w:sz w:val="21"/>
                <w:szCs w:val="21"/>
                <w:color w:val="auto"/>
              </w:rPr>
            </w:pPr>
          </w:p>
        </w:tc>
        <w:tc>
          <w:tcPr>
            <w:tcW w:w="86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112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760" w:type="dxa"/>
            <w:vAlign w:val="bottom"/>
            <w:tcBorders>
              <w:bottom w:val="single" w:sz="8" w:color="E5E5E5"/>
            </w:tcBorders>
            <w:shd w:val="clear" w:color="auto" w:fill="E5E5E5"/>
          </w:tcPr>
          <w:p>
            <w:pPr>
              <w:spacing w:after="0"/>
              <w:rPr>
                <w:sz w:val="21"/>
                <w:szCs w:val="21"/>
                <w:color w:val="auto"/>
              </w:rPr>
            </w:pPr>
          </w:p>
        </w:tc>
        <w:tc>
          <w:tcPr>
            <w:tcW w:w="62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rPr>
              <w:t>●</w:t>
            </w:r>
          </w:p>
        </w:tc>
      </w:tr>
      <w:tr>
        <w:trPr>
          <w:trHeight w:val="234"/>
        </w:trPr>
        <w:tc>
          <w:tcPr>
            <w:tcW w:w="2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Accounting and auditing expertise</w:t>
            </w:r>
          </w:p>
        </w:tc>
        <w:tc>
          <w:tcPr>
            <w:tcW w:w="1850" w:type="dxa"/>
            <w:vAlign w:val="bottom"/>
          </w:tcPr>
          <w:p>
            <w:pPr>
              <w:spacing w:after="0"/>
              <w:rPr>
                <w:sz w:val="20"/>
                <w:szCs w:val="20"/>
                <w:color w:val="auto"/>
              </w:rPr>
            </w:pPr>
          </w:p>
        </w:tc>
        <w:tc>
          <w:tcPr>
            <w:tcW w:w="1070" w:type="dxa"/>
            <w:vAlign w:val="bottom"/>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026937"/>
              </w:rPr>
              <w:t>●</w:t>
            </w:r>
          </w:p>
        </w:tc>
      </w:tr>
      <w:tr>
        <w:trPr>
          <w:trHeight w:val="36"/>
        </w:trPr>
        <w:tc>
          <w:tcPr>
            <w:tcW w:w="2700" w:type="dxa"/>
            <w:vAlign w:val="bottom"/>
          </w:tcPr>
          <w:p>
            <w:pPr>
              <w:spacing w:after="0"/>
              <w:rPr>
                <w:sz w:val="3"/>
                <w:szCs w:val="3"/>
                <w:color w:val="auto"/>
              </w:rPr>
            </w:pPr>
          </w:p>
        </w:tc>
        <w:tc>
          <w:tcPr>
            <w:tcW w:w="1850" w:type="dxa"/>
            <w:vAlign w:val="bottom"/>
          </w:tcPr>
          <w:p>
            <w:pPr>
              <w:spacing w:after="0"/>
              <w:rPr>
                <w:sz w:val="3"/>
                <w:szCs w:val="3"/>
                <w:color w:val="auto"/>
              </w:rPr>
            </w:pPr>
          </w:p>
        </w:tc>
        <w:tc>
          <w:tcPr>
            <w:tcW w:w="107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50"/>
        </w:trPr>
        <w:tc>
          <w:tcPr>
            <w:tcW w:w="2700" w:type="dxa"/>
            <w:vAlign w:val="bottom"/>
            <w:tcBorders>
              <w:bottom w:val="single" w:sz="8" w:color="E5E5E5"/>
            </w:tcBorders>
            <w:shd w:val="clear" w:color="auto" w:fill="E5E5E5"/>
          </w:tcPr>
          <w:p>
            <w:pPr>
              <w:ind w:left="40"/>
              <w:spacing w:after="0"/>
              <w:rPr>
                <w:sz w:val="20"/>
                <w:szCs w:val="20"/>
                <w:color w:val="auto"/>
              </w:rPr>
            </w:pPr>
            <w:r>
              <w:rPr>
                <w:rFonts w:ascii="Times New Roman" w:cs="Times New Roman" w:eastAsia="Times New Roman" w:hAnsi="Times New Roman"/>
                <w:sz w:val="16"/>
                <w:szCs w:val="16"/>
                <w:color w:val="auto"/>
              </w:rPr>
              <w:t>Capital markets expertise</w:t>
            </w:r>
          </w:p>
        </w:tc>
        <w:tc>
          <w:tcPr>
            <w:tcW w:w="1850" w:type="dxa"/>
            <w:vAlign w:val="bottom"/>
            <w:tcBorders>
              <w:bottom w:val="single" w:sz="8" w:color="E5E5E5"/>
            </w:tcBorders>
            <w:shd w:val="clear" w:color="auto" w:fill="E5E5E5"/>
          </w:tcPr>
          <w:p>
            <w:pPr>
              <w:spacing w:after="0"/>
              <w:rPr>
                <w:sz w:val="21"/>
                <w:szCs w:val="21"/>
                <w:color w:val="auto"/>
              </w:rPr>
            </w:pPr>
          </w:p>
        </w:tc>
        <w:tc>
          <w:tcPr>
            <w:tcW w:w="107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120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1060" w:type="dxa"/>
            <w:vAlign w:val="bottom"/>
            <w:tcBorders>
              <w:bottom w:val="single" w:sz="8" w:color="E5E5E5"/>
            </w:tcBorders>
            <w:shd w:val="clear" w:color="auto" w:fill="E5E5E5"/>
          </w:tcPr>
          <w:p>
            <w:pPr>
              <w:spacing w:after="0"/>
              <w:rPr>
                <w:sz w:val="21"/>
                <w:szCs w:val="21"/>
                <w:color w:val="auto"/>
              </w:rPr>
            </w:pPr>
          </w:p>
        </w:tc>
        <w:tc>
          <w:tcPr>
            <w:tcW w:w="86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1120" w:type="dxa"/>
            <w:vAlign w:val="bottom"/>
            <w:tcBorders>
              <w:bottom w:val="single" w:sz="8" w:color="E5E5E5"/>
            </w:tcBorders>
            <w:shd w:val="clear" w:color="auto" w:fill="E5E5E5"/>
          </w:tcPr>
          <w:p>
            <w:pPr>
              <w:spacing w:after="0"/>
              <w:rPr>
                <w:sz w:val="21"/>
                <w:szCs w:val="21"/>
                <w:color w:val="auto"/>
              </w:rPr>
            </w:pPr>
          </w:p>
        </w:tc>
        <w:tc>
          <w:tcPr>
            <w:tcW w:w="760" w:type="dxa"/>
            <w:vAlign w:val="bottom"/>
            <w:tcBorders>
              <w:bottom w:val="single" w:sz="8" w:color="E5E5E5"/>
            </w:tcBorders>
            <w:shd w:val="clear" w:color="auto" w:fill="E5E5E5"/>
          </w:tcPr>
          <w:p>
            <w:pPr>
              <w:spacing w:after="0"/>
              <w:rPr>
                <w:sz w:val="21"/>
                <w:szCs w:val="21"/>
                <w:color w:val="auto"/>
              </w:rPr>
            </w:pPr>
          </w:p>
        </w:tc>
        <w:tc>
          <w:tcPr>
            <w:tcW w:w="62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rPr>
              <w:t>●</w:t>
            </w:r>
          </w:p>
        </w:tc>
      </w:tr>
      <w:tr>
        <w:trPr>
          <w:trHeight w:val="234"/>
        </w:trPr>
        <w:tc>
          <w:tcPr>
            <w:tcW w:w="455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Community involvement and social impact experience</w:t>
            </w:r>
          </w:p>
        </w:tc>
        <w:tc>
          <w:tcPr>
            <w:tcW w:w="1070" w:type="dxa"/>
            <w:vAlign w:val="bottom"/>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026937"/>
              </w:rPr>
              <w:t>●</w:t>
            </w:r>
          </w:p>
        </w:tc>
      </w:tr>
      <w:tr>
        <w:trPr>
          <w:trHeight w:val="36"/>
        </w:trPr>
        <w:tc>
          <w:tcPr>
            <w:tcW w:w="2700" w:type="dxa"/>
            <w:vAlign w:val="bottom"/>
          </w:tcPr>
          <w:p>
            <w:pPr>
              <w:spacing w:after="0"/>
              <w:rPr>
                <w:sz w:val="3"/>
                <w:szCs w:val="3"/>
                <w:color w:val="auto"/>
              </w:rPr>
            </w:pPr>
          </w:p>
        </w:tc>
        <w:tc>
          <w:tcPr>
            <w:tcW w:w="1850" w:type="dxa"/>
            <w:vAlign w:val="bottom"/>
          </w:tcPr>
          <w:p>
            <w:pPr>
              <w:spacing w:after="0"/>
              <w:rPr>
                <w:sz w:val="3"/>
                <w:szCs w:val="3"/>
                <w:color w:val="auto"/>
              </w:rPr>
            </w:pPr>
          </w:p>
        </w:tc>
        <w:tc>
          <w:tcPr>
            <w:tcW w:w="107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77"/>
        </w:trPr>
        <w:tc>
          <w:tcPr>
            <w:tcW w:w="2700" w:type="dxa"/>
            <w:vAlign w:val="bottom"/>
            <w:tcBorders>
              <w:bottom w:val="single" w:sz="8" w:color="E5E5E5"/>
            </w:tcBorders>
            <w:shd w:val="clear" w:color="auto" w:fill="E5E5E5"/>
          </w:tcPr>
          <w:p>
            <w:pPr>
              <w:ind w:left="40"/>
              <w:spacing w:after="0"/>
              <w:rPr>
                <w:sz w:val="20"/>
                <w:szCs w:val="20"/>
                <w:color w:val="auto"/>
              </w:rPr>
            </w:pPr>
            <w:r>
              <w:rPr>
                <w:rFonts w:ascii="Times New Roman" w:cs="Times New Roman" w:eastAsia="Times New Roman" w:hAnsi="Times New Roman"/>
                <w:sz w:val="16"/>
                <w:szCs w:val="16"/>
                <w:color w:val="auto"/>
              </w:rPr>
              <w:t>Diversity</w:t>
            </w:r>
          </w:p>
        </w:tc>
        <w:tc>
          <w:tcPr>
            <w:tcW w:w="1850" w:type="dxa"/>
            <w:vAlign w:val="bottom"/>
            <w:tcBorders>
              <w:bottom w:val="single" w:sz="8" w:color="E5E5E5"/>
            </w:tcBorders>
            <w:shd w:val="clear" w:color="auto" w:fill="E5E5E5"/>
          </w:tcPr>
          <w:p>
            <w:pPr>
              <w:spacing w:after="0"/>
              <w:rPr>
                <w:sz w:val="24"/>
                <w:szCs w:val="24"/>
                <w:color w:val="auto"/>
              </w:rPr>
            </w:pPr>
          </w:p>
        </w:tc>
        <w:tc>
          <w:tcPr>
            <w:tcW w:w="107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1200" w:type="dxa"/>
            <w:vAlign w:val="bottom"/>
            <w:tcBorders>
              <w:bottom w:val="single" w:sz="8" w:color="E5E5E5"/>
            </w:tcBorders>
            <w:shd w:val="clear" w:color="auto" w:fill="E5E5E5"/>
          </w:tcPr>
          <w:p>
            <w:pPr>
              <w:spacing w:after="0"/>
              <w:rPr>
                <w:sz w:val="24"/>
                <w:szCs w:val="24"/>
                <w:color w:val="auto"/>
              </w:rPr>
            </w:pPr>
          </w:p>
        </w:tc>
        <w:tc>
          <w:tcPr>
            <w:tcW w:w="1060" w:type="dxa"/>
            <w:vAlign w:val="bottom"/>
            <w:tcBorders>
              <w:bottom w:val="single" w:sz="8" w:color="E5E5E5"/>
            </w:tcBorders>
            <w:shd w:val="clear" w:color="auto" w:fill="E5E5E5"/>
          </w:tcPr>
          <w:p>
            <w:pPr>
              <w:spacing w:after="0"/>
              <w:rPr>
                <w:sz w:val="24"/>
                <w:szCs w:val="24"/>
                <w:color w:val="auto"/>
              </w:rPr>
            </w:pPr>
          </w:p>
        </w:tc>
        <w:tc>
          <w:tcPr>
            <w:tcW w:w="860" w:type="dxa"/>
            <w:vAlign w:val="bottom"/>
            <w:tcBorders>
              <w:bottom w:val="single" w:sz="8" w:color="E5E5E5"/>
            </w:tcBorders>
            <w:shd w:val="clear" w:color="auto" w:fill="E5E5E5"/>
          </w:tcPr>
          <w:p>
            <w:pPr>
              <w:spacing w:after="0"/>
              <w:rPr>
                <w:sz w:val="24"/>
                <w:szCs w:val="24"/>
                <w:color w:val="auto"/>
              </w:rPr>
            </w:pPr>
          </w:p>
        </w:tc>
        <w:tc>
          <w:tcPr>
            <w:tcW w:w="1120" w:type="dxa"/>
            <w:vAlign w:val="bottom"/>
            <w:tcBorders>
              <w:bottom w:val="single" w:sz="8" w:color="E5E5E5"/>
            </w:tcBorders>
            <w:shd w:val="clear" w:color="auto" w:fill="E5E5E5"/>
          </w:tcPr>
          <w:p>
            <w:pPr>
              <w:spacing w:after="0"/>
              <w:rPr>
                <w:sz w:val="24"/>
                <w:szCs w:val="24"/>
                <w:color w:val="auto"/>
              </w:rPr>
            </w:pPr>
          </w:p>
        </w:tc>
        <w:tc>
          <w:tcPr>
            <w:tcW w:w="760" w:type="dxa"/>
            <w:vAlign w:val="bottom"/>
            <w:tcBorders>
              <w:bottom w:val="single" w:sz="8" w:color="E5E5E5"/>
            </w:tcBorders>
            <w:shd w:val="clear" w:color="auto" w:fill="E5E5E5"/>
          </w:tcPr>
          <w:p>
            <w:pPr>
              <w:spacing w:after="0"/>
              <w:rPr>
                <w:sz w:val="24"/>
                <w:szCs w:val="24"/>
                <w:color w:val="auto"/>
              </w:rPr>
            </w:pPr>
          </w:p>
        </w:tc>
        <w:tc>
          <w:tcPr>
            <w:tcW w:w="62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rPr>
              <w:t>●</w:t>
            </w:r>
          </w:p>
        </w:tc>
      </w:tr>
      <w:tr>
        <w:trPr>
          <w:trHeight w:val="234"/>
        </w:trPr>
        <w:tc>
          <w:tcPr>
            <w:tcW w:w="2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High-growth company expertise</w:t>
            </w:r>
          </w:p>
        </w:tc>
        <w:tc>
          <w:tcPr>
            <w:tcW w:w="1850" w:type="dxa"/>
            <w:vAlign w:val="bottom"/>
          </w:tcPr>
          <w:p>
            <w:pPr>
              <w:spacing w:after="0"/>
              <w:rPr>
                <w:sz w:val="20"/>
                <w:szCs w:val="20"/>
                <w:color w:val="auto"/>
              </w:rPr>
            </w:pPr>
          </w:p>
        </w:tc>
        <w:tc>
          <w:tcPr>
            <w:tcW w:w="107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26937"/>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026937"/>
              </w:rPr>
              <w:t>●</w:t>
            </w:r>
          </w:p>
        </w:tc>
      </w:tr>
      <w:tr>
        <w:trPr>
          <w:trHeight w:val="36"/>
        </w:trPr>
        <w:tc>
          <w:tcPr>
            <w:tcW w:w="2700" w:type="dxa"/>
            <w:vAlign w:val="bottom"/>
          </w:tcPr>
          <w:p>
            <w:pPr>
              <w:spacing w:after="0"/>
              <w:rPr>
                <w:sz w:val="3"/>
                <w:szCs w:val="3"/>
                <w:color w:val="auto"/>
              </w:rPr>
            </w:pPr>
          </w:p>
        </w:tc>
        <w:tc>
          <w:tcPr>
            <w:tcW w:w="1850" w:type="dxa"/>
            <w:vAlign w:val="bottom"/>
          </w:tcPr>
          <w:p>
            <w:pPr>
              <w:spacing w:after="0"/>
              <w:rPr>
                <w:sz w:val="3"/>
                <w:szCs w:val="3"/>
                <w:color w:val="auto"/>
              </w:rPr>
            </w:pPr>
          </w:p>
        </w:tc>
        <w:tc>
          <w:tcPr>
            <w:tcW w:w="107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77"/>
        </w:trPr>
        <w:tc>
          <w:tcPr>
            <w:tcW w:w="2700" w:type="dxa"/>
            <w:vAlign w:val="bottom"/>
            <w:tcBorders>
              <w:bottom w:val="single" w:sz="8" w:color="E5E5E5"/>
            </w:tcBorders>
            <w:shd w:val="clear" w:color="auto" w:fill="E5E5E5"/>
          </w:tcPr>
          <w:p>
            <w:pPr>
              <w:ind w:left="40"/>
              <w:spacing w:after="0"/>
              <w:rPr>
                <w:sz w:val="20"/>
                <w:szCs w:val="20"/>
                <w:color w:val="auto"/>
              </w:rPr>
            </w:pPr>
            <w:r>
              <w:rPr>
                <w:rFonts w:ascii="Times New Roman" w:cs="Times New Roman" w:eastAsia="Times New Roman" w:hAnsi="Times New Roman"/>
                <w:sz w:val="16"/>
                <w:szCs w:val="16"/>
                <w:color w:val="auto"/>
              </w:rPr>
              <w:t>Drug policy expertise</w:t>
            </w:r>
          </w:p>
        </w:tc>
        <w:tc>
          <w:tcPr>
            <w:tcW w:w="1850" w:type="dxa"/>
            <w:vAlign w:val="bottom"/>
            <w:tcBorders>
              <w:bottom w:val="single" w:sz="8" w:color="E5E5E5"/>
            </w:tcBorders>
            <w:shd w:val="clear" w:color="auto" w:fill="E5E5E5"/>
          </w:tcPr>
          <w:p>
            <w:pPr>
              <w:spacing w:after="0"/>
              <w:rPr>
                <w:sz w:val="24"/>
                <w:szCs w:val="24"/>
                <w:color w:val="auto"/>
              </w:rPr>
            </w:pPr>
          </w:p>
        </w:tc>
        <w:tc>
          <w:tcPr>
            <w:tcW w:w="1070" w:type="dxa"/>
            <w:vAlign w:val="bottom"/>
            <w:tcBorders>
              <w:bottom w:val="single" w:sz="8" w:color="E5E5E5"/>
            </w:tcBorders>
            <w:shd w:val="clear" w:color="auto" w:fill="E5E5E5"/>
          </w:tcPr>
          <w:p>
            <w:pPr>
              <w:spacing w:after="0"/>
              <w:rPr>
                <w:sz w:val="24"/>
                <w:szCs w:val="24"/>
                <w:color w:val="auto"/>
              </w:rPr>
            </w:pPr>
          </w:p>
        </w:tc>
        <w:tc>
          <w:tcPr>
            <w:tcW w:w="1200" w:type="dxa"/>
            <w:vAlign w:val="bottom"/>
            <w:tcBorders>
              <w:bottom w:val="single" w:sz="8" w:color="E5E5E5"/>
            </w:tcBorders>
            <w:shd w:val="clear" w:color="auto" w:fill="E5E5E5"/>
          </w:tcPr>
          <w:p>
            <w:pPr>
              <w:spacing w:after="0"/>
              <w:rPr>
                <w:sz w:val="24"/>
                <w:szCs w:val="24"/>
                <w:color w:val="auto"/>
              </w:rPr>
            </w:pPr>
          </w:p>
        </w:tc>
        <w:tc>
          <w:tcPr>
            <w:tcW w:w="1060" w:type="dxa"/>
            <w:vAlign w:val="bottom"/>
            <w:tcBorders>
              <w:bottom w:val="single" w:sz="8" w:color="E5E5E5"/>
            </w:tcBorders>
            <w:shd w:val="clear" w:color="auto" w:fill="E5E5E5"/>
          </w:tcPr>
          <w:p>
            <w:pPr>
              <w:spacing w:after="0"/>
              <w:rPr>
                <w:sz w:val="24"/>
                <w:szCs w:val="24"/>
                <w:color w:val="auto"/>
              </w:rPr>
            </w:pPr>
          </w:p>
        </w:tc>
        <w:tc>
          <w:tcPr>
            <w:tcW w:w="860" w:type="dxa"/>
            <w:vAlign w:val="bottom"/>
            <w:tcBorders>
              <w:bottom w:val="single" w:sz="8" w:color="E5E5E5"/>
            </w:tcBorders>
            <w:shd w:val="clear" w:color="auto" w:fill="E5E5E5"/>
          </w:tcPr>
          <w:p>
            <w:pPr>
              <w:spacing w:after="0"/>
              <w:rPr>
                <w:sz w:val="24"/>
                <w:szCs w:val="24"/>
                <w:color w:val="auto"/>
              </w:rPr>
            </w:pPr>
          </w:p>
        </w:tc>
        <w:tc>
          <w:tcPr>
            <w:tcW w:w="112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8"/>
                <w:szCs w:val="18"/>
                <w:color w:val="026937"/>
                <w:w w:val="91"/>
              </w:rPr>
              <w:t>●</w:t>
            </w:r>
          </w:p>
        </w:tc>
        <w:tc>
          <w:tcPr>
            <w:tcW w:w="760" w:type="dxa"/>
            <w:vAlign w:val="bottom"/>
            <w:tcBorders>
              <w:bottom w:val="single" w:sz="8" w:color="E5E5E5"/>
            </w:tcBorders>
            <w:shd w:val="clear" w:color="auto" w:fill="E5E5E5"/>
          </w:tcPr>
          <w:p>
            <w:pPr>
              <w:spacing w:after="0"/>
              <w:rPr>
                <w:sz w:val="24"/>
                <w:szCs w:val="24"/>
                <w:color w:val="auto"/>
              </w:rPr>
            </w:pPr>
          </w:p>
        </w:tc>
        <w:tc>
          <w:tcPr>
            <w:tcW w:w="620" w:type="dxa"/>
            <w:vAlign w:val="bottom"/>
            <w:tcBorders>
              <w:bottom w:val="single" w:sz="8" w:color="E5E5E5"/>
            </w:tcBorders>
            <w:shd w:val="clear" w:color="auto" w:fill="E5E5E5"/>
          </w:tcPr>
          <w:p>
            <w:pPr>
              <w:spacing w:after="0"/>
              <w:rPr>
                <w:sz w:val="24"/>
                <w:szCs w:val="24"/>
                <w:color w:val="auto"/>
              </w:rPr>
            </w:pPr>
          </w:p>
        </w:tc>
      </w:tr>
      <w:tr>
        <w:trPr>
          <w:trHeight w:val="441"/>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Dawn Wilson Barnes</w:t>
            </w:r>
          </w:p>
        </w:tc>
        <w:tc>
          <w:tcPr>
            <w:tcW w:w="85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Dawn Wilson Barnes has served as a Director since January 2023. Since April 2004, Ms. Barnes has served as the</w:t>
            </w:r>
          </w:p>
        </w:tc>
      </w:tr>
      <w:tr>
        <w:trPr>
          <w:trHeight w:val="216"/>
        </w:trPr>
        <w:tc>
          <w:tcPr>
            <w:tcW w:w="2700" w:type="dxa"/>
            <w:vAlign w:val="bottom"/>
          </w:tcPr>
          <w:p>
            <w:pPr>
              <w:spacing w:after="0"/>
              <w:rPr>
                <w:sz w:val="18"/>
                <w:szCs w:val="18"/>
                <w:color w:val="auto"/>
              </w:rPr>
            </w:pPr>
          </w:p>
        </w:tc>
        <w:tc>
          <w:tcPr>
            <w:tcW w:w="85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President and Founder of Aurora Bay Capital, an Atlanta-based financial services firm that provides institutional</w:t>
            </w:r>
          </w:p>
        </w:tc>
      </w:tr>
      <w:tr>
        <w:trPr>
          <w:trHeight w:val="216"/>
        </w:trPr>
        <w:tc>
          <w:tcPr>
            <w:tcW w:w="2700" w:type="dxa"/>
            <w:vAlign w:val="bottom"/>
          </w:tcPr>
          <w:p>
            <w:pPr>
              <w:spacing w:after="0"/>
              <w:rPr>
                <w:sz w:val="18"/>
                <w:szCs w:val="18"/>
                <w:color w:val="auto"/>
              </w:rPr>
            </w:pPr>
          </w:p>
        </w:tc>
        <w:tc>
          <w:tcPr>
            <w:tcW w:w="85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marketing and consulting services to firms seeking growth capital. Ms. Barnes began her financial services career at</w:t>
            </w:r>
          </w:p>
        </w:tc>
      </w:tr>
      <w:tr>
        <w:trPr>
          <w:trHeight w:val="234"/>
        </w:trPr>
        <w:tc>
          <w:tcPr>
            <w:tcW w:w="2700" w:type="dxa"/>
            <w:vAlign w:val="bottom"/>
          </w:tcPr>
          <w:p>
            <w:pPr>
              <w:spacing w:after="0"/>
              <w:rPr>
                <w:sz w:val="20"/>
                <w:szCs w:val="20"/>
                <w:color w:val="auto"/>
              </w:rPr>
            </w:pPr>
          </w:p>
        </w:tc>
        <w:tc>
          <w:tcPr>
            <w:tcW w:w="85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J.P. Morgan Securities, Inc. in Private Finance and the Equities Division. She later transitioned to Goldman Sachs &amp;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942975" cy="942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ind w:left="2740" w:right="60"/>
        <w:spacing w:after="0" w:line="251" w:lineRule="auto"/>
        <w:rPr>
          <w:sz w:val="20"/>
          <w:szCs w:val="20"/>
          <w:color w:val="auto"/>
        </w:rPr>
      </w:pPr>
      <w:r>
        <w:rPr>
          <w:rFonts w:ascii="Times New Roman" w:cs="Times New Roman" w:eastAsia="Times New Roman" w:hAnsi="Times New Roman"/>
          <w:sz w:val="18"/>
          <w:szCs w:val="18"/>
          <w:color w:val="auto"/>
        </w:rPr>
        <w:t>Co. as Vice President in the Investment Management Division where she managed $2 billion in multi-asset class investment portfolios in the firm’s Private Wealth Management Group. She began her professional career in the Corporate Financial Audit Department of Honeywell, Inc. performing financial and operational audits of Honeywell divisions and subsidiaries across the U.S. and Europe. While in this role, Ms. Barnes also sat for and passed the Uniform CPA Examination in the State of Minnesota. Ms. Barnes graduated from The University of Michigan with a BBA in Accounting and earned her MBA in Finance and Entrepreneurial Management from The Wharton School of the University of Pennsylvania. She holds Series 7, 63, 66, 79 and 50 registrations and is a Registered Representative of Young America Capital, LLC.</w:t>
      </w:r>
    </w:p>
    <w:p>
      <w:pPr>
        <w:spacing w:after="0" w:line="84" w:lineRule="exact"/>
        <w:rPr>
          <w:sz w:val="20"/>
          <w:szCs w:val="20"/>
          <w:color w:val="auto"/>
        </w:rPr>
      </w:pPr>
    </w:p>
    <w:p>
      <w:pPr>
        <w:ind w:left="2740" w:right="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Key experience, qualifications, attributes and skills: </w:t>
      </w:r>
      <w:r>
        <w:rPr>
          <w:rFonts w:ascii="Times New Roman" w:cs="Times New Roman" w:eastAsia="Times New Roman" w:hAnsi="Times New Roman"/>
          <w:sz w:val="18"/>
          <w:szCs w:val="18"/>
          <w:color w:val="auto"/>
        </w:rPr>
        <w:t>Ms. Barnes’ specific qualifications, experience, skills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expertise include:</w:t>
      </w:r>
    </w:p>
    <w:p>
      <w:pPr>
        <w:sectPr>
          <w:pgSz w:w="11900" w:h="16838" w:orient="portrait"/>
          <w:cols w:equalWidth="0" w:num="1">
            <w:col w:w="11240"/>
          </w:cols>
          <w:pgMar w:left="320" w:top="954" w:right="339" w:bottom="1440" w:gutter="0" w:footer="0" w:header="0"/>
        </w:sectPr>
      </w:pPr>
    </w:p>
    <w:p>
      <w:pPr>
        <w:spacing w:after="0" w:line="12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3360"/>
        <w:spacing w:after="0" w:line="386" w:lineRule="auto"/>
        <w:rPr>
          <w:sz w:val="20"/>
          <w:szCs w:val="20"/>
          <w:color w:val="auto"/>
        </w:rPr>
      </w:pPr>
      <w:r>
        <w:rPr>
          <w:rFonts w:ascii="Times New Roman" w:cs="Times New Roman" w:eastAsia="Times New Roman" w:hAnsi="Times New Roman"/>
          <w:sz w:val="18"/>
          <w:szCs w:val="18"/>
          <w:color w:val="auto"/>
        </w:rPr>
        <w:t>Core business skills, including financial and strategic planning; Operating and management experience; Audit and accounting expertise; and Finance and financial reporting expertise.</w:t>
      </w:r>
    </w:p>
    <w:p>
      <w:pPr>
        <w:spacing w:after="0" w:line="200" w:lineRule="exact"/>
        <w:rPr>
          <w:sz w:val="20"/>
          <w:szCs w:val="20"/>
          <w:color w:val="auto"/>
        </w:rPr>
      </w:pPr>
    </w:p>
    <w:p>
      <w:pPr>
        <w:sectPr>
          <w:pgSz w:w="11900" w:h="16838" w:orient="portrait"/>
          <w:cols w:equalWidth="0" w:num="2">
            <w:col w:w="3060" w:space="260"/>
            <w:col w:w="7920"/>
          </w:cols>
          <w:pgMar w:left="320" w:top="954" w:right="339" w:bottom="1440" w:gutter="0" w:footer="0" w:header="0"/>
          <w:type w:val="continuous"/>
        </w:sectPr>
      </w:pP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type w:val="continuous"/>
        </w:sectPr>
      </w:pPr>
    </w:p>
    <w:bookmarkStart w:id="20" w:name="page21"/>
    <w:bookmarkEnd w:id="20"/>
    <w:p>
      <w:pPr>
        <w:spacing w:after="0"/>
        <w:tabs>
          <w:tab w:leader="none" w:pos="2800" w:val="left"/>
        </w:tabs>
        <w:rPr>
          <w:sz w:val="20"/>
          <w:szCs w:val="20"/>
          <w:color w:val="auto"/>
        </w:rPr>
      </w:pPr>
      <w:r>
        <w:rPr>
          <w:rFonts w:ascii="Times New Roman" w:cs="Times New Roman" w:eastAsia="Times New Roman" w:hAnsi="Times New Roman"/>
          <w:sz w:val="18"/>
          <w:szCs w:val="18"/>
          <w:b w:val="1"/>
          <w:bCs w:val="1"/>
          <w:i w:val="1"/>
          <w:iCs w:val="1"/>
          <w:color w:val="auto"/>
        </w:rPr>
        <w:t>Anthony Georgiadis</w:t>
      </w:r>
      <w:r>
        <w:rPr>
          <w:sz w:val="20"/>
          <w:szCs w:val="20"/>
          <w:color w:val="auto"/>
        </w:rPr>
        <w:tab/>
      </w:r>
      <w:r>
        <w:rPr>
          <w:rFonts w:ascii="Times New Roman" w:cs="Times New Roman" w:eastAsia="Times New Roman" w:hAnsi="Times New Roman"/>
          <w:sz w:val="17"/>
          <w:szCs w:val="17"/>
          <w:color w:val="auto"/>
        </w:rPr>
        <w:t>Anthony Georgiadis has served on our Board since January 2017. He assumed the role of President as of January 1,</w:t>
      </w:r>
    </w:p>
    <w:p>
      <w:pPr>
        <w:spacing w:after="0" w:line="31" w:lineRule="exact"/>
        <w:rPr>
          <w:sz w:val="20"/>
          <w:szCs w:val="20"/>
          <w:color w:val="auto"/>
        </w:rPr>
      </w:pPr>
    </w:p>
    <w:p>
      <w:pPr>
        <w:ind w:left="2820"/>
        <w:spacing w:after="0" w:line="251" w:lineRule="auto"/>
        <w:rPr>
          <w:sz w:val="20"/>
          <w:szCs w:val="20"/>
          <w:color w:val="auto"/>
        </w:rPr>
      </w:pPr>
      <w:r>
        <w:rPr>
          <w:rFonts w:ascii="Times New Roman" w:cs="Times New Roman" w:eastAsia="Times New Roman" w:hAnsi="Times New Roman"/>
          <w:sz w:val="18"/>
          <w:szCs w:val="18"/>
          <w:color w:val="auto"/>
        </w:rPr>
        <w:t xml:space="preserve">2023, after joining us in May 2015 as a managing partner and then holding the role of Chief Financial Officer from January 2017 until becoming President. In 2005, Anthony co-founded and, until he joined our Company, acted as Chief Operating Officer of Wendover Art Group, one of the largest domestic wall decor manufacturers in North America. Previously, he worked as an investment associate for CIVC Partners, a $1.5 billion private equity firm, and as a mergers and acquisitions analyst for Bowles Hollowell Conner &amp; Co. Anthony is an avid supporter of Students for Sensible Drug Policy, the Drug Policy Alliance, the Marijuana Policy Project and the Special Operations Warriors Foundation. Anthony graduated </w:t>
      </w:r>
      <w:r>
        <w:rPr>
          <w:rFonts w:ascii="Times New Roman" w:cs="Times New Roman" w:eastAsia="Times New Roman" w:hAnsi="Times New Roman"/>
          <w:sz w:val="18"/>
          <w:szCs w:val="18"/>
          <w:i w:val="1"/>
          <w:iCs w:val="1"/>
          <w:color w:val="auto"/>
        </w:rPr>
        <w:t>magna cum laude</w:t>
      </w:r>
      <w:r>
        <w:rPr>
          <w:rFonts w:ascii="Times New Roman" w:cs="Times New Roman" w:eastAsia="Times New Roman" w:hAnsi="Times New Roman"/>
          <w:sz w:val="18"/>
          <w:szCs w:val="18"/>
          <w:color w:val="auto"/>
        </w:rPr>
        <w:t xml:space="preserve"> from Bucknell University with a degree in finance and a minor in mathematics.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-944880</wp:posOffset>
            </wp:positionV>
            <wp:extent cx="942975" cy="942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64" w:lineRule="exact"/>
        <w:rPr>
          <w:sz w:val="20"/>
          <w:szCs w:val="20"/>
          <w:color w:val="auto"/>
        </w:rPr>
      </w:pPr>
    </w:p>
    <w:p>
      <w:pPr>
        <w:ind w:left="2820"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Key experience, qualifications, attributes and skills: </w:t>
      </w:r>
      <w:r>
        <w:rPr>
          <w:rFonts w:ascii="Times New Roman" w:cs="Times New Roman" w:eastAsia="Times New Roman" w:hAnsi="Times New Roman"/>
          <w:sz w:val="18"/>
          <w:szCs w:val="18"/>
          <w:color w:val="auto"/>
        </w:rPr>
        <w:t>Mr. Georgiadis’ specific qualifications, experience, skills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expertise include:</w:t>
      </w:r>
    </w:p>
    <w:p>
      <w:pPr>
        <w:sectPr>
          <w:pgSz w:w="11900" w:h="16838" w:orient="portrait"/>
          <w:cols w:equalWidth="0" w:num="1">
            <w:col w:w="11240"/>
          </w:cols>
          <w:pgMar w:left="320" w:top="968" w:right="339" w:bottom="1440" w:gutter="0" w:footer="0" w:header="0"/>
        </w:sectPr>
      </w:pPr>
    </w:p>
    <w:p>
      <w:pPr>
        <w:spacing w:after="0" w:line="12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Core business skills, including financial and strategic planning;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and management experience;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deep understanding of the cannabis industry; 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financial reporting and analysis expertise.</w:t>
      </w:r>
    </w:p>
    <w:p>
      <w:pPr>
        <w:spacing w:after="0" w:line="127" w:lineRule="exact"/>
        <w:rPr>
          <w:sz w:val="20"/>
          <w:szCs w:val="20"/>
          <w:color w:val="auto"/>
        </w:rPr>
      </w:pPr>
    </w:p>
    <w:p>
      <w:pPr>
        <w:sectPr>
          <w:pgSz w:w="11900" w:h="16838" w:orient="portrait"/>
          <w:cols w:equalWidth="0" w:num="2">
            <w:col w:w="3140" w:space="260"/>
            <w:col w:w="7840"/>
          </w:cols>
          <w:pgMar w:left="320" w:top="968" w:right="339" w:bottom="1440" w:gutter="0" w:footer="0" w:header="0"/>
          <w:type w:val="continuous"/>
        </w:sectPr>
      </w:pPr>
    </w:p>
    <w:p>
      <w:pPr>
        <w:spacing w:after="0"/>
        <w:tabs>
          <w:tab w:leader="none" w:pos="2780" w:val="left"/>
        </w:tabs>
        <w:rPr>
          <w:sz w:val="20"/>
          <w:szCs w:val="20"/>
          <w:color w:val="auto"/>
        </w:rPr>
      </w:pPr>
      <w:r>
        <w:rPr>
          <w:rFonts w:ascii="Times New Roman" w:cs="Times New Roman" w:eastAsia="Times New Roman" w:hAnsi="Times New Roman"/>
          <w:sz w:val="18"/>
          <w:szCs w:val="18"/>
          <w:b w:val="1"/>
          <w:bCs w:val="1"/>
          <w:i w:val="1"/>
          <w:iCs w:val="1"/>
          <w:color w:val="auto"/>
        </w:rPr>
        <w:t>Jeffrey Goldman</w:t>
      </w:r>
      <w:r>
        <w:rPr>
          <w:sz w:val="20"/>
          <w:szCs w:val="20"/>
          <w:color w:val="auto"/>
        </w:rPr>
        <w:tab/>
      </w:r>
      <w:r>
        <w:rPr>
          <w:rFonts w:ascii="Times New Roman" w:cs="Times New Roman" w:eastAsia="Times New Roman" w:hAnsi="Times New Roman"/>
          <w:sz w:val="17"/>
          <w:szCs w:val="17"/>
          <w:color w:val="auto"/>
        </w:rPr>
        <w:t>Jeffrey Goldman joined Green Thumb as a Director in October 2022. Since October 1998, Mr. Goldman has served</w:t>
      </w:r>
    </w:p>
    <w:p>
      <w:pPr>
        <w:spacing w:after="0" w:line="31" w:lineRule="exact"/>
        <w:rPr>
          <w:sz w:val="20"/>
          <w:szCs w:val="20"/>
          <w:color w:val="auto"/>
        </w:rPr>
      </w:pPr>
    </w:p>
    <w:p>
      <w:pPr>
        <w:ind w:left="2800" w:right="20"/>
        <w:spacing w:after="0" w:line="251" w:lineRule="auto"/>
        <w:rPr>
          <w:sz w:val="20"/>
          <w:szCs w:val="20"/>
          <w:color w:val="auto"/>
        </w:rPr>
      </w:pPr>
      <w:r>
        <w:rPr>
          <w:rFonts w:ascii="Times New Roman" w:cs="Times New Roman" w:eastAsia="Times New Roman" w:hAnsi="Times New Roman"/>
          <w:sz w:val="18"/>
          <w:szCs w:val="18"/>
          <w:color w:val="auto"/>
        </w:rPr>
        <w:t>as Vice President of Carol’s Cookies, Inc., a family-owned business founded in 1979 by his mother, where he has delivered double-digit growth annually by successfully partnering with Fortune 500 companies such as Whole Foods Market, Sprouts and Sysco Foodservice. In addition to his leadership role with Carol’s Cookies, from 1999 until 2018, Mr. Goldman served as Vice President of Reed-Union Corporation, the former owner and marketer of top selling automotive appearance products, which he left after orchestrating the sale of its brands to Energizer Holdings. At Reed-Union, he led domestic as well as international sales, helping to make its Nu Finish brand the top-selling brand in its category in the U.S., Canada and Australia. Mr. Goldman also serves as an active member of the board of directors of the Gastrointestinal Research Foundation and of the Judd Goldman Adaptive Sailing Program, which annually helps teach 1,000 people with disabilities how to sail on the open waters of Lake Michigan. He graduated summa cum laude from Tulane University with a degree in Psychology.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-1219835</wp:posOffset>
            </wp:positionV>
            <wp:extent cx="942975" cy="942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63" w:lineRule="exact"/>
        <w:rPr>
          <w:sz w:val="20"/>
          <w:szCs w:val="20"/>
          <w:color w:val="auto"/>
        </w:rPr>
      </w:pPr>
    </w:p>
    <w:p>
      <w:pPr>
        <w:ind w:left="2800"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Key experience, qualifications, attributes and skills: </w:t>
      </w:r>
      <w:r>
        <w:rPr>
          <w:rFonts w:ascii="Times New Roman" w:cs="Times New Roman" w:eastAsia="Times New Roman" w:hAnsi="Times New Roman"/>
          <w:sz w:val="18"/>
          <w:szCs w:val="18"/>
          <w:color w:val="auto"/>
        </w:rPr>
        <w:t>Mr. Goldman’s specific qualifications, experience, skills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expertise include:</w:t>
      </w:r>
    </w:p>
    <w:p>
      <w:pPr>
        <w:sectPr>
          <w:pgSz w:w="11900" w:h="16838" w:orient="portrait"/>
          <w:cols w:equalWidth="0" w:num="1">
            <w:col w:w="11240"/>
          </w:cols>
          <w:pgMar w:left="320" w:top="968" w:right="339" w:bottom="1440" w:gutter="0" w:footer="0" w:header="0"/>
          <w:type w:val="continuous"/>
        </w:sectPr>
      </w:pPr>
    </w:p>
    <w:p>
      <w:pPr>
        <w:spacing w:after="0" w:line="1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2860" w:firstLine="27"/>
        <w:spacing w:after="0" w:line="378" w:lineRule="auto"/>
        <w:rPr>
          <w:sz w:val="20"/>
          <w:szCs w:val="20"/>
          <w:color w:val="auto"/>
        </w:rPr>
      </w:pPr>
      <w:r>
        <w:rPr>
          <w:rFonts w:ascii="Times New Roman" w:cs="Times New Roman" w:eastAsia="Times New Roman" w:hAnsi="Times New Roman"/>
          <w:sz w:val="18"/>
          <w:szCs w:val="18"/>
          <w:color w:val="auto"/>
        </w:rPr>
        <w:t>Core business skills, including financial and strategic planning; Marketing expertise and a deep understanding of brand development; Operating and management experience; and Finance, financial reporting and analysis expertise.</w:t>
      </w:r>
    </w:p>
    <w:p>
      <w:pPr>
        <w:spacing w:after="0" w:line="1" w:lineRule="exact"/>
        <w:rPr>
          <w:sz w:val="20"/>
          <w:szCs w:val="20"/>
          <w:color w:val="auto"/>
        </w:rPr>
      </w:pPr>
    </w:p>
    <w:p>
      <w:pPr>
        <w:sectPr>
          <w:pgSz w:w="11900" w:h="16838" w:orient="portrait"/>
          <w:cols w:equalWidth="0" w:num="2">
            <w:col w:w="3120" w:space="240"/>
            <w:col w:w="7880"/>
          </w:cols>
          <w:pgMar w:left="320" w:top="968"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Benjamin Kovler</w:t>
            </w:r>
          </w:p>
        </w:tc>
        <w:tc>
          <w:tcPr>
            <w:tcW w:w="9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Benjamin Kovler founded Green Thumb Industries Inc. in 2014. He has been Chairman since 2014 and Chief</w:t>
            </w:r>
          </w:p>
        </w:tc>
      </w:tr>
      <w:tr>
        <w:trPr>
          <w:trHeight w:val="216"/>
        </w:trPr>
        <w:tc>
          <w:tcPr>
            <w:tcW w:w="2040" w:type="dxa"/>
            <w:vAlign w:val="bottom"/>
          </w:tcPr>
          <w:p>
            <w:pPr>
              <w:spacing w:after="0"/>
              <w:rPr>
                <w:sz w:val="18"/>
                <w:szCs w:val="18"/>
                <w:color w:val="auto"/>
              </w:rPr>
            </w:pPr>
          </w:p>
        </w:tc>
        <w:tc>
          <w:tcPr>
            <w:tcW w:w="9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Executive Officer from 2014 through year-end 2017 and since August 2018. As of November 5, 2024, Mr. Kovler</w:t>
            </w:r>
          </w:p>
        </w:tc>
      </w:tr>
      <w:tr>
        <w:trPr>
          <w:trHeight w:val="216"/>
        </w:trPr>
        <w:tc>
          <w:tcPr>
            <w:tcW w:w="2040" w:type="dxa"/>
            <w:vAlign w:val="bottom"/>
          </w:tcPr>
          <w:p>
            <w:pPr>
              <w:spacing w:after="0"/>
              <w:rPr>
                <w:sz w:val="18"/>
                <w:szCs w:val="18"/>
                <w:color w:val="auto"/>
              </w:rPr>
            </w:pPr>
          </w:p>
        </w:tc>
        <w:tc>
          <w:tcPr>
            <w:tcW w:w="9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also serves as Interim CEO and Chairman of RYTHM, Inc. (formerly Agrify Corporation). In his capacity as Interim</w:t>
            </w:r>
          </w:p>
        </w:tc>
      </w:tr>
      <w:tr>
        <w:trPr>
          <w:trHeight w:val="216"/>
        </w:trPr>
        <w:tc>
          <w:tcPr>
            <w:tcW w:w="2040" w:type="dxa"/>
            <w:vAlign w:val="bottom"/>
          </w:tcPr>
          <w:p>
            <w:pPr>
              <w:spacing w:after="0"/>
              <w:rPr>
                <w:sz w:val="18"/>
                <w:szCs w:val="18"/>
                <w:color w:val="auto"/>
              </w:rPr>
            </w:pPr>
          </w:p>
        </w:tc>
        <w:tc>
          <w:tcPr>
            <w:tcW w:w="9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CEO, he also serves as principal executive, and until March 24, 2025, as chief financial and accounting officer. Mr,</w:t>
            </w:r>
          </w:p>
        </w:tc>
      </w:tr>
      <w:tr>
        <w:trPr>
          <w:trHeight w:val="216"/>
        </w:trPr>
        <w:tc>
          <w:tcPr>
            <w:tcW w:w="2040" w:type="dxa"/>
            <w:vAlign w:val="bottom"/>
          </w:tcPr>
          <w:p>
            <w:pPr>
              <w:spacing w:after="0"/>
              <w:rPr>
                <w:sz w:val="18"/>
                <w:szCs w:val="18"/>
                <w:color w:val="auto"/>
              </w:rPr>
            </w:pPr>
          </w:p>
        </w:tc>
        <w:tc>
          <w:tcPr>
            <w:tcW w:w="9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Kovler is frequently featured as a cannabis industry thought leader in media outlets such as Bloomberg, Barron’s,</w:t>
            </w:r>
          </w:p>
        </w:tc>
      </w:tr>
      <w:tr>
        <w:trPr>
          <w:trHeight w:val="216"/>
        </w:trPr>
        <w:tc>
          <w:tcPr>
            <w:tcW w:w="2040" w:type="dxa"/>
            <w:vAlign w:val="bottom"/>
          </w:tcPr>
          <w:p>
            <w:pPr>
              <w:spacing w:after="0"/>
              <w:rPr>
                <w:sz w:val="18"/>
                <w:szCs w:val="18"/>
                <w:color w:val="auto"/>
              </w:rPr>
            </w:pPr>
          </w:p>
        </w:tc>
        <w:tc>
          <w:tcPr>
            <w:tcW w:w="9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Business Insider, CNBC and Forbes. He previously served on the boards of directors of Springbig, Inc., a cannabis</w:t>
            </w:r>
          </w:p>
        </w:tc>
      </w:tr>
      <w:tr>
        <w:trPr>
          <w:trHeight w:val="216"/>
        </w:trPr>
        <w:tc>
          <w:tcPr>
            <w:tcW w:w="2040" w:type="dxa"/>
            <w:vAlign w:val="bottom"/>
          </w:tcPr>
          <w:p>
            <w:pPr>
              <w:spacing w:after="0"/>
              <w:rPr>
                <w:sz w:val="18"/>
                <w:szCs w:val="18"/>
                <w:color w:val="auto"/>
              </w:rPr>
            </w:pPr>
          </w:p>
        </w:tc>
        <w:tc>
          <w:tcPr>
            <w:tcW w:w="9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marketing platform from January 2018 until December 2022, and The Cann + Botl Company, a privately held</w:t>
            </w:r>
          </w:p>
        </w:tc>
      </w:tr>
      <w:tr>
        <w:trPr>
          <w:trHeight w:val="216"/>
        </w:trPr>
        <w:tc>
          <w:tcPr>
            <w:tcW w:w="2040" w:type="dxa"/>
            <w:vAlign w:val="bottom"/>
          </w:tcPr>
          <w:p>
            <w:pPr>
              <w:spacing w:after="0"/>
              <w:rPr>
                <w:sz w:val="18"/>
                <w:szCs w:val="18"/>
                <w:color w:val="auto"/>
              </w:rPr>
            </w:pPr>
          </w:p>
        </w:tc>
        <w:tc>
          <w:tcPr>
            <w:tcW w:w="9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cannabis-infused beverage company, from December 2020 to December 2022. He is also co-founder of Invest For</w:t>
            </w:r>
          </w:p>
        </w:tc>
      </w:tr>
      <w:tr>
        <w:trPr>
          <w:trHeight w:val="216"/>
        </w:trPr>
        <w:tc>
          <w:tcPr>
            <w:tcW w:w="2040" w:type="dxa"/>
            <w:vAlign w:val="bottom"/>
          </w:tcPr>
          <w:p>
            <w:pPr>
              <w:spacing w:after="0"/>
              <w:rPr>
                <w:sz w:val="18"/>
                <w:szCs w:val="18"/>
                <w:color w:val="auto"/>
              </w:rPr>
            </w:pPr>
          </w:p>
        </w:tc>
        <w:tc>
          <w:tcPr>
            <w:tcW w:w="9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Kids, a not-for-profit organization that hosts an annual investment ideas conference to benefit underserved young</w:t>
            </w:r>
          </w:p>
        </w:tc>
      </w:tr>
      <w:tr>
        <w:trPr>
          <w:trHeight w:val="216"/>
        </w:trPr>
        <w:tc>
          <w:tcPr>
            <w:tcW w:w="2040" w:type="dxa"/>
            <w:vAlign w:val="bottom"/>
          </w:tcPr>
          <w:p>
            <w:pPr>
              <w:spacing w:after="0"/>
              <w:rPr>
                <w:sz w:val="18"/>
                <w:szCs w:val="18"/>
                <w:color w:val="auto"/>
              </w:rPr>
            </w:pPr>
          </w:p>
        </w:tc>
        <w:tc>
          <w:tcPr>
            <w:tcW w:w="9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people in Chicago. Founded in 2009, Invest For Kids has raised nearly $25 million, 100% of which has supported</w:t>
            </w:r>
          </w:p>
        </w:tc>
      </w:tr>
      <w:tr>
        <w:trPr>
          <w:trHeight w:val="216"/>
        </w:trPr>
        <w:tc>
          <w:tcPr>
            <w:tcW w:w="2040" w:type="dxa"/>
            <w:vAlign w:val="bottom"/>
          </w:tcPr>
          <w:p>
            <w:pPr>
              <w:spacing w:after="0"/>
              <w:rPr>
                <w:sz w:val="18"/>
                <w:szCs w:val="18"/>
                <w:color w:val="auto"/>
              </w:rPr>
            </w:pPr>
          </w:p>
        </w:tc>
        <w:tc>
          <w:tcPr>
            <w:tcW w:w="9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over 120 organizations dedicated to improving the lives of Chicago’s youth. Benjamin brings his extensive</w:t>
            </w:r>
          </w:p>
        </w:tc>
      </w:tr>
      <w:tr>
        <w:trPr>
          <w:trHeight w:val="216"/>
        </w:trPr>
        <w:tc>
          <w:tcPr>
            <w:tcW w:w="2040" w:type="dxa"/>
            <w:vAlign w:val="bottom"/>
          </w:tcPr>
          <w:p>
            <w:pPr>
              <w:spacing w:after="0"/>
              <w:rPr>
                <w:sz w:val="18"/>
                <w:szCs w:val="18"/>
                <w:color w:val="auto"/>
              </w:rPr>
            </w:pPr>
          </w:p>
        </w:tc>
        <w:tc>
          <w:tcPr>
            <w:tcW w:w="9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experience managing complex operating companies and deep commitment to philanthropy. He earned a Bachelor of</w:t>
            </w:r>
          </w:p>
        </w:tc>
      </w:tr>
      <w:tr>
        <w:trPr>
          <w:trHeight w:val="234"/>
        </w:trPr>
        <w:tc>
          <w:tcPr>
            <w:tcW w:w="2040" w:type="dxa"/>
            <w:vAlign w:val="bottom"/>
          </w:tcPr>
          <w:p>
            <w:pPr>
              <w:spacing w:after="0"/>
              <w:rPr>
                <w:sz w:val="20"/>
                <w:szCs w:val="20"/>
                <w:color w:val="auto"/>
              </w:rPr>
            </w:pPr>
          </w:p>
        </w:tc>
        <w:tc>
          <w:tcPr>
            <w:tcW w:w="9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Arts in philosophy, politics and</w:t>
            </w:r>
          </w:p>
        </w:tc>
      </w:tr>
      <w:tr>
        <w:trPr>
          <w:trHeight w:val="432"/>
        </w:trPr>
        <w:tc>
          <w:tcPr>
            <w:tcW w:w="2040" w:type="dxa"/>
            <w:vAlign w:val="bottom"/>
          </w:tcPr>
          <w:p>
            <w:pPr>
              <w:spacing w:after="0"/>
              <w:rPr>
                <w:sz w:val="24"/>
                <w:szCs w:val="24"/>
                <w:color w:val="auto"/>
              </w:rPr>
            </w:pPr>
          </w:p>
        </w:tc>
        <w:tc>
          <w:tcPr>
            <w:tcW w:w="9200" w:type="dxa"/>
            <w:vAlign w:val="bottom"/>
          </w:tcPr>
          <w:p>
            <w:pPr>
              <w:ind w:left="3500"/>
              <w:spacing w:after="0"/>
              <w:rPr>
                <w:sz w:val="20"/>
                <w:szCs w:val="20"/>
                <w:color w:val="auto"/>
              </w:rPr>
            </w:pPr>
            <w:r>
              <w:rPr>
                <w:rFonts w:ascii="Times New Roman" w:cs="Times New Roman" w:eastAsia="Times New Roman" w:hAnsi="Times New Roman"/>
                <w:sz w:val="18"/>
                <w:szCs w:val="18"/>
                <w:color w:val="auto"/>
              </w:rPr>
              <w:t>15</w:t>
            </w:r>
          </w:p>
        </w:tc>
      </w:tr>
      <w:tr>
        <w:trPr>
          <w:trHeight w:val="763"/>
        </w:trPr>
        <w:tc>
          <w:tcPr>
            <w:tcW w:w="2040" w:type="dxa"/>
            <w:vAlign w:val="bottom"/>
            <w:tcBorders>
              <w:bottom w:val="single" w:sz="8" w:color="9A9A9A"/>
            </w:tcBorders>
          </w:tcPr>
          <w:p>
            <w:pPr>
              <w:spacing w:after="0"/>
              <w:rPr>
                <w:sz w:val="24"/>
                <w:szCs w:val="24"/>
                <w:color w:val="auto"/>
              </w:rPr>
            </w:pPr>
          </w:p>
        </w:tc>
        <w:tc>
          <w:tcPr>
            <w:tcW w:w="9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-2279650</wp:posOffset>
            </wp:positionV>
            <wp:extent cx="942975" cy="942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21" w:name="page22"/>
    <w:bookmarkEnd w:id="21"/>
    <w:p>
      <w:pPr>
        <w:ind w:left="2800" w:right="400"/>
        <w:spacing w:after="0" w:line="282" w:lineRule="auto"/>
        <w:rPr>
          <w:sz w:val="20"/>
          <w:szCs w:val="20"/>
          <w:color w:val="auto"/>
        </w:rPr>
      </w:pPr>
      <w:r>
        <w:rPr>
          <w:rFonts w:ascii="Times New Roman" w:cs="Times New Roman" w:eastAsia="Times New Roman" w:hAnsi="Times New Roman"/>
          <w:sz w:val="18"/>
          <w:szCs w:val="18"/>
          <w:color w:val="auto"/>
        </w:rPr>
        <w:t>economics from Pomona College and a Master of Business Administration in accounting and finance from The University of Chicago.</w:t>
      </w:r>
    </w:p>
    <w:p>
      <w:pPr>
        <w:spacing w:after="0" w:line="52" w:lineRule="exact"/>
        <w:rPr>
          <w:sz w:val="20"/>
          <w:szCs w:val="20"/>
          <w:color w:val="auto"/>
        </w:rPr>
      </w:pPr>
    </w:p>
    <w:p>
      <w:pPr>
        <w:ind w:left="2800"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Key experience, qualifications, attributes and skills: </w:t>
      </w:r>
      <w:r>
        <w:rPr>
          <w:rFonts w:ascii="Times New Roman" w:cs="Times New Roman" w:eastAsia="Times New Roman" w:hAnsi="Times New Roman"/>
          <w:sz w:val="18"/>
          <w:szCs w:val="18"/>
          <w:color w:val="auto"/>
        </w:rPr>
        <w:t>Mr. Kovler’s specific qualifications, experience, skills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expertise include:</w:t>
      </w:r>
    </w:p>
    <w:p>
      <w:pPr>
        <w:sectPr>
          <w:pgSz w:w="11900" w:h="16838" w:orient="portrait"/>
          <w:cols w:equalWidth="0" w:num="1">
            <w:col w:w="11220"/>
          </w:cols>
          <w:pgMar w:left="320" w:top="850" w:right="359" w:bottom="1440" w:gutter="0" w:footer="0" w:header="0"/>
        </w:sectPr>
      </w:pPr>
    </w:p>
    <w:p>
      <w:pPr>
        <w:spacing w:after="0" w:line="12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Core business skills, including financial and strategic planning;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markets expertise;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deep understanding of our company and the industry; 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and management experience.</w:t>
      </w:r>
    </w:p>
    <w:p>
      <w:pPr>
        <w:spacing w:after="0" w:line="127" w:lineRule="exact"/>
        <w:rPr>
          <w:sz w:val="20"/>
          <w:szCs w:val="20"/>
          <w:color w:val="auto"/>
        </w:rPr>
      </w:pPr>
    </w:p>
    <w:p>
      <w:pPr>
        <w:sectPr>
          <w:pgSz w:w="11900" w:h="16838" w:orient="portrait"/>
          <w:cols w:equalWidth="0" w:num="2">
            <w:col w:w="3120" w:space="280"/>
            <w:col w:w="7820"/>
          </w:cols>
          <w:pgMar w:left="320" w:top="850" w:right="359" w:bottom="1440" w:gutter="0" w:footer="0" w:header="0"/>
          <w:type w:val="continuous"/>
        </w:sect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i w:val="1"/>
          <w:iCs w:val="1"/>
          <w:color w:val="auto"/>
        </w:rPr>
        <w:t>Ethan Nadelmann</w:t>
      </w:r>
      <w:r>
        <w:rPr>
          <w:sz w:val="20"/>
          <w:szCs w:val="20"/>
          <w:color w:val="auto"/>
        </w:rPr>
        <w:tab/>
      </w:r>
      <w:r>
        <w:rPr>
          <w:rFonts w:ascii="Times New Roman" w:cs="Times New Roman" w:eastAsia="Times New Roman" w:hAnsi="Times New Roman"/>
          <w:sz w:val="18"/>
          <w:szCs w:val="18"/>
          <w:color w:val="auto"/>
        </w:rPr>
        <w:t>Ethan Nadelmann joined the Green Thumb board as Director in April 2023. Mr. Nadelmann has been deeply</w:t>
      </w:r>
    </w:p>
    <w:p>
      <w:pPr>
        <w:spacing w:after="0" w:line="31" w:lineRule="exact"/>
        <w:rPr>
          <w:sz w:val="20"/>
          <w:szCs w:val="20"/>
          <w:color w:val="auto"/>
        </w:rPr>
      </w:pPr>
    </w:p>
    <w:p>
      <w:pPr>
        <w:ind w:left="2820"/>
        <w:spacing w:after="0" w:line="251" w:lineRule="auto"/>
        <w:rPr>
          <w:sz w:val="20"/>
          <w:szCs w:val="20"/>
          <w:color w:val="auto"/>
        </w:rPr>
      </w:pPr>
      <w:r>
        <w:rPr>
          <w:rFonts w:ascii="Times New Roman" w:cs="Times New Roman" w:eastAsia="Times New Roman" w:hAnsi="Times New Roman"/>
          <w:sz w:val="18"/>
          <w:szCs w:val="18"/>
          <w:color w:val="auto"/>
        </w:rPr>
        <w:t>involved in cannabis policy and cannabis policy reform advocacy for over 35 years. He is the founder, host and executive producer of PSYCHOACTIVE, a podcast addressing cannabis and other drug issues. He is the founder of both the Drug Policy Alliance, a nonprofit organization where he was executive director from 2000 until 2017, and, prior to that, The Lindesmith Center, an Open Society Institute project that he directed from 1994 to 2000. He has been responsible for transforming public and elite opinion as well as state, federal and foreign cannabis and other drug policies through assorted advocacy efforts, including overseeing ballot initiatives and legislative efforts in the USA to legalize cannabis for medical and adult use purposes. Mr. Nadelmann co-founded the International Harm Reduction Development program of the Open Society Foundations (“OSF”) and served on its advisory board as well as that of the OSF’s Global Drug Policy Program. He served as a professor of politics and public affairs at Princeton University from 1987 to 1994. Mr. Nadelmann is the author of two books on the internationalization of criminal law enforcement (</w:t>
      </w:r>
      <w:r>
        <w:rPr>
          <w:rFonts w:ascii="Times New Roman" w:cs="Times New Roman" w:eastAsia="Times New Roman" w:hAnsi="Times New Roman"/>
          <w:sz w:val="18"/>
          <w:szCs w:val="18"/>
          <w:i w:val="1"/>
          <w:iCs w:val="1"/>
          <w:color w:val="auto"/>
        </w:rPr>
        <w:t>Cops Across Borders</w:t>
      </w:r>
      <w:r>
        <w:rPr>
          <w:rFonts w:ascii="Times New Roman" w:cs="Times New Roman" w:eastAsia="Times New Roman" w:hAnsi="Times New Roman"/>
          <w:sz w:val="18"/>
          <w:szCs w:val="18"/>
          <w:color w:val="auto"/>
        </w:rPr>
        <w:t xml:space="preserve"> and, with Peter Andreas, </w:t>
      </w:r>
      <w:r>
        <w:rPr>
          <w:rFonts w:ascii="Times New Roman" w:cs="Times New Roman" w:eastAsia="Times New Roman" w:hAnsi="Times New Roman"/>
          <w:sz w:val="18"/>
          <w:szCs w:val="18"/>
          <w:i w:val="1"/>
          <w:iCs w:val="1"/>
          <w:color w:val="auto"/>
        </w:rPr>
        <w:t>Policing the Globe</w:t>
      </w:r>
      <w:r>
        <w:rPr>
          <w:rFonts w:ascii="Times New Roman" w:cs="Times New Roman" w:eastAsia="Times New Roman" w:hAnsi="Times New Roman"/>
          <w:sz w:val="18"/>
          <w:szCs w:val="18"/>
          <w:color w:val="auto"/>
        </w:rPr>
        <w:t>) and has published in top academic journals, policy journals and political publications. Mr. Nadelmann received his BA, JD, and PhD from Harvard University and a master’s degree in international relations from the London School of Economics.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-1649095</wp:posOffset>
            </wp:positionV>
            <wp:extent cx="942975" cy="942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62" w:lineRule="exact"/>
        <w:rPr>
          <w:sz w:val="20"/>
          <w:szCs w:val="20"/>
          <w:color w:val="auto"/>
        </w:rPr>
      </w:pPr>
    </w:p>
    <w:p>
      <w:pPr>
        <w:ind w:left="2820"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Key experience, qualifications, attributes and skills: </w:t>
      </w:r>
      <w:r>
        <w:rPr>
          <w:rFonts w:ascii="Times New Roman" w:cs="Times New Roman" w:eastAsia="Times New Roman" w:hAnsi="Times New Roman"/>
          <w:sz w:val="18"/>
          <w:szCs w:val="18"/>
          <w:color w:val="auto"/>
        </w:rPr>
        <w:t>Mr. Nadelmann’s specific qualifications, experience, skills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expertise include:</w:t>
      </w:r>
    </w:p>
    <w:p>
      <w:pPr>
        <w:sectPr>
          <w:pgSz w:w="11900" w:h="16838" w:orient="portrait"/>
          <w:cols w:equalWidth="0" w:num="1">
            <w:col w:w="11220"/>
          </w:cols>
          <w:pgMar w:left="320" w:top="850" w:right="359" w:bottom="1440" w:gutter="0" w:footer="0" w:header="0"/>
          <w:type w:val="continuous"/>
        </w:sectPr>
      </w:pPr>
    </w:p>
    <w:p>
      <w:pPr>
        <w:spacing w:after="0" w:line="12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Cannabis industry expertise;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Drug policy expertise and advocacy; and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and management experience.</w:t>
      </w:r>
    </w:p>
    <w:p>
      <w:pPr>
        <w:spacing w:after="0" w:line="127" w:lineRule="exact"/>
        <w:rPr>
          <w:sz w:val="20"/>
          <w:szCs w:val="20"/>
          <w:color w:val="auto"/>
        </w:rPr>
      </w:pPr>
    </w:p>
    <w:p>
      <w:pPr>
        <w:sectPr>
          <w:pgSz w:w="11900" w:h="16838" w:orient="portrait"/>
          <w:cols w:equalWidth="0" w:num="2">
            <w:col w:w="3140" w:space="260"/>
            <w:col w:w="7820"/>
          </w:cols>
          <w:pgMar w:left="320" w:top="850" w:right="359" w:bottom="1440" w:gutter="0" w:footer="0" w:header="0"/>
          <w:type w:val="continuous"/>
        </w:sect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i w:val="1"/>
          <w:iCs w:val="1"/>
          <w:color w:val="auto"/>
        </w:rPr>
        <w:t>Richard Reisin</w:t>
      </w:r>
      <w:r>
        <w:rPr>
          <w:sz w:val="20"/>
          <w:szCs w:val="20"/>
          <w:color w:val="auto"/>
        </w:rPr>
        <w:tab/>
      </w:r>
      <w:r>
        <w:rPr>
          <w:rFonts w:ascii="Times New Roman" w:cs="Times New Roman" w:eastAsia="Times New Roman" w:hAnsi="Times New Roman"/>
          <w:sz w:val="18"/>
          <w:szCs w:val="18"/>
          <w:color w:val="auto"/>
        </w:rPr>
        <w:t>Richard Reisin joined the Green Thumb board as a Director in September 2023, and became chair of the Audit</w:t>
      </w:r>
    </w:p>
    <w:p>
      <w:pPr>
        <w:spacing w:after="0" w:line="31" w:lineRule="exact"/>
        <w:rPr>
          <w:sz w:val="20"/>
          <w:szCs w:val="20"/>
          <w:color w:val="auto"/>
        </w:rPr>
      </w:pPr>
    </w:p>
    <w:p>
      <w:pPr>
        <w:ind w:left="2820" w:right="80"/>
        <w:spacing w:after="0" w:line="251" w:lineRule="auto"/>
        <w:rPr>
          <w:sz w:val="20"/>
          <w:szCs w:val="20"/>
          <w:color w:val="auto"/>
        </w:rPr>
      </w:pPr>
      <w:r>
        <w:rPr>
          <w:rFonts w:ascii="Times New Roman" w:cs="Times New Roman" w:eastAsia="Times New Roman" w:hAnsi="Times New Roman"/>
          <w:sz w:val="18"/>
          <w:szCs w:val="18"/>
          <w:color w:val="auto"/>
        </w:rPr>
        <w:t>Committee in December 2023. From July 2015 to November 2020, Mr. Reisin served as Executive Vice President and Director at Carylon Corporation, a national organization of industry-leading, regional operating companies that offer a wide range of specialized services including sewer maintenance, industrial services, and water management for municipalities, utilities, and industrial companies. Prior to that, beginning in 1997, Mr. Reisin was a CPA at Ostrow Reisin Berk &amp; Abrams, Ltd., where he specialized in accounting, audit, tax, and consulting services for privately held businesses in a variety of industries including construction, distribution, broker dealers, manufacturing, and service businesses, ultimately serving as a Director until June 2015. Due to his detailed, proactive approach to providing unique solutions, Mr. Reisin was named a FIVE STAR Wealth Manager by Chicago magazine in 2010, 2011, 2012, 2013 and 2014. Mr. Reisin graduated from Indiana University with a Bachelor of Science in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-1228090</wp:posOffset>
            </wp:positionV>
            <wp:extent cx="951230" cy="951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63" w:lineRule="exact"/>
        <w:rPr>
          <w:sz w:val="20"/>
          <w:szCs w:val="20"/>
          <w:color w:val="auto"/>
        </w:rPr>
      </w:pPr>
    </w:p>
    <w:p>
      <w:pPr>
        <w:ind w:left="2820" w:righ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Key experience, qualifications, attributes and skills: </w:t>
      </w:r>
      <w:r>
        <w:rPr>
          <w:rFonts w:ascii="Times New Roman" w:cs="Times New Roman" w:eastAsia="Times New Roman" w:hAnsi="Times New Roman"/>
          <w:sz w:val="18"/>
          <w:szCs w:val="18"/>
          <w:color w:val="auto"/>
        </w:rPr>
        <w:t>Mr. Reisin’s specific qualifications, experience, skills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expertise include:</w:t>
      </w:r>
    </w:p>
    <w:p>
      <w:pPr>
        <w:sectPr>
          <w:pgSz w:w="11900" w:h="16838" w:orient="portrait"/>
          <w:cols w:equalWidth="0" w:num="1">
            <w:col w:w="11220"/>
          </w:cols>
          <w:pgMar w:left="320" w:top="850" w:right="359" w:bottom="1440" w:gutter="0" w:footer="0" w:header="0"/>
          <w:type w:val="continuous"/>
        </w:sectPr>
      </w:pPr>
    </w:p>
    <w:p>
      <w:pPr>
        <w:spacing w:after="0" w:line="12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3240"/>
        <w:spacing w:after="0" w:line="391" w:lineRule="auto"/>
        <w:rPr>
          <w:sz w:val="20"/>
          <w:szCs w:val="20"/>
          <w:color w:val="auto"/>
        </w:rPr>
      </w:pPr>
      <w:r>
        <w:rPr>
          <w:rFonts w:ascii="Times New Roman" w:cs="Times New Roman" w:eastAsia="Times New Roman" w:hAnsi="Times New Roman"/>
          <w:sz w:val="18"/>
          <w:szCs w:val="18"/>
          <w:color w:val="auto"/>
        </w:rPr>
        <w:t>Core business skills, including financial and strategic planning; Audit and accounting experience; and Operating and management experience.</w:t>
      </w:r>
    </w:p>
    <w:p>
      <w:pPr>
        <w:spacing w:after="0" w:line="200" w:lineRule="exact"/>
        <w:rPr>
          <w:sz w:val="20"/>
          <w:szCs w:val="20"/>
          <w:color w:val="auto"/>
        </w:rPr>
      </w:pPr>
    </w:p>
    <w:p>
      <w:pPr>
        <w:sectPr>
          <w:pgSz w:w="11900" w:h="16838" w:orient="portrait"/>
          <w:cols w:equalWidth="0" w:num="2">
            <w:col w:w="3140" w:space="280"/>
            <w:col w:w="7800"/>
          </w:cols>
          <w:pgMar w:left="320" w:top="850" w:right="359" w:bottom="1440" w:gutter="0" w:footer="0" w:header="0"/>
          <w:type w:val="continuous"/>
        </w:sectPr>
      </w:pP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0" w:right="359" w:bottom="1440" w:gutter="0" w:footer="0" w:header="0"/>
          <w:type w:val="continuous"/>
        </w:sectPr>
      </w:pPr>
    </w:p>
    <w:bookmarkStart w:id="22" w:name="page23"/>
    <w:bookmarkEnd w:id="22"/>
    <w:p>
      <w:pPr>
        <w:spacing w:after="0"/>
        <w:tabs>
          <w:tab w:leader="none" w:pos="2800" w:val="left"/>
        </w:tabs>
        <w:rPr>
          <w:sz w:val="20"/>
          <w:szCs w:val="20"/>
          <w:color w:val="auto"/>
        </w:rPr>
      </w:pPr>
      <w:r>
        <w:rPr>
          <w:rFonts w:ascii="Times New Roman" w:cs="Times New Roman" w:eastAsia="Times New Roman" w:hAnsi="Times New Roman"/>
          <w:sz w:val="18"/>
          <w:szCs w:val="18"/>
          <w:b w:val="1"/>
          <w:bCs w:val="1"/>
          <w:i w:val="1"/>
          <w:iCs w:val="1"/>
          <w:color w:val="auto"/>
        </w:rPr>
        <w:t>Hannah (Buchan) Ross</w:t>
      </w:r>
      <w:r>
        <w:rPr>
          <w:sz w:val="20"/>
          <w:szCs w:val="20"/>
          <w:color w:val="auto"/>
        </w:rPr>
        <w:tab/>
      </w:r>
      <w:r>
        <w:rPr>
          <w:rFonts w:ascii="Times New Roman" w:cs="Times New Roman" w:eastAsia="Times New Roman" w:hAnsi="Times New Roman"/>
          <w:sz w:val="18"/>
          <w:szCs w:val="18"/>
          <w:color w:val="auto"/>
        </w:rPr>
        <w:t>Hannah (Buchan) Ross joined the Green Thumb board as a Director in September 2023. She currently serves as the</w:t>
      </w:r>
    </w:p>
    <w:p>
      <w:pPr>
        <w:spacing w:after="0" w:line="31" w:lineRule="exact"/>
        <w:rPr>
          <w:sz w:val="20"/>
          <w:szCs w:val="20"/>
          <w:color w:val="auto"/>
        </w:rPr>
      </w:pPr>
    </w:p>
    <w:p>
      <w:pPr>
        <w:ind w:left="2820"/>
        <w:spacing w:after="0" w:line="251" w:lineRule="auto"/>
        <w:rPr>
          <w:sz w:val="20"/>
          <w:szCs w:val="20"/>
          <w:color w:val="auto"/>
        </w:rPr>
      </w:pPr>
      <w:r>
        <w:rPr>
          <w:rFonts w:ascii="Times New Roman" w:cs="Times New Roman" w:eastAsia="Times New Roman" w:hAnsi="Times New Roman"/>
          <w:sz w:val="18"/>
          <w:szCs w:val="18"/>
          <w:color w:val="auto"/>
        </w:rPr>
        <w:t>Chief Executive Officer of Edie Parker, a lifestyle brand merging the worlds of fashion and cannabis, a role she assumed in 2025 after serving as Chief Operating Officer since 2022. Since December 2017, Ms. Ross has also been a Partner at Beehouse LLC, an investment firm focused on the U.S. legal cannabis industry. From September 2020 to February 2021, she served as the interim Chief Executive Officer for Lowell Herb Co. She has nearly a decade of experience investing in public and private cannabis companies across various growth stages and capital structures, beginning her career in the Investment Banking Division at Goldman Sachs. Ms. Ross is a member of the Forbes 30 Under 30 class of 2022. She has served on the boards of Beehouse Justice Initiative and the Edie Parker Foundation, both 501(c)(3) status organizations focused on healing the harms caused by the unequal enforcement of cannabis prohibition, since September 2019 and September 2022, respectively. Ms. Ross received a Bachelor of Arts, magna cum laude, from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-1228090</wp:posOffset>
            </wp:positionV>
            <wp:extent cx="942975" cy="942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63" w:lineRule="exact"/>
        <w:rPr>
          <w:sz w:val="20"/>
          <w:szCs w:val="20"/>
          <w:color w:val="auto"/>
        </w:rPr>
      </w:pPr>
    </w:p>
    <w:p>
      <w:pPr>
        <w:ind w:left="2820"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Key experience, qualifications, attributes and skills: </w:t>
      </w:r>
      <w:r>
        <w:rPr>
          <w:rFonts w:ascii="Times New Roman" w:cs="Times New Roman" w:eastAsia="Times New Roman" w:hAnsi="Times New Roman"/>
          <w:sz w:val="18"/>
          <w:szCs w:val="18"/>
          <w:color w:val="auto"/>
        </w:rPr>
        <w:t>Ms. Ross’ specific qualifications, experience, skills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expertise include:</w:t>
      </w:r>
    </w:p>
    <w:p>
      <w:pPr>
        <w:sectPr>
          <w:pgSz w:w="11900" w:h="16838" w:orient="portrait"/>
          <w:cols w:equalWidth="0" w:num="1">
            <w:col w:w="11220"/>
          </w:cols>
          <w:pgMar w:left="320" w:top="968" w:right="359" w:bottom="1440" w:gutter="0" w:footer="0" w:header="0"/>
        </w:sectPr>
      </w:pPr>
    </w:p>
    <w:p>
      <w:pPr>
        <w:spacing w:after="0" w:line="12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1"/>
          <w:szCs w:val="11"/>
          <w:color w:val="auto"/>
        </w:rPr>
        <w:t>•</w:t>
      </w:r>
    </w:p>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Core business skills, including financial and strategic planning;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Cannabis industry experience;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markets experience;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financial reporting and analysis expertise; 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and management experience.</w:t>
      </w:r>
    </w:p>
    <w:p>
      <w:pPr>
        <w:spacing w:after="0" w:line="200" w:lineRule="exact"/>
        <w:rPr>
          <w:sz w:val="20"/>
          <w:szCs w:val="20"/>
          <w:color w:val="auto"/>
        </w:rPr>
      </w:pPr>
    </w:p>
    <w:p>
      <w:pPr>
        <w:sectPr>
          <w:pgSz w:w="11900" w:h="16838" w:orient="portrait"/>
          <w:cols w:equalWidth="0" w:num="2">
            <w:col w:w="3140" w:space="280"/>
            <w:col w:w="7800"/>
          </w:cols>
          <w:pgMar w:left="320" w:top="968" w:right="359" w:bottom="1440" w:gutter="0" w:footer="0" w:header="0"/>
          <w:type w:val="continuous"/>
        </w:sectPr>
      </w:pPr>
    </w:p>
    <w:p>
      <w:pPr>
        <w:spacing w:after="0" w:line="48"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The persons named in the accompanying Proxy Instrument (if named and absent contrary directions) intend to vote the shares represented thereby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(i) setting the number of directors at seven and (ii) the election of each of the aforementioned named nominees unless otherwise instructed on a properly executed and validly deposited proxy. </w:t>
      </w:r>
      <w:r>
        <w:rPr>
          <w:rFonts w:ascii="Times New Roman" w:cs="Times New Roman" w:eastAsia="Times New Roman" w:hAnsi="Times New Roman"/>
          <w:sz w:val="18"/>
          <w:szCs w:val="18"/>
          <w:color w:val="auto"/>
        </w:rPr>
        <w:t>Management of the Company does not contemplate that any nominees named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unable to serve as a director but, if that should occur for any reason prior to the Meeting, the persons named in the enclosed form of proxy reserve the right to vote for another nominee at their discretion.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Replacement or Removal of Directors</w:t>
      </w:r>
    </w:p>
    <w:p>
      <w:pPr>
        <w:spacing w:after="0" w:line="121"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To the extent directors are elected or appointed to fill casual vacancies or vacancies arising from the removal of directors, in both instances whether by shareholders or directors, the directors shall hold office until the remainder of the unexpired portion of the term of the departed director that was replaced.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Policy</w:t>
      </w:r>
    </w:p>
    <w:p>
      <w:pPr>
        <w:spacing w:after="0" w:line="11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The Articles include an advance notice policy for the nomination for election of directors (the “</w:t>
      </w:r>
      <w:r>
        <w:rPr>
          <w:rFonts w:ascii="Times New Roman" w:cs="Times New Roman" w:eastAsia="Times New Roman" w:hAnsi="Times New Roman"/>
          <w:sz w:val="18"/>
          <w:szCs w:val="18"/>
          <w:b w:val="1"/>
          <w:bCs w:val="1"/>
          <w:color w:val="auto"/>
        </w:rPr>
        <w:t>Advance Notice Policy</w:t>
      </w:r>
      <w:r>
        <w:rPr>
          <w:rFonts w:ascii="Times New Roman" w:cs="Times New Roman" w:eastAsia="Times New Roman" w:hAnsi="Times New Roman"/>
          <w:sz w:val="18"/>
          <w:szCs w:val="18"/>
          <w:color w:val="auto"/>
        </w:rPr>
        <w:t>”). The Advance Notice Policy provides that any shareholder seeking to nominate a candidate for election as a director (a “</w:t>
      </w:r>
      <w:r>
        <w:rPr>
          <w:rFonts w:ascii="Times New Roman" w:cs="Times New Roman" w:eastAsia="Times New Roman" w:hAnsi="Times New Roman"/>
          <w:sz w:val="18"/>
          <w:szCs w:val="18"/>
          <w:b w:val="1"/>
          <w:bCs w:val="1"/>
          <w:color w:val="auto"/>
        </w:rPr>
        <w:t>Nominating Shareholder</w:t>
      </w:r>
      <w:r>
        <w:rPr>
          <w:rFonts w:ascii="Times New Roman" w:cs="Times New Roman" w:eastAsia="Times New Roman" w:hAnsi="Times New Roman"/>
          <w:sz w:val="18"/>
          <w:szCs w:val="18"/>
          <w:color w:val="auto"/>
        </w:rPr>
        <w:t>”) at any annual meeting of the shareholders, or at any special meeting of shareholders if one of the purposes for which the special meeting was called was the election of directors, must give timely notice thereof in proper written form to our Chief Executive Officer.</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To be timely, a Nominating Shareholder’s notice must be made: (i) in the case of an annual meeting of shareholders (including an annual and special meeting), not less than thirty (30) days prior to the date of the annual meeting of shareholders, provided, however, that in the event that the annual meeting of shareholders is to be held on a date that is less than fifty (50) days after the date on which the first public announcement of the meeting was made, notice by the Nominating Shareholder may be made not later than the close of business on the tenth (10th) day following the date of such first public announcement; and (ii) in the case of a special meeting of shareholders (which is not also an annual meeting) called for the purpose of electing directors (whether or not called for other purposes as well), not later than the close of business on the fifteenth (15th) day following the day on which the first public announcement of the date of the special meeting of shareholders was made, provided that, in either instance, if Notice-and-Access (as defined in Canadian National Instrument 54-101 – </w:t>
      </w:r>
      <w:r>
        <w:rPr>
          <w:rFonts w:ascii="Times New Roman" w:cs="Times New Roman" w:eastAsia="Times New Roman" w:hAnsi="Times New Roman"/>
          <w:sz w:val="18"/>
          <w:szCs w:val="18"/>
          <w:i w:val="1"/>
          <w:iCs w:val="1"/>
          <w:color w:val="auto"/>
        </w:rPr>
        <w:t>Communication with Beneficial Owners of Securities of a Reporting Issuer</w:t>
      </w:r>
      <w:r>
        <w:rPr>
          <w:rFonts w:ascii="Times New Roman" w:cs="Times New Roman" w:eastAsia="Times New Roman" w:hAnsi="Times New Roman"/>
          <w:sz w:val="18"/>
          <w:szCs w:val="18"/>
          <w:color w:val="auto"/>
        </w:rPr>
        <w:t>) is used for delivery of proxy related materials in respect of a meeting described above, and the date of such first public announcement in respect of the meeting is not less than 50 days prior to the date of the applicable meeting, the notice must be received not later than the close of business on the 40th day before the applicable meeting. The Articles also prescribe the proper written form for a Nominating Shareholder’s notice.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type w:val="continuous"/>
        </w:sectPr>
      </w:pPr>
    </w:p>
    <w:bookmarkStart w:id="23" w:name="page24"/>
    <w:bookmarkEnd w:id="23"/>
    <w:p>
      <w:pPr>
        <w:ind w:right="200"/>
        <w:spacing w:after="0" w:line="256" w:lineRule="auto"/>
        <w:rPr>
          <w:sz w:val="20"/>
          <w:szCs w:val="20"/>
          <w:color w:val="auto"/>
        </w:rPr>
      </w:pPr>
      <w:r>
        <w:rPr>
          <w:rFonts w:ascii="Times New Roman" w:cs="Times New Roman" w:eastAsia="Times New Roman" w:hAnsi="Times New Roman"/>
          <w:sz w:val="18"/>
          <w:szCs w:val="18"/>
          <w:color w:val="auto"/>
        </w:rPr>
        <w:t>In addition to satisfying the requirements under the Articles described above, to comply with the universal proxy rules under the Exchange Act, any shareholder who intends to solicit proxies in support of director nominees other than the Board’s nominees must provide notice that sets forth the information required by Rule 14a-19 under the Exchange Act no later than April 15, 2026. However, if the date of the 2026 Annual General Meeting is more than 30 days before or after the anniversary of the date of the Meeting, then such notice must be delivered by the later of (x) the 10th day following the day we first publicly announce the date of the 2026 Annual General Meeting and (y) the date which is 60 days prior to the date of the 2026 Annual General Meeting.</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chairman of the meeting shall have the power and duty to determine whether a nomination was made in accordance with the notice procedures set forth in the Articles and, if any proposed nomination is not in compliance with such provisions, the discretion to declare that such defective nomination will be disregarded.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the Board may, in their sole discretion, waive any requirement in the Advance Notice Policy.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Cease Trade Orders, Bankruptcies Penalties or Sanctions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the Company’s knowledge, no proposed director is or, within the ten (10) years prior to the date of this proxy statement, has been, a director, Chief Executive Officer or Chief Financial Officer of any company (including the Company) that: (i) while that person was acting in that capacity was the subject of a cease trade order or similar order, or an order that denied the relevant company access to any exemption under securities legislation, for a period of more than thirty (30) consecutive days (an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or (ii) after that person ceased acting in that capacity, was subject to an order, which resulted from an event that occurred while that person was acting in the capacity of director, Chief Executive Officer or Chief Financial Officer.</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the Company’s knowledge, no proposed director is or, within the ten (10) years prior to the date hereof, has been, a director or executive officer of any company (including the Company)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spacing w:after="0" w:line="18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To the Company’s knowledge, no proposed director has, during the ten (10) years prior to the date hereof, become bankrupt, made a proposal under any legislation relating to bankruptcy or insolvency, or became subject to or instituted any proceedings, arrangement or compromise with creditors, or had a receiver, receiver manager or trustee appointed to hold assets of the proposed director.</w:t>
      </w:r>
    </w:p>
    <w:p>
      <w:pPr>
        <w:spacing w:after="0" w:line="280" w:lineRule="exact"/>
        <w:rPr>
          <w:sz w:val="20"/>
          <w:szCs w:val="20"/>
          <w:color w:val="auto"/>
        </w:rPr>
      </w:pPr>
    </w:p>
    <w:p>
      <w:pPr>
        <w:ind w:right="39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Certain Relationships, Related Transactions and Policy Regarding Related Party Transactions </w:t>
      </w:r>
      <w:r>
        <w:rPr>
          <w:rFonts w:ascii="Times New Roman" w:cs="Times New Roman" w:eastAsia="Times New Roman" w:hAnsi="Times New Roman"/>
          <w:sz w:val="18"/>
          <w:szCs w:val="18"/>
          <w:b w:val="1"/>
          <w:bCs w:val="1"/>
          <w:i w:val="1"/>
          <w:iCs w:val="1"/>
          <w:color w:val="auto"/>
        </w:rPr>
        <w:t>Policy Regarding Related Party Transactions</w:t>
      </w:r>
    </w:p>
    <w:p>
      <w:pPr>
        <w:spacing w:after="0" w:line="256" w:lineRule="auto"/>
        <w:rPr>
          <w:sz w:val="20"/>
          <w:szCs w:val="20"/>
          <w:color w:val="auto"/>
        </w:rPr>
      </w:pPr>
      <w:r>
        <w:rPr>
          <w:rFonts w:ascii="Times New Roman" w:cs="Times New Roman" w:eastAsia="Times New Roman" w:hAnsi="Times New Roman"/>
          <w:sz w:val="18"/>
          <w:szCs w:val="18"/>
          <w:color w:val="auto"/>
        </w:rPr>
        <w:t>The Company and certain of its subsidiaries from time-to-time enter into transactions with certain “related parties.” The Company has adopted a Related Party Transactions Policy, which requires that employees, officers and directors report to the General Counsel (or chief legal officer) any activity that would cause or appear to cause a conflict of interest on his or her part. Related parties include any person who is or was (since the beginning of the last fiscal year, even if such person does not presently serve in that role) an executive officer, director or nominee for director of the Company, any shareholder owning more than 5% of any class of the Company’s voting securities or an immediate family member, as defined in the Related Party Transactions Policy, of any such person.</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Under the Related Party Transactions Policy, a related party transaction includes any transaction, arrangement or relationship, or any series of similar transactions, arrangements or relationships, in which:</w:t>
      </w:r>
    </w:p>
    <w:p>
      <w:pPr>
        <w:spacing w:after="0" w:line="54"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subsidiaries is or will be a participant;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involved will or may be expected to exceed $120,000 in any fiscal year;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 party has or will have a direct or indirect material interest.</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Related Party Transactions Policy, any potential related party transaction that requires approval will be reviewed by the audit committee of the Board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and the Audit Committee will consider such factors as it deems appropriate to determine whether to approve, ratify or disapprove the related party transaction. The Audit Committee may approve the related party transaction only if it determines in good faith that, under all of the circumstances, the transaction is in the best interests of the Company and its shareholders.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compensation arrangements discussed under “Compensation Discussion and Analysis,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“Compensation Tables” and “Director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below, since January 1, 2025, the Company has entered into or maintained the following related party transactions: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Lease Agreements. </w:t>
      </w:r>
      <w:r>
        <w:rPr>
          <w:rFonts w:ascii="Times New Roman" w:cs="Times New Roman" w:eastAsia="Times New Roman" w:hAnsi="Times New Roman"/>
          <w:sz w:val="18"/>
          <w:szCs w:val="18"/>
          <w:color w:val="auto"/>
        </w:rPr>
        <w:t>During 2025, the Company has continued or entered into several related party transactions with respect to lease agreements as follows:</w:t>
      </w:r>
    </w:p>
    <w:p>
      <w:pPr>
        <w:spacing w:after="0" w:line="119" w:lineRule="exact"/>
        <w:rPr>
          <w:sz w:val="20"/>
          <w:szCs w:val="20"/>
          <w:color w:val="auto"/>
        </w:rPr>
      </w:pPr>
    </w:p>
    <w:p>
      <w:pPr>
        <w:ind w:left="760" w:right="180" w:hanging="378"/>
        <w:spacing w:after="0" w:line="25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Mosaic Real Estate, LLC owns a building located at 7900 Fenton Street, Silver Spring, Maryland and leased to GTI Maryland, LLC, which operates a Rise dispensary in the building. The lease commenced on June 14, 2017 for a 7-year term, which was extended to 10 years in March of 2021, and rent payments were approximately $277,200 for the year ended December 31, 2025. Mosaic Real Estate, LLC is owned in part by Benjamin Kovler, our Chairman and Chief Executive Officer (through a wholly-owned entity), and Anthony Georgiadis, our President and director (through a wholly-owned entity).</w:t>
      </w:r>
    </w:p>
    <w:p>
      <w:pPr>
        <w:spacing w:after="0" w:line="75" w:lineRule="exact"/>
        <w:rPr>
          <w:rFonts w:ascii="Times New Roman" w:cs="Times New Roman" w:eastAsia="Times New Roman" w:hAnsi="Times New Roman"/>
          <w:sz w:val="18"/>
          <w:szCs w:val="18"/>
          <w:color w:val="auto"/>
        </w:rPr>
      </w:pPr>
    </w:p>
    <w:p>
      <w:pPr>
        <w:ind w:left="760" w:right="80" w:hanging="378"/>
        <w:spacing w:after="0" w:line="25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Mosaic Real Estate Sparks, LLC owns a building located at 9650 Pyramid Highway, Sparks, Nevada and leased to JG Retail Services NV, LLC, an entity that has entered into a services agreement for GTI Nevada, LLC to operate a Rise dispensary in the building. The lease commenced on July 21, 2017 for a 15-year term, and rent payments were approximately $307,600 for the year ended December 31, 2025. Mosaic Real Estate Sparks, LLC is owned in part by Mr. Georgiadis (through a wholly-owned entity). The Company has an option to purchase the building at a pre-determined price.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RYTHM, Inc. (formerly known as Agrify Corporation, and referred to herein as “</w:t>
      </w:r>
      <w:r>
        <w:rPr>
          <w:rFonts w:ascii="Times New Roman" w:cs="Times New Roman" w:eastAsia="Times New Roman" w:hAnsi="Times New Roman"/>
          <w:sz w:val="18"/>
          <w:szCs w:val="18"/>
          <w:b w:val="1"/>
          <w:bCs w:val="1"/>
          <w:i w:val="1"/>
          <w:iCs w:val="1"/>
          <w:color w:val="auto"/>
        </w:rPr>
        <w:t>RYM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November 5, 2024, the Company, through</w:t>
      </w:r>
    </w:p>
    <w:p>
      <w:pPr>
        <w:spacing w:after="0" w:line="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its indirectly wholly-owned subsidiary RSLGH, LLC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RSLGH</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 xml:space="preserve"> purchased a significant equity interest and pre-funded warrants in RYM, a Nevada corporation with common stock traded on Nasdaq. RYM’s board of directors appointed Mr. Kovler as its Chairman and Interim Chief Executive Officer. In addition, RYM’s board of directors also appointed Armon Vakili, our Vice President - Strategic Initiatives and Partnership, as a director. As part of the transaction, the Company also acquired warrants that would allow the Company to extend its ownership stake if exercised, subject to certain beneficial ownership limitations, all of which remained outstanding as of December 31, 2025. The Company, through its subsidiaries, currently holds approximately 33% of RYM’s outstanding shares of common stock and beneficially owns 49.99% of RYM’s common stock, taking into account beneficial ownership limitations contained in the warrants and convertible notes held by subsidiaries of the Company. Of the approximately 10.9 million RYM warrants outstanding as of December 31, 2025, approximately 9.8 million are held by subsidiaries of the Company, subject to 49.99% beneficial ownership limitations, with exercise or conversion, as applicable, subject to RYM stockholder approval under the applicable Nasdaq listing rules, to the extent required. Of the approximately 3.0 million RYM shares or pre-funded warrants that would be issuable upon the conversion (excluding interest) of the RYM Notes (defined below) outstanding as of December 31, 2025, approximately 2.7 million are held by subsidiaries of the Company, subject to 49.99% beneficial ownership limitations, with exercise also subject to RYM stockholder approval under the applicable Nasdaq listing rules, to the extent required. The outstanding warrants are entitled to pro rata participation in dividends and other distributions to holders of Common Stock. The Company engaged in the following transactions with RYM in 2025:</w:t>
      </w:r>
    </w:p>
    <w:p>
      <w:pPr>
        <w:spacing w:after="0" w:line="85" w:lineRule="exact"/>
        <w:rPr>
          <w:sz w:val="20"/>
          <w:szCs w:val="20"/>
          <w:color w:val="auto"/>
        </w:rPr>
      </w:pPr>
    </w:p>
    <w:p>
      <w:pPr>
        <w:ind w:left="760" w:right="40" w:hanging="378"/>
        <w:spacing w:after="0" w:line="254"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November 2024 Convertible Note. </w:t>
      </w:r>
      <w:r>
        <w:rPr>
          <w:rFonts w:ascii="Times New Roman" w:cs="Times New Roman" w:eastAsia="Times New Roman" w:hAnsi="Times New Roman"/>
          <w:sz w:val="18"/>
          <w:szCs w:val="18"/>
          <w:color w:val="auto"/>
        </w:rPr>
        <w:t>On November 5, 2024, RSLGH extended a convertible secured note to RYM (the “</w:t>
      </w:r>
      <w:r>
        <w:rPr>
          <w:rFonts w:ascii="Times New Roman" w:cs="Times New Roman" w:eastAsia="Times New Roman" w:hAnsi="Times New Roman"/>
          <w:sz w:val="18"/>
          <w:szCs w:val="18"/>
          <w:b w:val="1"/>
          <w:bCs w:val="1"/>
          <w:color w:val="auto"/>
        </w:rPr>
        <w:t>November 2024 RYM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with an original principal amount of $10 million, bearing interest at 10% per annum, with a maturity date of November 5, 2025. On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 2025, RSLGH and RYM amended the November 2024 RYM Note (the “November 2024 Amendment”) to, among other things, permit RSLGH to elect, subject to any required approvals under Nasdaq listing rules, to receive pre-funded warrants in lieu of shares of common stock upon conversion of the November 2024 RYM Note at a conversion price equal to the existing conversion price under the November 2024 RYM Note of $3.158 less the $0.001 exercise price of each pre-funded warrant. On November 3, 2025, RLSGH elected to convert the November 2024 RYM Note and $175,000 of accrued interest thereon into pre-funded warrants at a conversion price of $3.157 per warrant, convertible into 3,222,997 shares of RYM common stock at an exercise price of $0.001 per share. The pre-funded warrants are subject to a 49.99% beneficial ownership limitation, with exercise also subject to RYM stockholder approval under the applicable Nasdaq listing rules, to the extent required.</w:t>
      </w:r>
    </w:p>
    <w:p>
      <w:pPr>
        <w:spacing w:after="0" w:line="80" w:lineRule="exact"/>
        <w:rPr>
          <w:rFonts w:ascii="Times New Roman" w:cs="Times New Roman" w:eastAsia="Times New Roman" w:hAnsi="Times New Roman"/>
          <w:sz w:val="18"/>
          <w:szCs w:val="18"/>
          <w:color w:val="auto"/>
        </w:rPr>
      </w:pPr>
    </w:p>
    <w:p>
      <w:pPr>
        <w:ind w:left="760" w:right="40" w:hanging="378"/>
        <w:spacing w:after="0" w:line="259"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May 2025 Convertible Note. </w:t>
      </w:r>
      <w:r>
        <w:rPr>
          <w:rFonts w:ascii="Times New Roman" w:cs="Times New Roman" w:eastAsia="Times New Roman" w:hAnsi="Times New Roman"/>
          <w:sz w:val="18"/>
          <w:szCs w:val="18"/>
          <w:color w:val="auto"/>
        </w:rPr>
        <w:t>On May 22, 2025, RSLGH extended a convertible secured note (the “</w:t>
      </w:r>
      <w:r>
        <w:rPr>
          <w:rFonts w:ascii="Times New Roman" w:cs="Times New Roman" w:eastAsia="Times New Roman" w:hAnsi="Times New Roman"/>
          <w:sz w:val="18"/>
          <w:szCs w:val="18"/>
          <w:b w:val="1"/>
          <w:bCs w:val="1"/>
          <w:color w:val="auto"/>
        </w:rPr>
        <w:t>May 2025 RYM Note</w:t>
      </w:r>
      <w:r>
        <w:rPr>
          <w:rFonts w:ascii="Times New Roman" w:cs="Times New Roman" w:eastAsia="Times New Roman" w:hAnsi="Times New Roman"/>
          <w:sz w:val="18"/>
          <w:szCs w:val="18"/>
          <w:color w:val="auto"/>
        </w:rPr>
        <w:t>”) to RYM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original principal amount of $27 million, bearing interest at 10% per annum. The May 2025 RYM Note may be converted into RYM common stock at a conversion price of $23.529 per share or, at the election of RSLGH, into pre-funded warrants at a conversion price of $23.53 per share, subject to certain customary conditions. The May 2025 RYM Note is subject to a 49.99% beneficial ownership limitation with exercise also subject to RYM stockholder approval under the applicable Nasdaq listing rules, to the extent required.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5" w:name="page26"/>
    <w:bookmarkEnd w:id="25"/>
    <w:p>
      <w:pPr>
        <w:ind w:left="380" w:right="140" w:hanging="378"/>
        <w:spacing w:after="0" w:line="25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August 2025 Convertible Note. </w:t>
      </w:r>
      <w:r>
        <w:rPr>
          <w:rFonts w:ascii="Times New Roman" w:cs="Times New Roman" w:eastAsia="Times New Roman" w:hAnsi="Times New Roman"/>
          <w:sz w:val="18"/>
          <w:szCs w:val="18"/>
          <w:color w:val="auto"/>
        </w:rPr>
        <w:t>On August 25, 2025, RSLGH extended a convertible secured note (the “</w:t>
      </w:r>
      <w:r>
        <w:rPr>
          <w:rFonts w:ascii="Times New Roman" w:cs="Times New Roman" w:eastAsia="Times New Roman" w:hAnsi="Times New Roman"/>
          <w:sz w:val="18"/>
          <w:szCs w:val="18"/>
          <w:b w:val="1"/>
          <w:bCs w:val="1"/>
          <w:color w:val="auto"/>
        </w:rPr>
        <w:t>August 2025 RYM Note</w:t>
      </w:r>
      <w:r>
        <w:rPr>
          <w:rFonts w:ascii="Times New Roman" w:cs="Times New Roman" w:eastAsia="Times New Roman" w:hAnsi="Times New Roman"/>
          <w:sz w:val="18"/>
          <w:szCs w:val="18"/>
          <w:color w:val="auto"/>
        </w:rPr>
        <w:t>” and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November 2024 RYM Note and the May 2025 RYM Note, the “</w:t>
      </w:r>
      <w:r>
        <w:rPr>
          <w:rFonts w:ascii="Times New Roman" w:cs="Times New Roman" w:eastAsia="Times New Roman" w:hAnsi="Times New Roman"/>
          <w:sz w:val="18"/>
          <w:szCs w:val="18"/>
          <w:b w:val="1"/>
          <w:bCs w:val="1"/>
          <w:color w:val="auto"/>
        </w:rPr>
        <w:t>RYM Notes</w:t>
      </w:r>
      <w:r>
        <w:rPr>
          <w:rFonts w:ascii="Times New Roman" w:cs="Times New Roman" w:eastAsia="Times New Roman" w:hAnsi="Times New Roman"/>
          <w:sz w:val="18"/>
          <w:szCs w:val="18"/>
          <w:color w:val="auto"/>
        </w:rPr>
        <w:t>”) to RYM with an original principal amount of $45 million. The August 2025 RYM Note bears interest at 10% per annum, which, at the election of the holder may be payable in cash, common stock or pre-funded warrants with an exercise price of $0.001 per share. The August 2025 RYM Note may be converted into RYM common stock at a conversion price of $29.475 per share or, at the election of the holder, into pre-funded warrants at a conversion price of $29.474 per share, subject to certain conditions. The August 2025 RYM Note is subject to a 49.99% beneficial ownership limitation with exercise also subject to RYM stockholder approval under the applicable Nasdaq listing rules, to the extent required.</w:t>
      </w:r>
    </w:p>
    <w:p>
      <w:pPr>
        <w:spacing w:after="0" w:line="76" w:lineRule="exact"/>
        <w:rPr>
          <w:rFonts w:ascii="Times New Roman" w:cs="Times New Roman" w:eastAsia="Times New Roman" w:hAnsi="Times New Roman"/>
          <w:sz w:val="18"/>
          <w:szCs w:val="18"/>
          <w:color w:val="auto"/>
        </w:rPr>
      </w:pPr>
    </w:p>
    <w:p>
      <w:pPr>
        <w:ind w:left="380" w:right="60" w:hanging="378"/>
        <w:spacing w:after="0" w:line="261"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Payments on the RYM Convertible Notes. </w:t>
      </w:r>
      <w:r>
        <w:rPr>
          <w:rFonts w:ascii="Times New Roman" w:cs="Times New Roman" w:eastAsia="Times New Roman" w:hAnsi="Times New Roman"/>
          <w:sz w:val="18"/>
          <w:szCs w:val="18"/>
          <w:color w:val="auto"/>
        </w:rPr>
        <w:t>On September 1, 2025, RSLGH received 11,373 pre-funded warrants from RYM as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interest pursuant to the November 2025 RYM Note and 31,772 pre-funded warrants of RYM as payment of interest pursuant to the May 2025 RYM Note, in each case, subject to a 49.99% beneficial ownership limitation and with exercise being subject to RYM stockholder approval under applicable Nasdaq listing rules, to the extent required.</w:t>
      </w:r>
    </w:p>
    <w:p>
      <w:pPr>
        <w:spacing w:after="0" w:line="69" w:lineRule="exact"/>
        <w:rPr>
          <w:rFonts w:ascii="Times New Roman" w:cs="Times New Roman" w:eastAsia="Times New Roman" w:hAnsi="Times New Roman"/>
          <w:sz w:val="18"/>
          <w:szCs w:val="18"/>
          <w:color w:val="auto"/>
        </w:rPr>
      </w:pPr>
    </w:p>
    <w:p>
      <w:pPr>
        <w:ind w:left="380" w:right="80" w:hanging="378"/>
        <w:spacing w:after="0" w:line="254"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Shared Services Agreement. </w:t>
      </w:r>
      <w:r>
        <w:rPr>
          <w:rFonts w:ascii="Times New Roman" w:cs="Times New Roman" w:eastAsia="Times New Roman" w:hAnsi="Times New Roman"/>
          <w:sz w:val="18"/>
          <w:szCs w:val="18"/>
          <w:color w:val="auto"/>
        </w:rPr>
        <w:t>In connection with the Company’s investment in RYM, Vision Management Services, LLC (“</w:t>
      </w:r>
      <w:r>
        <w:rPr>
          <w:rFonts w:ascii="Times New Roman" w:cs="Times New Roman" w:eastAsia="Times New Roman" w:hAnsi="Times New Roman"/>
          <w:sz w:val="18"/>
          <w:szCs w:val="18"/>
          <w:b w:val="1"/>
          <w:bCs w:val="1"/>
          <w:color w:val="auto"/>
        </w:rPr>
        <w:t>VMS</w:t>
      </w:r>
      <w:r>
        <w:rPr>
          <w:rFonts w:ascii="Times New Roman" w:cs="Times New Roman" w:eastAsia="Times New Roman" w:hAnsi="Times New Roman"/>
          <w:sz w:val="18"/>
          <w:szCs w:val="18"/>
          <w:color w:val="auto"/>
        </w:rPr>
        <w:t>”), a wholly-owned subsidiary of the Company, entered into two Shared Services Agreements with RYM (the “</w:t>
      </w:r>
      <w:r>
        <w:rPr>
          <w:rFonts w:ascii="Times New Roman" w:cs="Times New Roman" w:eastAsia="Times New Roman" w:hAnsi="Times New Roman"/>
          <w:sz w:val="18"/>
          <w:szCs w:val="18"/>
          <w:b w:val="1"/>
          <w:bCs w:val="1"/>
          <w:color w:val="auto"/>
        </w:rPr>
        <w:t>Service Agreements</w:t>
      </w:r>
      <w:r>
        <w:rPr>
          <w:rFonts w:ascii="Times New Roman" w:cs="Times New Roman" w:eastAsia="Times New Roman" w:hAnsi="Times New Roman"/>
          <w:sz w:val="18"/>
          <w:szCs w:val="18"/>
          <w:color w:val="auto"/>
        </w:rPr>
        <w:t>”) whereby VMS agreed to provide corporate and operational support to RYM, including the services of a chief financial officer, in exchange for fees based on the services provided. For 2025, VMS provided services to RYM valued at $9.3 million in salary charges and $1.2 million in net non-salary chargeback expenses. The Services Agreements are each for a term of one year, and are terminable by either party on 90 days’ notice for any or no reason, and will automatically renew for successive one year terms unless terminated by either party upon 30 days’ notice prior to the end of the applicable term. VMS assigned its rights to receive any payments made to it under the Shared Services Agreements that are made in RYM equity to RSLGH. On October 20, 2025, RSLGH received 141,343 pre-funded warrants from RYM as payment of amounts due pursuant to the Service Agreements, subject to a 49.99% beneficial ownership limitation and with exercise being subject to RYM stockholder approval under applicable Nasdaq listing rules, to the extent required.</w:t>
      </w:r>
    </w:p>
    <w:p>
      <w:pPr>
        <w:spacing w:after="0" w:line="79" w:lineRule="exact"/>
        <w:rPr>
          <w:rFonts w:ascii="Times New Roman" w:cs="Times New Roman" w:eastAsia="Times New Roman" w:hAnsi="Times New Roman"/>
          <w:sz w:val="18"/>
          <w:szCs w:val="18"/>
          <w:color w:val="auto"/>
        </w:rPr>
      </w:pPr>
    </w:p>
    <w:p>
      <w:pPr>
        <w:ind w:left="380" w:right="60" w:hanging="378"/>
        <w:spacing w:after="0" w:line="253"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Brand Intellectual Property Transactions. </w:t>
      </w:r>
      <w:r>
        <w:rPr>
          <w:rFonts w:ascii="Times New Roman" w:cs="Times New Roman" w:eastAsia="Times New Roman" w:hAnsi="Times New Roman"/>
          <w:sz w:val="18"/>
          <w:szCs w:val="18"/>
          <w:color w:val="auto"/>
        </w:rPr>
        <w:t>On May 20, 2025, the Company sold to RYM an indirect wholly-owned subsidiary whose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included intellectual property rights to the incredibles brand for $5,075,000.Under the purchase agreement governing the transaction, either party can cause the Company’s subsidiary to repurchase the property sold within five years of the date of the closing of the sale upon certain specified circumstances. The purchase agreement also includes rights of first refusal in favor of the Company following closing. Immediately following that sale, the Company and RYM, each through wholly-owned subsidiaries, entered into a license agreement for the Company’s exclusive use of certain intellectual property rights to use the incredibles brand in connection with the Company’s existing business in exchange for a monthly fee, payable in cash, based on sales of products using the licensed intellectual property (the “</w:t>
      </w:r>
      <w:r>
        <w:rPr>
          <w:rFonts w:ascii="Times New Roman" w:cs="Times New Roman" w:eastAsia="Times New Roman" w:hAnsi="Times New Roman"/>
          <w:sz w:val="18"/>
          <w:szCs w:val="18"/>
          <w:b w:val="1"/>
          <w:bCs w:val="1"/>
          <w:color w:val="auto"/>
        </w:rPr>
        <w:t>incredibles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Also immediately following the sale, the Company and RYM, each through wholly-owned subsidiaries, entered into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pursuant to which the Company’s subsidiaries granted RYM’s subsidiaries exclusive licenses to use the Company’s Beboe and RYTHM brands in connection with the production, marketing and sale of hemp-derived products in exchange for a monthly license fee based on sales of products using the licensed intellectual property, which license agreements were terminated on August 27, 2025.</w:t>
      </w:r>
    </w:p>
    <w:p>
      <w:pPr>
        <w:spacing w:after="0" w:line="193" w:lineRule="exact"/>
        <w:rPr>
          <w:rFonts w:ascii="Times New Roman" w:cs="Times New Roman" w:eastAsia="Times New Roman" w:hAnsi="Times New Roman"/>
          <w:sz w:val="18"/>
          <w:szCs w:val="18"/>
          <w:color w:val="auto"/>
        </w:rPr>
      </w:pPr>
    </w:p>
    <w:p>
      <w:pPr>
        <w:ind w:left="3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27, 2025, the Company sold to RYM an indirect wholly-owned subsidiary whose assets primarily included intellectual property rights to additional of the Company’s consumer packaged goods brands, including RYTHM, Beboe, Dogwalkers, Doctor Solomon’s, &amp;Shine and Good Green for $50,000,000 (the “</w:t>
      </w:r>
      <w:r>
        <w:rPr>
          <w:rFonts w:ascii="Times New Roman" w:cs="Times New Roman" w:eastAsia="Times New Roman" w:hAnsi="Times New Roman"/>
          <w:sz w:val="18"/>
          <w:szCs w:val="18"/>
          <w:b w:val="1"/>
          <w:bCs w:val="1"/>
          <w:color w:val="auto"/>
        </w:rPr>
        <w:t>CPG Brands</w:t>
      </w:r>
      <w:r>
        <w:rPr>
          <w:rFonts w:ascii="Times New Roman" w:cs="Times New Roman" w:eastAsia="Times New Roman" w:hAnsi="Times New Roman"/>
          <w:sz w:val="18"/>
          <w:szCs w:val="18"/>
          <w:color w:val="auto"/>
        </w:rPr>
        <w:t>”). Under the purchase agreement governing the transaction, either party can cause the Company’s subsidiary to repurchase the property sold within five years of the date of the closing of the sale upon certain specified circumstances. The purchase agreement also includes rights of first refusal in favor of the Company following closing. Immediately following that sale, the Company and RYM, each through wholly-owned subsidiaries, entered into a license agreement for the Company’s exclusive use of certain intellectual property rights to use the CPG Brands in connection with the Company’s existing business in exchange for a monthly fee, payable in cash, based on sales of products using the licensed intellectual property (the “</w:t>
      </w:r>
      <w:r>
        <w:rPr>
          <w:rFonts w:ascii="Times New Roman" w:cs="Times New Roman" w:eastAsia="Times New Roman" w:hAnsi="Times New Roman"/>
          <w:sz w:val="18"/>
          <w:szCs w:val="18"/>
          <w:b w:val="1"/>
          <w:bCs w:val="1"/>
          <w:color w:val="auto"/>
        </w:rPr>
        <w:t>CPG Brands License Agreement</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incurred expenses of $7.8 million under these license agreements in 2025.</w:t>
      </w:r>
    </w:p>
    <w:p>
      <w:pPr>
        <w:spacing w:after="0" w:line="225" w:lineRule="exact"/>
        <w:rPr>
          <w:sz w:val="20"/>
          <w:szCs w:val="20"/>
          <w:color w:val="auto"/>
        </w:rPr>
      </w:pPr>
    </w:p>
    <w:p>
      <w:pPr>
        <w:ind w:left="380" w:right="120"/>
        <w:spacing w:after="0" w:line="261" w:lineRule="auto"/>
        <w:rPr>
          <w:sz w:val="20"/>
          <w:szCs w:val="20"/>
          <w:color w:val="auto"/>
        </w:rPr>
      </w:pPr>
      <w:r>
        <w:rPr>
          <w:rFonts w:ascii="Times New Roman" w:cs="Times New Roman" w:eastAsia="Times New Roman" w:hAnsi="Times New Roman"/>
          <w:sz w:val="18"/>
          <w:szCs w:val="18"/>
          <w:color w:val="auto"/>
        </w:rPr>
        <w:t>Effective April 1, 2026, the applicable subsidiaries of the Company and RYM amended the incredibles License Agreement and CPG Brands License Agreement to change the fees paid thereunder such that the fees payable by the Company under the incredibles License Agreement will consist of an annual cash fee of $6,000,000 payable in monthly installments and under the CPG Brands License Agreement will consist of an annual cash fee of $64,000,000</w:t>
      </w:r>
    </w:p>
    <w:p>
      <w:pPr>
        <w:spacing w:after="0" w:line="18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954" w:right="339" w:bottom="1440" w:gutter="0" w:footer="0" w:header="0"/>
        </w:sectPr>
      </w:pPr>
    </w:p>
    <w:bookmarkStart w:id="26" w:name="page27"/>
    <w:bookmarkEnd w:id="26"/>
    <w:p>
      <w:pPr>
        <w:ind w:left="760" w:right="60"/>
        <w:spacing w:after="0" w:line="266" w:lineRule="auto"/>
        <w:rPr>
          <w:sz w:val="20"/>
          <w:szCs w:val="20"/>
          <w:color w:val="auto"/>
        </w:rPr>
      </w:pPr>
      <w:r>
        <w:rPr>
          <w:rFonts w:ascii="Times New Roman" w:cs="Times New Roman" w:eastAsia="Times New Roman" w:hAnsi="Times New Roman"/>
          <w:sz w:val="18"/>
          <w:szCs w:val="18"/>
          <w:color w:val="auto"/>
        </w:rPr>
        <w:t>payable in monthly installments. The annual fees under both agreements will be increased on January 1 of each year during their respective terms, based on two times the amount of published consumer price index changes during the applicable period, subject to a maximum year-over-year increase of 10%.</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Purchase of Super Voting Shares</w:t>
      </w:r>
      <w:r>
        <w:rPr>
          <w:rFonts w:ascii="Times New Roman" w:cs="Times New Roman" w:eastAsia="Times New Roman" w:hAnsi="Times New Roman"/>
          <w:sz w:val="18"/>
          <w:szCs w:val="18"/>
          <w:color w:val="auto"/>
        </w:rPr>
        <w:t>. On December 28, 2025, the Company purchased 2,500 Super Voting Shares of the Company from Mr. Kovler, and 2,500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 Voting Shares from Mr. Georgiadis, at a price of $798.8 per share, which was the equivalent of $7.988 per underlying Subordinate Voting Share, the then-current market price of a Subordinate Voting Share. The total purchase price paid to each Mr. Kovler and Mr. Georgiadis was $1,997,000.</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 of Directors, Executive Officers and Employees</w:t>
      </w:r>
    </w:p>
    <w:p>
      <w:pPr>
        <w:spacing w:after="0" w:line="121"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No individual who is, or at any time during the most recently completed fiscal year of the Company was, a director or executive officer of the Company, and no proposed nominee for election as a director of the Company, or any associate of any such director, executive officer or proposed nominee: (i) is or at any time since the beginning of the Company’s most recently completed fiscal year has been, indebted to the Company or any of its subsidiaries; or (ii) whose indebtedness to another entity is, or at any time since the beginning of the Company’s most recently completed fiscal year has been, the subject of a guarantee, support agreement, letter of credit or other similar arrangement or understanding provided by the Company or any of its subsidiaries.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under the Business Corporations Act (British Columbia)</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BCBCA, directors and officers are required to act honestly and in good faith with a view to the best interests of the Company. Under the BCBCA, subject to certain limited exceptions, a director who holds a disclosable interest in a material contract or transaction into which we have entered or propose to enter shall not vote on any directors’ resolution to approve the contract or transaction. A director or officer has a disclosable interest in a material contract or transaction if the director or officer:</w:t>
      </w:r>
    </w:p>
    <w:p>
      <w:pPr>
        <w:spacing w:after="0" w:line="72"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party to the contract or transaction;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director or officer, or an individual acting in a similar capacity, of a party to the contract or transaction;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material interest in a party to the contract or transaction.</w:t>
      </w:r>
    </w:p>
    <w:p>
      <w:pPr>
        <w:spacing w:after="0" w:line="22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Generally, as a matter of practice, directors or officers who have disclosed a material interest in any contract or transaction that the Board is considering will not take part in any Board discussion respecting that contract or transaction. If such directors participate in the discussions, they would abstain from voting on any matters relating to matters in which they have disclosed a disclosable interest.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Interests of Management of the Company and Others in Material Transactions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than as described elsewhere in this proxy statement, there are no material interests, direct or indirect, of any of our directors or executive officers, any shareholder that beneficially owns, or controls or directs (directly or indirectly), more than 10% of any class or series of our outstanding voting securities, or any associate or affiliate of any of the foregoing persons, in any transaction within the year ended December 31, 2025 that has materially affected or is reasonably expected to materially affect the Company or its subsidiaries.</w:t>
      </w:r>
    </w:p>
    <w:p>
      <w:pPr>
        <w:spacing w:after="0" w:line="17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OUR BOARD UNANIMOUSLY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SETTING OF THE NUMBER OF DIRECTORS AT SEVEN AND THE ELECTION OF EACH OF THE DIRECTOR NOMINEES NAMED IN PROPOSALS NO. 1 AND 2.</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 – VOTE TO APPROVE, ON AN ADVISORY BASIS,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EXECUTIVE COMPENSATION</w:t>
      </w:r>
    </w:p>
    <w:p>
      <w:pPr>
        <w:spacing w:after="0" w:line="20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believe that our executive compensation program and policies are designed to align the interests of management with the long-term interests of our shareholders. The Company strives to provide clear and concise disclosure regarding its approach to compensation and to demonstrate how executive compensation is linked to the performance of the Company. Detailed information regarding our executive compensation program and policies, as well as the compensation of the NEOs (as that term is defined under “Compensation Discussion and Analysis” below) is set out below in the section entitled “Compensation Discussion and Analysis” and “Compensation Tables” below. We urge shareholders to read these sections including the related narrative and tabular compensation disclosure included in this proxy statement.</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required by Section 14A of the Exchange Act, we are seeking a vote on an advisory (non-binding) basis to approve the compensation of the NEOs as disclosed in this proxy statement. This proposal, commonly known as a “say-on-pay” proposal (and sometimes referred to herein as the “</w:t>
      </w:r>
      <w:r>
        <w:rPr>
          <w:rFonts w:ascii="Times New Roman" w:cs="Times New Roman" w:eastAsia="Times New Roman" w:hAnsi="Times New Roman"/>
          <w:sz w:val="18"/>
          <w:szCs w:val="18"/>
          <w:b w:val="1"/>
          <w:bCs w:val="1"/>
          <w:color w:val="auto"/>
        </w:rPr>
        <w:t>Say-on-Pay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gives shareholders the opportunity to endorse or not endorse the Company’s executive compensation program and policies.</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At the Meeting, shareholders will be asked to approve, on an advisory (non-binding) basis, a resolution in the form set out below, subject to such amendments, variations or additions as may be approved at the Meeting, to approve the Company’s executive compensation program and policies.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text of the resolution to be submitted to shareholders at the Meeting is set out below:</w:t>
      </w:r>
    </w:p>
    <w:p>
      <w:pPr>
        <w:spacing w:after="0" w:line="113" w:lineRule="exact"/>
        <w:rPr>
          <w:sz w:val="20"/>
          <w:szCs w:val="20"/>
          <w:color w:val="auto"/>
        </w:rPr>
      </w:pPr>
    </w:p>
    <w:p>
      <w:pPr>
        <w:ind w:left="5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 IT RESOLVED THAT</w:t>
      </w:r>
      <w:r>
        <w:rPr>
          <w:rFonts w:ascii="Times New Roman" w:cs="Times New Roman" w:eastAsia="Times New Roman" w:hAnsi="Times New Roman"/>
          <w:sz w:val="18"/>
          <w:szCs w:val="18"/>
          <w:color w:val="auto"/>
        </w:rPr>
        <w:t xml:space="preserve"> the compensation paid to the Company’s named executive officers, as disclosed pursuant to the compensation disclosure rules of the Securities and Exchange Commission, including the Compensation Discussion and Analysis, compensation tables and related narrative discussion contained in the Company’s proxy statement for the Company’ 2026 Annual and Special Meeting of Shareholders, is hereby approved on a non-binding advisory basis.”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You may select “For”, “Against” or “Abstain” with respect to the Say-on-Pay Proposal. The affirmative vote of a simple majority of the votes cast, in person or by proxy, will constitute approval of the Say-on-Pay Proposal.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this advisory vote on the compensation of the NEOs is not binding on the Company, the Board or the compensation committee of the Board</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we value the opinions of our shareholders. Accordingly, the Board and the Compensation Committee will consider the outcome of this advisory vote when considering future compensation policies, procedures and decisions with respect to our NEOs. The Company expects to hold its next “say-on-pay” vote at its 2026 annual meeting of shareholders.</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SAY-ON-PAY PROPOSAL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Unless otherwise instructed, the persons designated in the enclosed proxy card intend to vote “FOR” the Say-on-Pay Proposal.</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28" w:name="page29"/>
    <w:bookmarkEnd w:id="2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4 – RE-APPOINTMENT AND REMUNERATION OF AUDITORS</w:t>
      </w:r>
    </w:p>
    <w:p>
      <w:pPr>
        <w:spacing w:after="0" w:line="225"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The members of our Audit Committee and our Board believe the re-appointment of Baker Tilly US, LLP (“Baker Tilly”) as our auditor is in the best interests of the Company and our shareholders. Ratification requires the receipt of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votes constituting a majority of the shares cast by the shareholders who vote in respect of this proposal. Representatives of Baker Tilly are expected to attend the Meeting, will have an opportunity to make a statement if they so desire and will be available to respond to appropriate questions.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Audit Fees and Services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Baker Tilly has served as our independent registered public accounting firm since May 13, 2021. The engagement of Baker Tilly was approved by the Audit Committee and the Board.</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Aggregate fees billed by our independent auditors, Baker Tilly, for the fiscal years ended December 31, 2025 and December 31, 2024 are detailed in the table below.</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3"/>
                <w:szCs w:val="13"/>
                <w:color w:val="auto"/>
              </w:rPr>
            </w:pPr>
          </w:p>
        </w:tc>
        <w:tc>
          <w:tcPr>
            <w:tcW w:w="11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r>
      <w:tr>
        <w:trPr>
          <w:trHeight w:val="173"/>
        </w:trPr>
        <w:tc>
          <w:tcPr>
            <w:tcW w:w="5360" w:type="dxa"/>
            <w:vAlign w:val="bottom"/>
          </w:tcPr>
          <w:p>
            <w:pPr>
              <w:spacing w:after="0"/>
              <w:rPr>
                <w:sz w:val="15"/>
                <w:szCs w:val="15"/>
                <w:color w:val="auto"/>
              </w:rPr>
            </w:pPr>
          </w:p>
        </w:tc>
        <w:tc>
          <w:tcPr>
            <w:tcW w:w="11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r>
      <w:tr>
        <w:trPr>
          <w:trHeight w:val="210"/>
        </w:trPr>
        <w:tc>
          <w:tcPr>
            <w:tcW w:w="5360" w:type="dxa"/>
            <w:vAlign w:val="bottom"/>
            <w:shd w:val="clear" w:color="auto" w:fill="FCEABC"/>
          </w:tcPr>
          <w:p>
            <w:pPr>
              <w:spacing w:after="0" w:line="2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1300" w:type="dxa"/>
            <w:vAlign w:val="bottom"/>
            <w:gridSpan w:val="2"/>
            <w:shd w:val="clear" w:color="auto" w:fill="FCEABC"/>
          </w:tcPr>
          <w:p>
            <w:pPr>
              <w:jc w:val="right"/>
              <w:ind w:right="180"/>
              <w:spacing w:after="0"/>
              <w:rPr>
                <w:sz w:val="20"/>
                <w:szCs w:val="20"/>
                <w:color w:val="auto"/>
              </w:rPr>
            </w:pPr>
            <w:r>
              <w:rPr>
                <w:rFonts w:ascii="Times New Roman" w:cs="Times New Roman" w:eastAsia="Times New Roman" w:hAnsi="Times New Roman"/>
                <w:sz w:val="18"/>
                <w:szCs w:val="18"/>
                <w:color w:val="auto"/>
              </w:rPr>
              <w:t>1,729,895</w:t>
            </w:r>
          </w:p>
        </w:tc>
        <w:tc>
          <w:tcPr>
            <w:tcW w:w="120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8"/>
                <w:szCs w:val="18"/>
                <w:color w:val="auto"/>
              </w:rPr>
              <w:t>1,429,942</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Tax Fees</w:t>
            </w:r>
          </w:p>
        </w:tc>
        <w:tc>
          <w:tcPr>
            <w:tcW w:w="1300" w:type="dxa"/>
            <w:vAlign w:val="bottom"/>
            <w:gridSpan w:val="2"/>
            <w:shd w:val="clear" w:color="auto" w:fill="FCEAB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36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Total Fees Paid</w:t>
            </w:r>
          </w:p>
        </w:tc>
        <w:tc>
          <w:tcPr>
            <w:tcW w:w="1300" w:type="dxa"/>
            <w:vAlign w:val="bottom"/>
            <w:gridSpan w:val="2"/>
            <w:shd w:val="clear" w:color="auto" w:fill="FCEABC"/>
          </w:tcPr>
          <w:p>
            <w:pPr>
              <w:jc w:val="right"/>
              <w:ind w:right="180"/>
              <w:spacing w:after="0"/>
              <w:rPr>
                <w:sz w:val="20"/>
                <w:szCs w:val="20"/>
                <w:color w:val="auto"/>
              </w:rPr>
            </w:pPr>
            <w:r>
              <w:rPr>
                <w:rFonts w:ascii="Times New Roman" w:cs="Times New Roman" w:eastAsia="Times New Roman" w:hAnsi="Times New Roman"/>
                <w:sz w:val="18"/>
                <w:szCs w:val="18"/>
                <w:color w:val="auto"/>
              </w:rPr>
              <w:t>1,729,895</w:t>
            </w:r>
          </w:p>
        </w:tc>
        <w:tc>
          <w:tcPr>
            <w:tcW w:w="120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8"/>
                <w:szCs w:val="18"/>
                <w:color w:val="auto"/>
              </w:rPr>
              <w:t>1,429,942</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Notes</w:t>
      </w:r>
      <w:r>
        <w:rPr>
          <w:rFonts w:ascii="Times New Roman" w:cs="Times New Roman" w:eastAsia="Times New Roman" w:hAnsi="Times New Roman"/>
          <w:sz w:val="14"/>
          <w:szCs w:val="14"/>
          <w:b w:val="1"/>
          <w:bCs w:val="1"/>
          <w:color w:val="auto"/>
        </w:rPr>
        <w:t>:</w:t>
      </w:r>
    </w:p>
    <w:p>
      <w:pPr>
        <w:spacing w:after="0" w:line="14" w:lineRule="exact"/>
        <w:rPr>
          <w:sz w:val="20"/>
          <w:szCs w:val="20"/>
          <w:color w:val="auto"/>
        </w:rPr>
      </w:pPr>
    </w:p>
    <w:p>
      <w:pPr>
        <w:ind w:left="380" w:right="320" w:hanging="372"/>
        <w:spacing w:after="0" w:line="258"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not included in audit fees that are billed by the auditor for assurance and related services that are reasonably related to the performance of the audit of the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 Committee has established a policy of reviewing, in advance, and either approving or not approving, all audit, audit-related, tax and other non-audit services that our auditor provides to us. This policy requires that all services received from our auditor be approved in advance by the Audit Committee. The Audit Committee has delegated pre-approval responsibility to the Chair of the Audit Committee with respect to non-audit related fees and services.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Audit Committee has determined that the provision of the services as set out above is compatible with the maintaining of our auditor’s independence in the conduct of their auditing functions.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19"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into any filing by Green Thumb Industries Inc. under the Securities Act of 1933, as amended, or the Exchange Act.</w:t>
      </w:r>
    </w:p>
    <w:p>
      <w:pPr>
        <w:spacing w:after="0" w:line="16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primary purpose of the Audit Committee is to assist the Company’s Board in fulfilling its responsibilities for oversight of financial, audit and accounting matters. The Audit Committee reviews the financial reports and other financial information provided by the Company to regulatory authorities and its shareholders, as well as reviews the Company’s system of internal controls regarding finance and accounting, including auditing, accounting and financial reporting processes.</w:t>
      </w:r>
    </w:p>
    <w:p>
      <w:pPr>
        <w:spacing w:after="0" w:line="18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Audit Committee has reviewed and discussed with our management and Baker Tilly US, LLP (“</w:t>
      </w:r>
      <w:r>
        <w:rPr>
          <w:rFonts w:ascii="Times New Roman" w:cs="Times New Roman" w:eastAsia="Times New Roman" w:hAnsi="Times New Roman"/>
          <w:sz w:val="18"/>
          <w:szCs w:val="18"/>
          <w:b w:val="1"/>
          <w:bCs w:val="1"/>
          <w:color w:val="auto"/>
        </w:rPr>
        <w:t>Baker Tilly</w:t>
      </w:r>
      <w:r>
        <w:rPr>
          <w:rFonts w:ascii="Times New Roman" w:cs="Times New Roman" w:eastAsia="Times New Roman" w:hAnsi="Times New Roman"/>
          <w:sz w:val="18"/>
          <w:szCs w:val="18"/>
          <w:color w:val="auto"/>
        </w:rPr>
        <w:t>”), the Company’s independent registered public accounting firm, our audited financial statements and management’s and Baker Tilly’s evaluations of our internal control over financial reporting. Further, the Audit Committee has discussed with Baker Tilly the matters required to be discussed under applicable auditing standards, including Auditing Standard No. 1301. In addition, the Audit Committee discussed with Baker Tilly its independence, and received from Baker Tilly the written disclosures and the letter required by applicable requirements of the Public Company Accounting Oversight Board. Finally, the Audit Committee discussed with Baker Tilly, with and without management present, the scope and results of Baker Tilly’s audit of such financial statements.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9" w:name="page30"/>
    <w:bookmarkEnd w:id="29"/>
    <w:p>
      <w:pPr>
        <w:ind w:right="380"/>
        <w:spacing w:after="0" w:line="282" w:lineRule="auto"/>
        <w:rPr>
          <w:sz w:val="20"/>
          <w:szCs w:val="20"/>
          <w:color w:val="auto"/>
        </w:rPr>
      </w:pPr>
      <w:r>
        <w:rPr>
          <w:rFonts w:ascii="Times New Roman" w:cs="Times New Roman" w:eastAsia="Times New Roman" w:hAnsi="Times New Roman"/>
          <w:sz w:val="18"/>
          <w:szCs w:val="18"/>
          <w:color w:val="auto"/>
        </w:rPr>
        <w:t>Based on these reviews and discussions, the Audit Committee recommended to the Board that such audited financial statements be included in the Company’s Annual Report on Form 10-K for the year ended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 of the Board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Reisin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Dawn Wilson Barnes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Goldman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Hannah (Buchan) Ross</w:t>
      </w:r>
    </w:p>
    <w:p>
      <w:pPr>
        <w:spacing w:after="0" w:line="20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THE BOARD UNANIMOUSLY RECOMMENDS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RESOLUTION RE-APPOINTING BAKER TILLY AS AUDITORS FOR THE COMPANY AND THE AUTHORIZATION OF THE BOARD TO FIX THE AUDITORS’ REMUNERATION AND TERMS OF ENGAGEMENT. The persons named in the accompanying Proxy Instrument (if named and absent contrary directions) intend to vote the shares represented thereby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resolution re-appointing Baker Tilly as auditors of the Company for the ensuing year and to authorize the directors to fix Baker Tilly’s remuneration and terms of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66" w:right="6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PROPOSAL NO. 5 – VOTE TO APPROVE AMENDMENT TO THE COMPANY’S ARTICLES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proposes to amend the Existing Articles to vary the automatic conversion provisions of the Super Voting Shares, as further described below (the “</w:t>
      </w:r>
      <w:r>
        <w:rPr>
          <w:rFonts w:ascii="Times New Roman" w:cs="Times New Roman" w:eastAsia="Times New Roman" w:hAnsi="Times New Roman"/>
          <w:sz w:val="18"/>
          <w:szCs w:val="18"/>
          <w:b w:val="1"/>
          <w:bCs w:val="1"/>
          <w:color w:val="auto"/>
        </w:rPr>
        <w:t>Amended Articles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Amendment to the Articles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present, 201,690 Super Voting Shares are issued and outstanding, all of which are held by “Initial Holders” (as that term is defined in the Existing Articles).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28.1(7)(b) of the Existing Articles provides that each Super Voting Share held by an Initial Holder shall be automatically converted into one Multiple Voting Share if, at any time, the aggregate number of Super Voting Shares held by such Initial Holder and such Initial Holder’s predecessor or transferor, permitted transferees and permitted successors is less than 50% of the Super Voting Shares beneficially owned, directly or indirectly, by such Initial Holder as at June 12, 2018, being the date of completion of the business combination between the Company, VCP23, LLC and GTI Finco Inc. (the “</w:t>
      </w:r>
      <w:r>
        <w:rPr>
          <w:rFonts w:ascii="Times New Roman" w:cs="Times New Roman" w:eastAsia="Times New Roman" w:hAnsi="Times New Roman"/>
          <w:sz w:val="18"/>
          <w:szCs w:val="18"/>
          <w:b w:val="1"/>
          <w:bCs w:val="1"/>
          <w:color w:val="auto"/>
        </w:rPr>
        <w:t>Automatic Conversion Threshold</w:t>
      </w:r>
      <w:r>
        <w:rPr>
          <w:rFonts w:ascii="Times New Roman" w:cs="Times New Roman" w:eastAsia="Times New Roman" w:hAnsi="Times New Roman"/>
          <w:sz w:val="18"/>
          <w:szCs w:val="18"/>
          <w:color w:val="auto"/>
        </w:rPr>
        <w:t>”). Super Voting Shares and Multiple Voting Shares are economically equivalent, except that one Super Voting Share holds 10 times the number of votes at a meeting of shareholders of the Company compared to one Multiple Voting Share.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proposed Amended Articles will amend the Existing Articles such that the Automatic Conversion Threshold will be changed from 50% to 25%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There are no other amendments contemplated in the Amended Articles.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hereof, Benjamin Kovler, Anthony Georgiadis and Andrew Grossman, all of whom are members of the Company’s management team, are Initial Holders under the Existing Articles, and each such person beneficially owns over 50% of the Super Voting Shares that they initially beneficially owned, directly or indirectly, as of June 12, 2018. (For complete details of the shareholdings of the Initial Holders, see the information set forth under “Security Ownership of Certain Beneficial Owners and Management” below.) The Amendment, if approved, would permit the Initial Holders to effectuate ownership changes in their Super Voting Shares, without their remaining Super Voting Shares being automatically converted into Multiple Voting Shares, provided such Initial Holder continues to hold 25% of the Super Voting Shares originally issued to them.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the Audit Committee of the Board and the independent members of the Board have determined that the Amendment is in the best interest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connection with its review, the Audit Committee of the Board and the independent members of the Board considered:</w:t>
      </w:r>
    </w:p>
    <w:p>
      <w:pPr>
        <w:spacing w:after="0" w:line="9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potential alternatives to the Amendment, including maintaining the </w:t>
      </w:r>
      <w:r>
        <w:rPr>
          <w:rFonts w:ascii="Times New Roman" w:cs="Times New Roman" w:eastAsia="Times New Roman" w:hAnsi="Times New Roman"/>
          <w:sz w:val="18"/>
          <w:szCs w:val="18"/>
          <w:i w:val="1"/>
          <w:iCs w:val="1"/>
          <w:color w:val="auto"/>
        </w:rPr>
        <w:t>status quo</w:t>
      </w:r>
      <w:r>
        <w:rPr>
          <w:rFonts w:ascii="Times New Roman" w:cs="Times New Roman" w:eastAsia="Times New Roman" w:hAnsi="Times New Roman"/>
          <w:sz w:val="18"/>
          <w:szCs w:val="18"/>
          <w:color w:val="auto"/>
        </w:rPr>
        <w:t xml:space="preserve"> as well as different automatic conversion thresholds;</w:t>
      </w:r>
    </w:p>
    <w:p>
      <w:pPr>
        <w:spacing w:after="0" w:line="119"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to the Company associated with potentially preserving the class of Super Voting Share for a longer period of time, including reinforcing the Company’s unique culture and entrepreneurial spirit and providing employees with assurance of continuity of this culture going into the future during a time of turbulence and regulatory uncertainty in our industry, while providing the Initial Holders with greater flexibility for financial and estate planning;</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coattail provisions which significantly limit any control premium attached to the class of Super Voting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Amendment does not change the existing voting make-up of the Company;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analysis provided by management of the Company that indicates the Amendment will not have a material financial impact on the holders of the Subordinate Voting Shares and the Multiple Voting Shares;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completed sales of Super Voting Shares which attracted no premium to the underlying market value of the Subordinate Voting Shares;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to encourage further orderly conversions and/or sales of Super Voting Shares while preserving the existing capital structure of the Company;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considerations as such directors deemed fit.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Proposal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Meeting, shareholders will be asked to approve a special resolution in the form set out below, subject to such amendments, variations or additions as may be approved at the Meeting, to approve the Amended Articles. If the resolution approving the Amended Articles is approved by the shareholders, it is expected that the Amended Articles will be implemented forthwith.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The text of the resolution to be submitted to shareholders at the Meeting is set out below:</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 IT RESOLVED as a special resolution that:</w:t>
      </w:r>
    </w:p>
    <w:p>
      <w:pPr>
        <w:spacing w:after="0" w:line="229" w:lineRule="exact"/>
        <w:rPr>
          <w:sz w:val="20"/>
          <w:szCs w:val="20"/>
          <w:color w:val="auto"/>
        </w:rPr>
      </w:pPr>
    </w:p>
    <w:p>
      <w:pPr>
        <w:ind w:left="1140" w:right="20" w:hanging="383"/>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the Company be altered by varying the special rights and restrictions attached to the Super Voting Shares by changing the percentage set out in Section 28.1(7)(b) from 50% to 25%;</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articles of the Company be altered to reflect the alteration to the articles of the Company referenced above;</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alteration to the articles of the Company referenced above shall not take effect until the notice of articles of the Company has been altered to reflect such alteration to the articles of the Company;</w:t>
      </w:r>
    </w:p>
    <w:p>
      <w:pPr>
        <w:spacing w:after="0" w:line="161" w:lineRule="exact"/>
        <w:rPr>
          <w:rFonts w:ascii="Times New Roman" w:cs="Times New Roman" w:eastAsia="Times New Roman" w:hAnsi="Times New Roman"/>
          <w:sz w:val="18"/>
          <w:szCs w:val="18"/>
          <w:color w:val="auto"/>
        </w:rPr>
      </w:pPr>
    </w:p>
    <w:p>
      <w:pPr>
        <w:jc w:val="both"/>
        <w:ind w:left="1140" w:hanging="383"/>
        <w:spacing w:after="0" w:line="25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officer of the Company is hereby authorized and directed, acting for, in the name of and on behalf of the Company, to execute or cause to be executed, under the seal of the Company or otherwise, and to deliver or to cause to be delivered, all such documents, agreements and instruments, and to do or to cause to be done all such other acts and things, as such person determines to be necessary or desirable or required by any regulatory authority in order to carry out the intent of this resolution and the matters authorized hereby, such determination to be conclusively evidenced by the execution and delivery of such document, agreement or instrument or the doing of any such act or thing; and</w:t>
      </w:r>
    </w:p>
    <w:p>
      <w:pPr>
        <w:spacing w:after="0" w:line="187"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this special resolution has been duly passed by the shareholders of the Company, the board of directors of the Company is hereby authorized, at its discretion, to determine at any time to proceed or not proceed with the Amendment without further approval of the shareholders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select “For”, “Against” or “Abstain” with respect to the Amendment. In order to be passed, the special resolution authorizing the Amendment must be approved by (i) not less than 66 2/3% of the votes cast upon such resolution by all shareholders, voting as a single class, present or represented by proxy at the Meeting; and (ii) a simple majority of affirmative votes cast at the Meeting, excluding votes cast by the Initial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INDEPENDENT MEMBERS OF THE BOARD UNANIMOUSLY RECOMMEND THAT YOU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AMENDMENT.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instructed, the persons designated in the enclosed proxy card intend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2" w:name="page33"/>
    <w:bookmarkEnd w:id="3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the Company’s Subordinate Voting Shares, Multiple Voting Shares and Super Voting Shares as of April 5, 2026 for (i) each member of the Board of Directors, (ii) each NEO (as defined under “Compensation Discussion and Analysis” below), (iii) each person known to the Company and expected to be the beneficial owner of more than 5% of the Company’s securities and (iv) the members of the Board and the named executive officers of the Company as a group. Beneficial ownership is determined according to the rules of the SEC. Generally, a person has beneficial ownership of a security if the person possesses sole or shared voting or investment power of that security, including any securities that a person has the right to acquire beneficial ownership of within 60 days. Except as indicated, all shares of the Company’s securities are owned directly, and the person or entity listed as the beneficial owner has sole voting and investment power. The address for each director and executive officer is c/o Green Thumb Industries Inc., 325 West Huron Street, Suite 700, Chicago, Illinois 60654.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40" w:type="dxa"/>
            <w:vAlign w:val="bottom"/>
            <w:gridSpan w:val="3"/>
          </w:tcPr>
          <w:p>
            <w:pPr>
              <w:jc w:val="right"/>
              <w:ind w:right="582"/>
              <w:spacing w:after="0"/>
              <w:rPr>
                <w:sz w:val="20"/>
                <w:szCs w:val="20"/>
                <w:color w:val="auto"/>
              </w:rPr>
            </w:pPr>
            <w:r>
              <w:rPr>
                <w:rFonts w:ascii="Times New Roman" w:cs="Times New Roman" w:eastAsia="Times New Roman" w:hAnsi="Times New Roman"/>
                <w:sz w:val="11"/>
                <w:szCs w:val="11"/>
                <w:b w:val="1"/>
                <w:bCs w:val="1"/>
                <w:color w:val="auto"/>
              </w:rPr>
              <w:t>Subordinate</w:t>
            </w:r>
          </w:p>
        </w:tc>
        <w:tc>
          <w:tcPr>
            <w:tcW w:w="120" w:type="dxa"/>
            <w:vAlign w:val="bottom"/>
          </w:tcPr>
          <w:p>
            <w:pPr>
              <w:spacing w:after="0"/>
              <w:rPr>
                <w:sz w:val="11"/>
                <w:szCs w:val="11"/>
                <w:color w:val="auto"/>
              </w:rPr>
            </w:pPr>
          </w:p>
        </w:tc>
        <w:tc>
          <w:tcPr>
            <w:tcW w:w="1220" w:type="dxa"/>
            <w:vAlign w:val="bottom"/>
            <w:gridSpan w:val="3"/>
          </w:tcPr>
          <w:p>
            <w:pPr>
              <w:jc w:val="center"/>
              <w:ind w:left="515"/>
              <w:spacing w:after="0"/>
              <w:rPr>
                <w:sz w:val="20"/>
                <w:szCs w:val="20"/>
                <w:color w:val="auto"/>
              </w:rPr>
            </w:pPr>
            <w:r>
              <w:rPr>
                <w:rFonts w:ascii="Times New Roman" w:cs="Times New Roman" w:eastAsia="Times New Roman" w:hAnsi="Times New Roman"/>
                <w:sz w:val="11"/>
                <w:szCs w:val="11"/>
                <w:b w:val="1"/>
                <w:bCs w:val="1"/>
                <w:color w:val="auto"/>
                <w:w w:val="99"/>
              </w:rPr>
              <w:t>Multiple</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left="515"/>
              <w:spacing w:after="0"/>
              <w:rPr>
                <w:sz w:val="20"/>
                <w:szCs w:val="20"/>
                <w:color w:val="auto"/>
              </w:rPr>
            </w:pPr>
            <w:r>
              <w:rPr>
                <w:rFonts w:ascii="Times New Roman" w:cs="Times New Roman" w:eastAsia="Times New Roman" w:hAnsi="Times New Roman"/>
                <w:sz w:val="11"/>
                <w:szCs w:val="11"/>
                <w:b w:val="1"/>
                <w:bCs w:val="1"/>
                <w:color w:val="auto"/>
                <w:w w:val="99"/>
              </w:rPr>
              <w:t>Super</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ind w:left="760"/>
              <w:spacing w:after="0"/>
              <w:rPr>
                <w:sz w:val="20"/>
                <w:szCs w:val="20"/>
                <w:color w:val="auto"/>
              </w:rPr>
            </w:pPr>
            <w:r>
              <w:rPr>
                <w:rFonts w:ascii="Times New Roman" w:cs="Times New Roman" w:eastAsia="Times New Roman" w:hAnsi="Times New Roman"/>
                <w:sz w:val="11"/>
                <w:szCs w:val="11"/>
                <w:b w:val="1"/>
                <w:bCs w:val="1"/>
                <w:color w:val="auto"/>
              </w:rPr>
              <w:t>Total</w:t>
            </w:r>
            <w:r>
              <w:rPr>
                <w:rFonts w:ascii="Times New Roman" w:cs="Times New Roman" w:eastAsia="Times New Roman" w:hAnsi="Times New Roman"/>
                <w:sz w:val="14"/>
                <w:szCs w:val="14"/>
                <w:b w:val="1"/>
                <w:bCs w:val="1"/>
                <w:color w:val="auto"/>
                <w:vertAlign w:val="superscript"/>
              </w:rPr>
              <w:t>(2)</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Voting</w:t>
            </w:r>
            <w:r>
              <w:rPr>
                <w:rFonts w:ascii="Times New Roman" w:cs="Times New Roman" w:eastAsia="Times New Roman" w:hAnsi="Times New Roman"/>
                <w:sz w:val="14"/>
                <w:szCs w:val="14"/>
                <w:b w:val="1"/>
                <w:bCs w:val="1"/>
                <w:color w:val="auto"/>
                <w:w w:val="88"/>
                <w:vertAlign w:val="superscript"/>
              </w:rPr>
              <w:t>(3)</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tcBorders>
              <w:bottom w:val="single" w:sz="8" w:color="auto"/>
            </w:tcBorders>
            <w:gridSpan w:val="3"/>
          </w:tcPr>
          <w:p>
            <w:pPr>
              <w:jc w:val="right"/>
              <w:ind w:right="502"/>
              <w:spacing w:after="0" w:line="149" w:lineRule="exact"/>
              <w:rPr>
                <w:sz w:val="20"/>
                <w:szCs w:val="20"/>
                <w:color w:val="auto"/>
              </w:rPr>
            </w:pPr>
            <w:r>
              <w:rPr>
                <w:rFonts w:ascii="Times New Roman" w:cs="Times New Roman" w:eastAsia="Times New Roman" w:hAnsi="Times New Roman"/>
                <w:sz w:val="11"/>
                <w:szCs w:val="11"/>
                <w:b w:val="1"/>
                <w:bCs w:val="1"/>
                <w:color w:val="auto"/>
              </w:rPr>
              <w:t>Voting Shares</w:t>
            </w:r>
            <w:r>
              <w:rPr>
                <w:rFonts w:ascii="Times New Roman" w:cs="Times New Roman" w:eastAsia="Times New Roman" w:hAnsi="Times New Roman"/>
                <w:sz w:val="14"/>
                <w:szCs w:val="14"/>
                <w:b w:val="1"/>
                <w:bCs w:val="1"/>
                <w:color w:val="auto"/>
                <w:vertAlign w:val="superscript"/>
              </w:rPr>
              <w:t>(1)</w:t>
            </w:r>
          </w:p>
        </w:tc>
        <w:tc>
          <w:tcPr>
            <w:tcW w:w="120" w:type="dxa"/>
            <w:vAlign w:val="bottom"/>
          </w:tcPr>
          <w:p>
            <w:pPr>
              <w:spacing w:after="0"/>
              <w:rPr>
                <w:sz w:val="12"/>
                <w:szCs w:val="12"/>
                <w:color w:val="auto"/>
              </w:rPr>
            </w:pPr>
          </w:p>
        </w:tc>
        <w:tc>
          <w:tcPr>
            <w:tcW w:w="1220" w:type="dxa"/>
            <w:vAlign w:val="bottom"/>
            <w:tcBorders>
              <w:bottom w:val="single" w:sz="8" w:color="auto"/>
            </w:tcBorders>
            <w:gridSpan w:val="3"/>
          </w:tcPr>
          <w:p>
            <w:pPr>
              <w:jc w:val="center"/>
              <w:ind w:left="515"/>
              <w:spacing w:after="0"/>
              <w:rPr>
                <w:sz w:val="20"/>
                <w:szCs w:val="20"/>
                <w:color w:val="auto"/>
              </w:rPr>
            </w:pPr>
            <w:r>
              <w:rPr>
                <w:rFonts w:ascii="Times New Roman" w:cs="Times New Roman" w:eastAsia="Times New Roman" w:hAnsi="Times New Roman"/>
                <w:sz w:val="11"/>
                <w:szCs w:val="11"/>
                <w:b w:val="1"/>
                <w:bCs w:val="1"/>
                <w:color w:val="auto"/>
                <w:w w:val="96"/>
              </w:rPr>
              <w:t>Voting Shares</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bottom w:val="single" w:sz="8" w:color="auto"/>
            </w:tcBorders>
            <w:gridSpan w:val="3"/>
          </w:tcPr>
          <w:p>
            <w:pPr>
              <w:jc w:val="center"/>
              <w:ind w:left="495"/>
              <w:spacing w:after="0"/>
              <w:rPr>
                <w:sz w:val="20"/>
                <w:szCs w:val="20"/>
                <w:color w:val="auto"/>
              </w:rPr>
            </w:pPr>
            <w:r>
              <w:rPr>
                <w:rFonts w:ascii="Times New Roman" w:cs="Times New Roman" w:eastAsia="Times New Roman" w:hAnsi="Times New Roman"/>
                <w:sz w:val="11"/>
                <w:szCs w:val="11"/>
                <w:b w:val="1"/>
                <w:bCs w:val="1"/>
                <w:color w:val="auto"/>
                <w:w w:val="99"/>
              </w:rPr>
              <w:t>Voting Shares</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3"/>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 of</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ind w:right="114"/>
              <w:spacing w:after="0" w:line="122"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center"/>
              <w:ind w:right="134"/>
              <w:spacing w:after="0" w:line="122"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100" w:type="dxa"/>
            <w:vAlign w:val="bottom"/>
          </w:tcPr>
          <w:p>
            <w:pPr>
              <w:spacing w:after="0"/>
              <w:rPr>
                <w:sz w:val="10"/>
                <w:szCs w:val="10"/>
                <w:color w:val="auto"/>
              </w:rPr>
            </w:pPr>
          </w:p>
        </w:tc>
        <w:tc>
          <w:tcPr>
            <w:tcW w:w="118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ind w:right="114"/>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center"/>
              <w:ind w:right="154"/>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100" w:type="dxa"/>
            <w:vAlign w:val="bottom"/>
          </w:tcPr>
          <w:p>
            <w:pPr>
              <w:spacing w:after="0"/>
              <w:rPr>
                <w:sz w:val="10"/>
                <w:szCs w:val="10"/>
                <w:color w:val="auto"/>
              </w:rPr>
            </w:pPr>
          </w:p>
        </w:tc>
        <w:tc>
          <w:tcPr>
            <w:tcW w:w="118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660" w:type="dxa"/>
            <w:vAlign w:val="bottom"/>
          </w:tcPr>
          <w:p>
            <w:pPr>
              <w:jc w:val="center"/>
              <w:ind w:right="53"/>
              <w:spacing w:after="0" w:line="122"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10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0" w:type="dxa"/>
            <w:vAlign w:val="bottom"/>
          </w:tcPr>
          <w:p>
            <w:pPr>
              <w:spacing w:after="0"/>
              <w:rPr>
                <w:sz w:val="1"/>
                <w:szCs w:val="1"/>
                <w:color w:val="auto"/>
              </w:rPr>
            </w:pPr>
          </w:p>
        </w:tc>
      </w:tr>
      <w:tr>
        <w:trPr>
          <w:trHeight w:val="124"/>
        </w:trPr>
        <w:tc>
          <w:tcPr>
            <w:tcW w:w="2660" w:type="dxa"/>
            <w:vAlign w:val="bottom"/>
            <w:gridSpan w:val="2"/>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Name, Position and</w:t>
            </w:r>
          </w:p>
        </w:tc>
        <w:tc>
          <w:tcPr>
            <w:tcW w:w="94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tcPr>
          <w:p>
            <w:pPr>
              <w:spacing w:after="0"/>
              <w:rPr>
                <w:sz w:val="10"/>
                <w:szCs w:val="10"/>
                <w:color w:val="auto"/>
              </w:rPr>
            </w:pPr>
          </w:p>
        </w:tc>
        <w:tc>
          <w:tcPr>
            <w:tcW w:w="8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6"/>
              </w:rPr>
              <w:t>Subordinate</w:t>
            </w:r>
          </w:p>
        </w:tc>
        <w:tc>
          <w:tcPr>
            <w:tcW w:w="120" w:type="dxa"/>
            <w:vAlign w:val="bottom"/>
          </w:tcPr>
          <w:p>
            <w:pPr>
              <w:spacing w:after="0"/>
              <w:rPr>
                <w:sz w:val="10"/>
                <w:szCs w:val="10"/>
                <w:color w:val="auto"/>
              </w:rPr>
            </w:pPr>
          </w:p>
        </w:tc>
        <w:tc>
          <w:tcPr>
            <w:tcW w:w="1220" w:type="dxa"/>
            <w:vAlign w:val="bottom"/>
            <w:gridSpan w:val="3"/>
          </w:tcPr>
          <w:p>
            <w:pPr>
              <w:jc w:val="center"/>
              <w:ind w:right="280"/>
              <w:spacing w:after="0" w:line="124"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600" w:type="dxa"/>
            <w:vAlign w:val="bottom"/>
          </w:tcPr>
          <w:p>
            <w:pPr>
              <w:jc w:val="center"/>
              <w:ind w:right="114"/>
              <w:spacing w:after="0" w:line="124" w:lineRule="exact"/>
              <w:rPr>
                <w:sz w:val="20"/>
                <w:szCs w:val="20"/>
                <w:color w:val="auto"/>
              </w:rPr>
            </w:pPr>
            <w:r>
              <w:rPr>
                <w:rFonts w:ascii="Times New Roman" w:cs="Times New Roman" w:eastAsia="Times New Roman" w:hAnsi="Times New Roman"/>
                <w:sz w:val="11"/>
                <w:szCs w:val="11"/>
                <w:b w:val="1"/>
                <w:bCs w:val="1"/>
                <w:color w:val="auto"/>
                <w:w w:val="94"/>
              </w:rPr>
              <w:t>Multiple</w:t>
            </w:r>
          </w:p>
        </w:tc>
        <w:tc>
          <w:tcPr>
            <w:tcW w:w="100" w:type="dxa"/>
            <w:vAlign w:val="bottom"/>
          </w:tcPr>
          <w:p>
            <w:pPr>
              <w:spacing w:after="0"/>
              <w:rPr>
                <w:sz w:val="10"/>
                <w:szCs w:val="10"/>
                <w:color w:val="auto"/>
              </w:rPr>
            </w:pPr>
          </w:p>
        </w:tc>
        <w:tc>
          <w:tcPr>
            <w:tcW w:w="1260" w:type="dxa"/>
            <w:vAlign w:val="bottom"/>
            <w:gridSpan w:val="3"/>
          </w:tcPr>
          <w:p>
            <w:pPr>
              <w:jc w:val="center"/>
              <w:ind w:right="320"/>
              <w:spacing w:after="0" w:line="124"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580" w:type="dxa"/>
            <w:vAlign w:val="bottom"/>
          </w:tcPr>
          <w:p>
            <w:pPr>
              <w:jc w:val="center"/>
              <w:ind w:right="154"/>
              <w:spacing w:after="0" w:line="124" w:lineRule="exact"/>
              <w:rPr>
                <w:sz w:val="20"/>
                <w:szCs w:val="20"/>
                <w:color w:val="auto"/>
              </w:rPr>
            </w:pPr>
            <w:r>
              <w:rPr>
                <w:rFonts w:ascii="Times New Roman" w:cs="Times New Roman" w:eastAsia="Times New Roman" w:hAnsi="Times New Roman"/>
                <w:sz w:val="11"/>
                <w:szCs w:val="11"/>
                <w:b w:val="1"/>
                <w:bCs w:val="1"/>
                <w:color w:val="auto"/>
                <w:w w:val="99"/>
              </w:rPr>
              <w:t>Super</w:t>
            </w:r>
          </w:p>
        </w:tc>
        <w:tc>
          <w:tcPr>
            <w:tcW w:w="100" w:type="dxa"/>
            <w:vAlign w:val="bottom"/>
          </w:tcPr>
          <w:p>
            <w:pPr>
              <w:spacing w:after="0"/>
              <w:rPr>
                <w:sz w:val="10"/>
                <w:szCs w:val="10"/>
                <w:color w:val="auto"/>
              </w:rPr>
            </w:pPr>
          </w:p>
        </w:tc>
        <w:tc>
          <w:tcPr>
            <w:tcW w:w="1180" w:type="dxa"/>
            <w:vAlign w:val="bottom"/>
            <w:gridSpan w:val="3"/>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660" w:type="dxa"/>
            <w:vAlign w:val="bottom"/>
          </w:tcPr>
          <w:p>
            <w:pPr>
              <w:jc w:val="center"/>
              <w:ind w:right="53"/>
              <w:spacing w:after="0" w:line="124" w:lineRule="exact"/>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0"/>
                <w:szCs w:val="10"/>
                <w:color w:val="auto"/>
              </w:rPr>
            </w:pPr>
          </w:p>
        </w:tc>
        <w:tc>
          <w:tcPr>
            <w:tcW w:w="82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4"/>
              </w:rPr>
              <w:t>Voting</w:t>
            </w:r>
          </w:p>
        </w:tc>
        <w:tc>
          <w:tcPr>
            <w:tcW w:w="0" w:type="dxa"/>
            <w:vAlign w:val="bottom"/>
          </w:tcPr>
          <w:p>
            <w:pPr>
              <w:spacing w:after="0"/>
              <w:rPr>
                <w:sz w:val="1"/>
                <w:szCs w:val="1"/>
                <w:color w:val="auto"/>
              </w:rPr>
            </w:pPr>
          </w:p>
        </w:tc>
      </w:tr>
      <w:tr>
        <w:trPr>
          <w:trHeight w:val="122"/>
        </w:trPr>
        <w:tc>
          <w:tcPr>
            <w:tcW w:w="266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Address of</w:t>
            </w:r>
          </w:p>
        </w:tc>
        <w:tc>
          <w:tcPr>
            <w:tcW w:w="9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Beneficially</w:t>
            </w:r>
          </w:p>
        </w:tc>
        <w:tc>
          <w:tcPr>
            <w:tcW w:w="10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Voting</w:t>
            </w:r>
          </w:p>
        </w:tc>
        <w:tc>
          <w:tcPr>
            <w:tcW w:w="120" w:type="dxa"/>
            <w:vAlign w:val="bottom"/>
          </w:tcPr>
          <w:p>
            <w:pPr>
              <w:spacing w:after="0"/>
              <w:rPr>
                <w:sz w:val="10"/>
                <w:szCs w:val="10"/>
                <w:color w:val="auto"/>
              </w:rPr>
            </w:pPr>
          </w:p>
        </w:tc>
        <w:tc>
          <w:tcPr>
            <w:tcW w:w="1220" w:type="dxa"/>
            <w:vAlign w:val="bottom"/>
            <w:gridSpan w:val="3"/>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Beneficially</w:t>
            </w:r>
          </w:p>
        </w:tc>
        <w:tc>
          <w:tcPr>
            <w:tcW w:w="600" w:type="dxa"/>
            <w:vAlign w:val="bottom"/>
          </w:tcPr>
          <w:p>
            <w:pPr>
              <w:jc w:val="center"/>
              <w:ind w:right="114"/>
              <w:spacing w:after="0" w:line="122" w:lineRule="exact"/>
              <w:rPr>
                <w:sz w:val="20"/>
                <w:szCs w:val="20"/>
                <w:color w:val="auto"/>
              </w:rPr>
            </w:pPr>
            <w:r>
              <w:rPr>
                <w:rFonts w:ascii="Times New Roman" w:cs="Times New Roman" w:eastAsia="Times New Roman" w:hAnsi="Times New Roman"/>
                <w:sz w:val="11"/>
                <w:szCs w:val="11"/>
                <w:b w:val="1"/>
                <w:bCs w:val="1"/>
                <w:color w:val="auto"/>
                <w:w w:val="94"/>
              </w:rPr>
              <w:t>Voting</w:t>
            </w:r>
          </w:p>
        </w:tc>
        <w:tc>
          <w:tcPr>
            <w:tcW w:w="100" w:type="dxa"/>
            <w:vAlign w:val="bottom"/>
          </w:tcPr>
          <w:p>
            <w:pPr>
              <w:spacing w:after="0"/>
              <w:rPr>
                <w:sz w:val="10"/>
                <w:szCs w:val="10"/>
                <w:color w:val="auto"/>
              </w:rPr>
            </w:pPr>
          </w:p>
        </w:tc>
        <w:tc>
          <w:tcPr>
            <w:tcW w:w="1260" w:type="dxa"/>
            <w:vAlign w:val="bottom"/>
            <w:gridSpan w:val="3"/>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Beneficially</w:t>
            </w:r>
          </w:p>
        </w:tc>
        <w:tc>
          <w:tcPr>
            <w:tcW w:w="580" w:type="dxa"/>
            <w:vAlign w:val="bottom"/>
          </w:tcPr>
          <w:p>
            <w:pPr>
              <w:jc w:val="center"/>
              <w:ind w:right="134"/>
              <w:spacing w:after="0" w:line="122" w:lineRule="exact"/>
              <w:rPr>
                <w:sz w:val="20"/>
                <w:szCs w:val="20"/>
                <w:color w:val="auto"/>
              </w:rPr>
            </w:pPr>
            <w:r>
              <w:rPr>
                <w:rFonts w:ascii="Times New Roman" w:cs="Times New Roman" w:eastAsia="Times New Roman" w:hAnsi="Times New Roman"/>
                <w:sz w:val="11"/>
                <w:szCs w:val="11"/>
                <w:b w:val="1"/>
                <w:bCs w:val="1"/>
                <w:color w:val="auto"/>
                <w:w w:val="94"/>
              </w:rPr>
              <w:t>Voting</w:t>
            </w:r>
          </w:p>
        </w:tc>
        <w:tc>
          <w:tcPr>
            <w:tcW w:w="100" w:type="dxa"/>
            <w:vAlign w:val="bottom"/>
          </w:tcPr>
          <w:p>
            <w:pPr>
              <w:spacing w:after="0"/>
              <w:rPr>
                <w:sz w:val="10"/>
                <w:szCs w:val="10"/>
                <w:color w:val="auto"/>
              </w:rPr>
            </w:pPr>
          </w:p>
        </w:tc>
        <w:tc>
          <w:tcPr>
            <w:tcW w:w="118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Beneficially</w:t>
            </w:r>
          </w:p>
        </w:tc>
        <w:tc>
          <w:tcPr>
            <w:tcW w:w="660" w:type="dxa"/>
            <w:vAlign w:val="bottom"/>
          </w:tcPr>
          <w:p>
            <w:pPr>
              <w:jc w:val="center"/>
              <w:ind w:right="53"/>
              <w:spacing w:after="0" w:line="122"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Beneficial Owner</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Owned</w:t>
            </w:r>
          </w:p>
        </w:tc>
        <w:tc>
          <w:tcPr>
            <w:tcW w:w="1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5"/>
              </w:rPr>
              <w:t>Owned</w:t>
            </w:r>
          </w:p>
        </w:tc>
        <w:tc>
          <w:tcPr>
            <w:tcW w:w="600" w:type="dxa"/>
            <w:vAlign w:val="bottom"/>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00" w:type="dxa"/>
            <w:vAlign w:val="bottom"/>
          </w:tcPr>
          <w:p>
            <w:pPr>
              <w:spacing w:after="0"/>
              <w:rPr>
                <w:sz w:val="11"/>
                <w:szCs w:val="11"/>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Owned</w:t>
            </w:r>
          </w:p>
        </w:tc>
        <w:tc>
          <w:tcPr>
            <w:tcW w:w="580" w:type="dxa"/>
            <w:vAlign w:val="bottom"/>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00" w:type="dxa"/>
            <w:vAlign w:val="bottom"/>
          </w:tcPr>
          <w:p>
            <w:pPr>
              <w:spacing w:after="0"/>
              <w:rPr>
                <w:sz w:val="11"/>
                <w:szCs w:val="11"/>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Owned</w:t>
            </w:r>
          </w:p>
        </w:tc>
        <w:tc>
          <w:tcPr>
            <w:tcW w:w="660" w:type="dxa"/>
            <w:vAlign w:val="bottom"/>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660" w:type="dxa"/>
            <w:vAlign w:val="bottom"/>
            <w:gridSpan w:val="2"/>
            <w:shd w:val="clear" w:color="auto" w:fill="FCEABC"/>
          </w:tcPr>
          <w:p>
            <w:pPr>
              <w:spacing w:after="0" w:line="118" w:lineRule="exact"/>
              <w:rPr>
                <w:sz w:val="20"/>
                <w:szCs w:val="20"/>
                <w:color w:val="auto"/>
              </w:rPr>
            </w:pPr>
            <w:r>
              <w:rPr>
                <w:rFonts w:ascii="Times New Roman" w:cs="Times New Roman" w:eastAsia="Times New Roman" w:hAnsi="Times New Roman"/>
                <w:sz w:val="13"/>
                <w:szCs w:val="13"/>
                <w:color w:val="auto"/>
              </w:rPr>
              <w:t>Dawn Wilson Barnes,</w:t>
            </w:r>
          </w:p>
        </w:tc>
        <w:tc>
          <w:tcPr>
            <w:tcW w:w="940" w:type="dxa"/>
            <w:vAlign w:val="bottom"/>
            <w:vMerge w:val="restart"/>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65,871</w:t>
            </w:r>
          </w:p>
        </w:tc>
        <w:tc>
          <w:tcPr>
            <w:tcW w:w="900" w:type="dxa"/>
            <w:vAlign w:val="bottom"/>
            <w:gridSpan w:val="2"/>
            <w:vMerge w:val="restart"/>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CEABC"/>
          </w:tcPr>
          <w:p>
            <w:pPr>
              <w:spacing w:after="0"/>
              <w:rPr>
                <w:sz w:val="10"/>
                <w:szCs w:val="10"/>
                <w:color w:val="auto"/>
              </w:rPr>
            </w:pPr>
          </w:p>
        </w:tc>
        <w:tc>
          <w:tcPr>
            <w:tcW w:w="1220" w:type="dxa"/>
            <w:vAlign w:val="bottom"/>
            <w:gridSpan w:val="3"/>
            <w:vMerge w:val="restart"/>
            <w:shd w:val="clear" w:color="auto" w:fill="FCEAB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CEABC"/>
          </w:tcPr>
          <w:p>
            <w:pPr>
              <w:spacing w:after="0"/>
              <w:rPr>
                <w:sz w:val="10"/>
                <w:szCs w:val="10"/>
                <w:color w:val="auto"/>
              </w:rPr>
            </w:pPr>
          </w:p>
        </w:tc>
        <w:tc>
          <w:tcPr>
            <w:tcW w:w="1260" w:type="dxa"/>
            <w:vAlign w:val="bottom"/>
            <w:gridSpan w:val="3"/>
            <w:vMerge w:val="restart"/>
            <w:shd w:val="clear" w:color="auto" w:fill="FCEAB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65,871</w:t>
            </w:r>
          </w:p>
        </w:tc>
        <w:tc>
          <w:tcPr>
            <w:tcW w:w="120" w:type="dxa"/>
            <w:vAlign w:val="bottom"/>
            <w:shd w:val="clear" w:color="auto" w:fill="FCEABC"/>
          </w:tcPr>
          <w:p>
            <w:pPr>
              <w:spacing w:after="0"/>
              <w:rPr>
                <w:sz w:val="10"/>
                <w:szCs w:val="10"/>
                <w:color w:val="auto"/>
              </w:rPr>
            </w:pPr>
          </w:p>
        </w:tc>
        <w:tc>
          <w:tcPr>
            <w:tcW w:w="100" w:type="dxa"/>
            <w:vAlign w:val="bottom"/>
            <w:shd w:val="clear" w:color="auto" w:fill="FCEABC"/>
          </w:tcPr>
          <w:p>
            <w:pPr>
              <w:spacing w:after="0"/>
              <w:rPr>
                <w:sz w:val="10"/>
                <w:szCs w:val="10"/>
                <w:color w:val="auto"/>
              </w:rPr>
            </w:pPr>
          </w:p>
        </w:tc>
        <w:tc>
          <w:tcPr>
            <w:tcW w:w="660" w:type="dxa"/>
            <w:vAlign w:val="bottom"/>
            <w:vMerge w:val="restart"/>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2660" w:type="dxa"/>
            <w:vAlign w:val="bottom"/>
            <w:gridSpan w:val="2"/>
            <w:shd w:val="clear" w:color="auto" w:fill="FCEABC"/>
          </w:tcPr>
          <w:p>
            <w:pPr>
              <w:ind w:left="120"/>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940" w:type="dxa"/>
            <w:vAlign w:val="bottom"/>
            <w:vMerge w:val="continue"/>
            <w:shd w:val="clear" w:color="auto" w:fill="FCEABC"/>
          </w:tcPr>
          <w:p>
            <w:pPr>
              <w:spacing w:after="0"/>
              <w:rPr>
                <w:sz w:val="15"/>
                <w:szCs w:val="15"/>
                <w:color w:val="auto"/>
              </w:rPr>
            </w:pPr>
          </w:p>
        </w:tc>
        <w:tc>
          <w:tcPr>
            <w:tcW w:w="900" w:type="dxa"/>
            <w:vAlign w:val="bottom"/>
            <w:gridSpan w:val="2"/>
            <w:vMerge w:val="continue"/>
            <w:shd w:val="clear" w:color="auto" w:fill="FCEABC"/>
          </w:tcPr>
          <w:p>
            <w:pPr>
              <w:spacing w:after="0"/>
              <w:rPr>
                <w:sz w:val="15"/>
                <w:szCs w:val="15"/>
                <w:color w:val="auto"/>
              </w:rPr>
            </w:pPr>
          </w:p>
        </w:tc>
        <w:tc>
          <w:tcPr>
            <w:tcW w:w="120" w:type="dxa"/>
            <w:vAlign w:val="bottom"/>
            <w:shd w:val="clear" w:color="auto" w:fill="FCEABC"/>
          </w:tcPr>
          <w:p>
            <w:pPr>
              <w:spacing w:after="0"/>
              <w:rPr>
                <w:sz w:val="15"/>
                <w:szCs w:val="15"/>
                <w:color w:val="auto"/>
              </w:rPr>
            </w:pPr>
          </w:p>
        </w:tc>
        <w:tc>
          <w:tcPr>
            <w:tcW w:w="1220" w:type="dxa"/>
            <w:vAlign w:val="bottom"/>
            <w:gridSpan w:val="3"/>
            <w:vMerge w:val="continue"/>
            <w:shd w:val="clear" w:color="auto" w:fill="FCEABC"/>
          </w:tcPr>
          <w:p>
            <w:pPr>
              <w:spacing w:after="0"/>
              <w:rPr>
                <w:sz w:val="15"/>
                <w:szCs w:val="15"/>
                <w:color w:val="auto"/>
              </w:rPr>
            </w:pPr>
          </w:p>
        </w:tc>
        <w:tc>
          <w:tcPr>
            <w:tcW w:w="600" w:type="dxa"/>
            <w:vAlign w:val="bottom"/>
            <w:vMerge w:val="continue"/>
            <w:shd w:val="clear" w:color="auto" w:fill="FCEABC"/>
          </w:tcPr>
          <w:p>
            <w:pPr>
              <w:spacing w:after="0"/>
              <w:rPr>
                <w:sz w:val="15"/>
                <w:szCs w:val="15"/>
                <w:color w:val="auto"/>
              </w:rPr>
            </w:pPr>
          </w:p>
        </w:tc>
        <w:tc>
          <w:tcPr>
            <w:tcW w:w="100" w:type="dxa"/>
            <w:vAlign w:val="bottom"/>
            <w:shd w:val="clear" w:color="auto" w:fill="FCEABC"/>
          </w:tcPr>
          <w:p>
            <w:pPr>
              <w:spacing w:after="0"/>
              <w:rPr>
                <w:sz w:val="15"/>
                <w:szCs w:val="15"/>
                <w:color w:val="auto"/>
              </w:rPr>
            </w:pPr>
          </w:p>
        </w:tc>
        <w:tc>
          <w:tcPr>
            <w:tcW w:w="1260" w:type="dxa"/>
            <w:vAlign w:val="bottom"/>
            <w:gridSpan w:val="3"/>
            <w:vMerge w:val="continue"/>
            <w:shd w:val="clear" w:color="auto" w:fill="FCEABC"/>
          </w:tcPr>
          <w:p>
            <w:pPr>
              <w:spacing w:after="0"/>
              <w:rPr>
                <w:sz w:val="15"/>
                <w:szCs w:val="15"/>
                <w:color w:val="auto"/>
              </w:rPr>
            </w:pPr>
          </w:p>
        </w:tc>
        <w:tc>
          <w:tcPr>
            <w:tcW w:w="580" w:type="dxa"/>
            <w:vAlign w:val="bottom"/>
            <w:vMerge w:val="continue"/>
            <w:shd w:val="clear" w:color="auto" w:fill="FCEABC"/>
          </w:tcPr>
          <w:p>
            <w:pPr>
              <w:spacing w:after="0"/>
              <w:rPr>
                <w:sz w:val="15"/>
                <w:szCs w:val="15"/>
                <w:color w:val="auto"/>
              </w:rPr>
            </w:pPr>
          </w:p>
        </w:tc>
        <w:tc>
          <w:tcPr>
            <w:tcW w:w="1060" w:type="dxa"/>
            <w:vAlign w:val="bottom"/>
            <w:gridSpan w:val="2"/>
            <w:vMerge w:val="continue"/>
            <w:shd w:val="clear" w:color="auto" w:fill="FCEABC"/>
          </w:tcPr>
          <w:p>
            <w:pPr>
              <w:spacing w:after="0"/>
              <w:rPr>
                <w:sz w:val="15"/>
                <w:szCs w:val="15"/>
                <w:color w:val="auto"/>
              </w:rPr>
            </w:pPr>
          </w:p>
        </w:tc>
        <w:tc>
          <w:tcPr>
            <w:tcW w:w="120" w:type="dxa"/>
            <w:vAlign w:val="bottom"/>
            <w:shd w:val="clear" w:color="auto" w:fill="FCEABC"/>
          </w:tcPr>
          <w:p>
            <w:pPr>
              <w:spacing w:after="0"/>
              <w:rPr>
                <w:sz w:val="15"/>
                <w:szCs w:val="15"/>
                <w:color w:val="auto"/>
              </w:rPr>
            </w:pPr>
          </w:p>
        </w:tc>
        <w:tc>
          <w:tcPr>
            <w:tcW w:w="100" w:type="dxa"/>
            <w:vAlign w:val="bottom"/>
            <w:shd w:val="clear" w:color="auto" w:fill="FCEABC"/>
          </w:tcPr>
          <w:p>
            <w:pPr>
              <w:spacing w:after="0"/>
              <w:rPr>
                <w:sz w:val="15"/>
                <w:szCs w:val="15"/>
                <w:color w:val="auto"/>
              </w:rPr>
            </w:pPr>
          </w:p>
        </w:tc>
        <w:tc>
          <w:tcPr>
            <w:tcW w:w="660" w:type="dxa"/>
            <w:vAlign w:val="bottom"/>
            <w:vMerge w:val="continue"/>
            <w:shd w:val="clear" w:color="auto" w:fill="FCEABC"/>
          </w:tcPr>
          <w:p>
            <w:pPr>
              <w:spacing w:after="0"/>
              <w:rPr>
                <w:sz w:val="15"/>
                <w:szCs w:val="15"/>
                <w:color w:val="auto"/>
              </w:rPr>
            </w:pPr>
          </w:p>
        </w:tc>
        <w:tc>
          <w:tcPr>
            <w:tcW w:w="920" w:type="dxa"/>
            <w:vAlign w:val="bottom"/>
            <w:gridSpan w:val="2"/>
            <w:vMerge w:val="continue"/>
            <w:shd w:val="clear" w:color="auto" w:fill="FCEAB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66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color w:val="auto"/>
              </w:rPr>
              <w:t>Mathew Faulkner,</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403,868</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0"/>
                <w:szCs w:val="10"/>
                <w:color w:val="auto"/>
              </w:rPr>
            </w:pPr>
          </w:p>
        </w:tc>
        <w:tc>
          <w:tcPr>
            <w:tcW w:w="12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585,268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660" w:type="dxa"/>
            <w:vAlign w:val="bottom"/>
            <w:gridSpan w:val="2"/>
          </w:tcPr>
          <w:p>
            <w:pPr>
              <w:ind w:left="120"/>
              <w:spacing w:after="0" w:line="146" w:lineRule="exact"/>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94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660" w:type="dxa"/>
            <w:vAlign w:val="bottom"/>
            <w:gridSpan w:val="2"/>
          </w:tcPr>
          <w:p>
            <w:pPr>
              <w:spacing w:after="0" w:line="151" w:lineRule="exact"/>
              <w:rPr>
                <w:sz w:val="20"/>
                <w:szCs w:val="20"/>
                <w:color w:val="auto"/>
              </w:rPr>
            </w:pPr>
            <w:r>
              <w:rPr>
                <w:rFonts w:ascii="Times New Roman" w:cs="Times New Roman" w:eastAsia="Times New Roman" w:hAnsi="Times New Roman"/>
                <w:sz w:val="13"/>
                <w:szCs w:val="13"/>
                <w:color w:val="auto"/>
              </w:rPr>
              <w:t>Anthony Georgiadis</w:t>
            </w:r>
            <w:r>
              <w:rPr>
                <w:rFonts w:ascii="Times New Roman" w:cs="Times New Roman" w:eastAsia="Times New Roman" w:hAnsi="Times New Roman"/>
                <w:sz w:val="17"/>
                <w:szCs w:val="17"/>
                <w:color w:val="auto"/>
                <w:vertAlign w:val="superscript"/>
              </w:rPr>
              <w:t>(4)</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552,114</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38,104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4,362,514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46"/>
        </w:trPr>
        <w:tc>
          <w:tcPr>
            <w:tcW w:w="2660" w:type="dxa"/>
            <w:vAlign w:val="bottom"/>
            <w:gridSpan w:val="2"/>
          </w:tcPr>
          <w:p>
            <w:pPr>
              <w:ind w:left="120"/>
              <w:spacing w:after="0" w:line="146" w:lineRule="exact"/>
              <w:rPr>
                <w:sz w:val="20"/>
                <w:szCs w:val="20"/>
                <w:color w:val="auto"/>
              </w:rPr>
            </w:pPr>
            <w:r>
              <w:rPr>
                <w:rFonts w:ascii="Times New Roman" w:cs="Times New Roman" w:eastAsia="Times New Roman" w:hAnsi="Times New Roman"/>
                <w:sz w:val="14"/>
                <w:szCs w:val="14"/>
                <w:i w:val="1"/>
                <w:iCs w:val="1"/>
                <w:color w:val="auto"/>
              </w:rPr>
              <w:t>Director and President</w:t>
            </w:r>
          </w:p>
        </w:tc>
        <w:tc>
          <w:tcPr>
            <w:tcW w:w="94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660" w:type="dxa"/>
            <w:vAlign w:val="bottom"/>
            <w:gridSpan w:val="2"/>
          </w:tcPr>
          <w:p>
            <w:pPr>
              <w:spacing w:after="0" w:line="151" w:lineRule="exact"/>
              <w:rPr>
                <w:sz w:val="20"/>
                <w:szCs w:val="20"/>
                <w:color w:val="auto"/>
              </w:rPr>
            </w:pPr>
            <w:r>
              <w:rPr>
                <w:rFonts w:ascii="Times New Roman" w:cs="Times New Roman" w:eastAsia="Times New Roman" w:hAnsi="Times New Roman"/>
                <w:sz w:val="13"/>
                <w:szCs w:val="13"/>
                <w:color w:val="auto"/>
              </w:rPr>
              <w:t>Jeffrey Goldman</w:t>
            </w:r>
            <w:r>
              <w:rPr>
                <w:rFonts w:ascii="Times New Roman" w:cs="Times New Roman" w:eastAsia="Times New Roman" w:hAnsi="Times New Roman"/>
                <w:sz w:val="17"/>
                <w:szCs w:val="17"/>
                <w:color w:val="auto"/>
                <w:vertAlign w:val="superscript"/>
              </w:rPr>
              <w:t>(5)</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1,775,612</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1,775,612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660" w:type="dxa"/>
            <w:vAlign w:val="bottom"/>
            <w:gridSpan w:val="2"/>
          </w:tcPr>
          <w:p>
            <w:pPr>
              <w:ind w:left="120"/>
              <w:spacing w:after="0" w:line="146" w:lineRule="exact"/>
              <w:rPr>
                <w:sz w:val="20"/>
                <w:szCs w:val="20"/>
                <w:color w:val="auto"/>
              </w:rPr>
            </w:pPr>
            <w:r>
              <w:rPr>
                <w:rFonts w:ascii="Times New Roman" w:cs="Times New Roman" w:eastAsia="Times New Roman" w:hAnsi="Times New Roman"/>
                <w:sz w:val="14"/>
                <w:szCs w:val="14"/>
                <w:i w:val="1"/>
                <w:iCs w:val="1"/>
                <w:color w:val="auto"/>
              </w:rPr>
              <w:t>Director</w:t>
            </w:r>
          </w:p>
        </w:tc>
        <w:tc>
          <w:tcPr>
            <w:tcW w:w="94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660" w:type="dxa"/>
            <w:vAlign w:val="bottom"/>
            <w:gridSpan w:val="2"/>
          </w:tcPr>
          <w:p>
            <w:pPr>
              <w:spacing w:after="0" w:line="151" w:lineRule="exact"/>
              <w:rPr>
                <w:sz w:val="20"/>
                <w:szCs w:val="20"/>
                <w:color w:val="auto"/>
              </w:rPr>
            </w:pPr>
            <w:r>
              <w:rPr>
                <w:rFonts w:ascii="Times New Roman" w:cs="Times New Roman" w:eastAsia="Times New Roman" w:hAnsi="Times New Roman"/>
                <w:sz w:val="13"/>
                <w:szCs w:val="13"/>
                <w:color w:val="auto"/>
              </w:rPr>
              <w:t>Benjamin Kovler</w:t>
            </w:r>
            <w:r>
              <w:rPr>
                <w:rFonts w:ascii="Times New Roman" w:cs="Times New Roman" w:eastAsia="Times New Roman" w:hAnsi="Times New Roman"/>
                <w:sz w:val="17"/>
                <w:szCs w:val="17"/>
                <w:color w:val="auto"/>
                <w:vertAlign w:val="superscript"/>
              </w:rPr>
              <w:t>(6)</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735,908</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140,754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14,811,308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146"/>
        </w:trPr>
        <w:tc>
          <w:tcPr>
            <w:tcW w:w="2660" w:type="dxa"/>
            <w:vAlign w:val="bottom"/>
            <w:gridSpan w:val="2"/>
          </w:tcPr>
          <w:p>
            <w:pPr>
              <w:ind w:left="120"/>
              <w:spacing w:after="0" w:line="146" w:lineRule="exact"/>
              <w:rPr>
                <w:sz w:val="20"/>
                <w:szCs w:val="20"/>
                <w:color w:val="auto"/>
              </w:rPr>
            </w:pPr>
            <w:r>
              <w:rPr>
                <w:rFonts w:ascii="Times New Roman" w:cs="Times New Roman" w:eastAsia="Times New Roman" w:hAnsi="Times New Roman"/>
                <w:sz w:val="14"/>
                <w:szCs w:val="14"/>
                <w:i w:val="1"/>
                <w:iCs w:val="1"/>
                <w:color w:val="auto"/>
              </w:rPr>
              <w:t>Chairman and Chief Executive Officer</w:t>
            </w:r>
          </w:p>
        </w:tc>
        <w:tc>
          <w:tcPr>
            <w:tcW w:w="94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660" w:type="dxa"/>
            <w:vAlign w:val="bottom"/>
            <w:gridSpan w:val="2"/>
          </w:tcPr>
          <w:p>
            <w:pPr>
              <w:spacing w:after="0" w:line="151" w:lineRule="exact"/>
              <w:rPr>
                <w:sz w:val="20"/>
                <w:szCs w:val="20"/>
                <w:color w:val="auto"/>
              </w:rPr>
            </w:pPr>
            <w:r>
              <w:rPr>
                <w:rFonts w:ascii="Times New Roman" w:cs="Times New Roman" w:eastAsia="Times New Roman" w:hAnsi="Times New Roman"/>
                <w:sz w:val="13"/>
                <w:szCs w:val="13"/>
                <w:color w:val="auto"/>
              </w:rPr>
              <w:t>Bret Kravitz</w:t>
            </w:r>
            <w:r>
              <w:rPr>
                <w:rFonts w:ascii="Times New Roman" w:cs="Times New Roman" w:eastAsia="Times New Roman" w:hAnsi="Times New Roman"/>
                <w:sz w:val="17"/>
                <w:szCs w:val="17"/>
                <w:color w:val="auto"/>
                <w:vertAlign w:val="superscript"/>
              </w:rPr>
              <w:t>(7)</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418,388</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448,588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66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i w:val="1"/>
                <w:iCs w:val="1"/>
                <w:color w:val="auto"/>
              </w:rPr>
              <w:t>General Counsel and Secretary</w:t>
            </w:r>
          </w:p>
        </w:tc>
        <w:tc>
          <w:tcPr>
            <w:tcW w:w="94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66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Ethan Nadelmann,</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62,994</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62,994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660" w:type="dxa"/>
            <w:vAlign w:val="bottom"/>
            <w:gridSpan w:val="2"/>
          </w:tcPr>
          <w:p>
            <w:pPr>
              <w:ind w:left="120"/>
              <w:spacing w:after="0" w:line="146" w:lineRule="exact"/>
              <w:rPr>
                <w:sz w:val="20"/>
                <w:szCs w:val="20"/>
                <w:color w:val="auto"/>
              </w:rPr>
            </w:pPr>
            <w:r>
              <w:rPr>
                <w:rFonts w:ascii="Times New Roman" w:cs="Times New Roman" w:eastAsia="Times New Roman" w:hAnsi="Times New Roman"/>
                <w:sz w:val="14"/>
                <w:szCs w:val="14"/>
                <w:i w:val="1"/>
                <w:iCs w:val="1"/>
                <w:color w:val="auto"/>
              </w:rPr>
              <w:t>Director</w:t>
            </w:r>
          </w:p>
        </w:tc>
        <w:tc>
          <w:tcPr>
            <w:tcW w:w="94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660" w:type="dxa"/>
            <w:vAlign w:val="bottom"/>
            <w:gridSpan w:val="2"/>
          </w:tcPr>
          <w:p>
            <w:pPr>
              <w:spacing w:after="0" w:line="151" w:lineRule="exact"/>
              <w:rPr>
                <w:sz w:val="20"/>
                <w:szCs w:val="20"/>
                <w:color w:val="auto"/>
              </w:rPr>
            </w:pPr>
            <w:r>
              <w:rPr>
                <w:rFonts w:ascii="Times New Roman" w:cs="Times New Roman" w:eastAsia="Times New Roman" w:hAnsi="Times New Roman"/>
                <w:sz w:val="13"/>
                <w:szCs w:val="13"/>
                <w:color w:val="auto"/>
              </w:rPr>
              <w:t>Richard Reisin</w:t>
            </w:r>
            <w:r>
              <w:rPr>
                <w:rFonts w:ascii="Times New Roman" w:cs="Times New Roman" w:eastAsia="Times New Roman" w:hAnsi="Times New Roman"/>
                <w:sz w:val="17"/>
                <w:szCs w:val="17"/>
                <w:color w:val="auto"/>
                <w:vertAlign w:val="superscript"/>
              </w:rPr>
              <w:t>(8)</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142,097</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142,097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2660" w:type="dxa"/>
            <w:vAlign w:val="bottom"/>
            <w:gridSpan w:val="2"/>
          </w:tcPr>
          <w:p>
            <w:pPr>
              <w:ind w:left="120"/>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9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660" w:type="dxa"/>
            <w:vAlign w:val="bottom"/>
            <w:gridSpan w:val="2"/>
            <w:shd w:val="clear" w:color="auto" w:fill="FCEABC"/>
          </w:tcPr>
          <w:p>
            <w:pPr>
              <w:spacing w:after="0" w:line="124" w:lineRule="exact"/>
              <w:rPr>
                <w:sz w:val="20"/>
                <w:szCs w:val="20"/>
                <w:color w:val="auto"/>
              </w:rPr>
            </w:pPr>
            <w:r>
              <w:rPr>
                <w:rFonts w:ascii="Times New Roman" w:cs="Times New Roman" w:eastAsia="Times New Roman" w:hAnsi="Times New Roman"/>
                <w:sz w:val="14"/>
                <w:szCs w:val="14"/>
                <w:color w:val="auto"/>
              </w:rPr>
              <w:t>Hannah (Buchan) Ross,</w:t>
            </w:r>
          </w:p>
        </w:tc>
        <w:tc>
          <w:tcPr>
            <w:tcW w:w="940" w:type="dxa"/>
            <w:vAlign w:val="bottom"/>
            <w:vMerge w:val="restart"/>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66,484</w:t>
            </w:r>
          </w:p>
        </w:tc>
        <w:tc>
          <w:tcPr>
            <w:tcW w:w="900" w:type="dxa"/>
            <w:vAlign w:val="bottom"/>
            <w:gridSpan w:val="2"/>
            <w:vMerge w:val="restart"/>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FCEABC"/>
          </w:tcPr>
          <w:p>
            <w:pPr>
              <w:spacing w:after="0"/>
              <w:rPr>
                <w:sz w:val="10"/>
                <w:szCs w:val="10"/>
                <w:color w:val="auto"/>
              </w:rPr>
            </w:pPr>
          </w:p>
        </w:tc>
        <w:tc>
          <w:tcPr>
            <w:tcW w:w="1220" w:type="dxa"/>
            <w:vAlign w:val="bottom"/>
            <w:gridSpan w:val="3"/>
            <w:vMerge w:val="restart"/>
            <w:shd w:val="clear" w:color="auto" w:fill="FCEAB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FCEABC"/>
          </w:tcPr>
          <w:p>
            <w:pPr>
              <w:spacing w:after="0"/>
              <w:rPr>
                <w:sz w:val="10"/>
                <w:szCs w:val="10"/>
                <w:color w:val="auto"/>
              </w:rPr>
            </w:pPr>
          </w:p>
        </w:tc>
        <w:tc>
          <w:tcPr>
            <w:tcW w:w="1260" w:type="dxa"/>
            <w:vAlign w:val="bottom"/>
            <w:gridSpan w:val="3"/>
            <w:vMerge w:val="restart"/>
            <w:shd w:val="clear" w:color="auto" w:fill="FCEAB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66,484</w:t>
            </w:r>
          </w:p>
        </w:tc>
        <w:tc>
          <w:tcPr>
            <w:tcW w:w="120" w:type="dxa"/>
            <w:vAlign w:val="bottom"/>
            <w:shd w:val="clear" w:color="auto" w:fill="FCEABC"/>
          </w:tcPr>
          <w:p>
            <w:pPr>
              <w:spacing w:after="0"/>
              <w:rPr>
                <w:sz w:val="10"/>
                <w:szCs w:val="10"/>
                <w:color w:val="auto"/>
              </w:rPr>
            </w:pPr>
          </w:p>
        </w:tc>
        <w:tc>
          <w:tcPr>
            <w:tcW w:w="100" w:type="dxa"/>
            <w:vAlign w:val="bottom"/>
            <w:shd w:val="clear" w:color="auto" w:fill="FCEABC"/>
          </w:tcPr>
          <w:p>
            <w:pPr>
              <w:spacing w:after="0"/>
              <w:rPr>
                <w:sz w:val="10"/>
                <w:szCs w:val="10"/>
                <w:color w:val="auto"/>
              </w:rPr>
            </w:pPr>
          </w:p>
        </w:tc>
        <w:tc>
          <w:tcPr>
            <w:tcW w:w="660" w:type="dxa"/>
            <w:vAlign w:val="bottom"/>
            <w:vMerge w:val="restart"/>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2660" w:type="dxa"/>
            <w:vAlign w:val="bottom"/>
            <w:gridSpan w:val="2"/>
            <w:shd w:val="clear" w:color="auto" w:fill="FCEABC"/>
          </w:tcPr>
          <w:p>
            <w:pPr>
              <w:ind w:left="120"/>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940" w:type="dxa"/>
            <w:vAlign w:val="bottom"/>
            <w:vMerge w:val="continue"/>
            <w:shd w:val="clear" w:color="auto" w:fill="FCEABC"/>
          </w:tcPr>
          <w:p>
            <w:pPr>
              <w:spacing w:after="0"/>
              <w:rPr>
                <w:sz w:val="15"/>
                <w:szCs w:val="15"/>
                <w:color w:val="auto"/>
              </w:rPr>
            </w:pPr>
          </w:p>
        </w:tc>
        <w:tc>
          <w:tcPr>
            <w:tcW w:w="900" w:type="dxa"/>
            <w:vAlign w:val="bottom"/>
            <w:gridSpan w:val="2"/>
            <w:vMerge w:val="continue"/>
            <w:shd w:val="clear" w:color="auto" w:fill="FCEABC"/>
          </w:tcPr>
          <w:p>
            <w:pPr>
              <w:spacing w:after="0"/>
              <w:rPr>
                <w:sz w:val="15"/>
                <w:szCs w:val="15"/>
                <w:color w:val="auto"/>
              </w:rPr>
            </w:pPr>
          </w:p>
        </w:tc>
        <w:tc>
          <w:tcPr>
            <w:tcW w:w="120" w:type="dxa"/>
            <w:vAlign w:val="bottom"/>
            <w:shd w:val="clear" w:color="auto" w:fill="FCEABC"/>
          </w:tcPr>
          <w:p>
            <w:pPr>
              <w:spacing w:after="0"/>
              <w:rPr>
                <w:sz w:val="15"/>
                <w:szCs w:val="15"/>
                <w:color w:val="auto"/>
              </w:rPr>
            </w:pPr>
          </w:p>
        </w:tc>
        <w:tc>
          <w:tcPr>
            <w:tcW w:w="1220" w:type="dxa"/>
            <w:vAlign w:val="bottom"/>
            <w:gridSpan w:val="3"/>
            <w:vMerge w:val="continue"/>
            <w:shd w:val="clear" w:color="auto" w:fill="FCEABC"/>
          </w:tcPr>
          <w:p>
            <w:pPr>
              <w:spacing w:after="0"/>
              <w:rPr>
                <w:sz w:val="15"/>
                <w:szCs w:val="15"/>
                <w:color w:val="auto"/>
              </w:rPr>
            </w:pPr>
          </w:p>
        </w:tc>
        <w:tc>
          <w:tcPr>
            <w:tcW w:w="600" w:type="dxa"/>
            <w:vAlign w:val="bottom"/>
            <w:vMerge w:val="continue"/>
            <w:shd w:val="clear" w:color="auto" w:fill="FCEABC"/>
          </w:tcPr>
          <w:p>
            <w:pPr>
              <w:spacing w:after="0"/>
              <w:rPr>
                <w:sz w:val="15"/>
                <w:szCs w:val="15"/>
                <w:color w:val="auto"/>
              </w:rPr>
            </w:pPr>
          </w:p>
        </w:tc>
        <w:tc>
          <w:tcPr>
            <w:tcW w:w="100" w:type="dxa"/>
            <w:vAlign w:val="bottom"/>
            <w:shd w:val="clear" w:color="auto" w:fill="FCEABC"/>
          </w:tcPr>
          <w:p>
            <w:pPr>
              <w:spacing w:after="0"/>
              <w:rPr>
                <w:sz w:val="15"/>
                <w:szCs w:val="15"/>
                <w:color w:val="auto"/>
              </w:rPr>
            </w:pPr>
          </w:p>
        </w:tc>
        <w:tc>
          <w:tcPr>
            <w:tcW w:w="1260" w:type="dxa"/>
            <w:vAlign w:val="bottom"/>
            <w:gridSpan w:val="3"/>
            <w:vMerge w:val="continue"/>
            <w:shd w:val="clear" w:color="auto" w:fill="FCEABC"/>
          </w:tcPr>
          <w:p>
            <w:pPr>
              <w:spacing w:after="0"/>
              <w:rPr>
                <w:sz w:val="15"/>
                <w:szCs w:val="15"/>
                <w:color w:val="auto"/>
              </w:rPr>
            </w:pPr>
          </w:p>
        </w:tc>
        <w:tc>
          <w:tcPr>
            <w:tcW w:w="580" w:type="dxa"/>
            <w:vAlign w:val="bottom"/>
            <w:vMerge w:val="continue"/>
            <w:shd w:val="clear" w:color="auto" w:fill="FCEABC"/>
          </w:tcPr>
          <w:p>
            <w:pPr>
              <w:spacing w:after="0"/>
              <w:rPr>
                <w:sz w:val="15"/>
                <w:szCs w:val="15"/>
                <w:color w:val="auto"/>
              </w:rPr>
            </w:pPr>
          </w:p>
        </w:tc>
        <w:tc>
          <w:tcPr>
            <w:tcW w:w="1060" w:type="dxa"/>
            <w:vAlign w:val="bottom"/>
            <w:gridSpan w:val="2"/>
            <w:vMerge w:val="continue"/>
            <w:shd w:val="clear" w:color="auto" w:fill="FCEABC"/>
          </w:tcPr>
          <w:p>
            <w:pPr>
              <w:spacing w:after="0"/>
              <w:rPr>
                <w:sz w:val="15"/>
                <w:szCs w:val="15"/>
                <w:color w:val="auto"/>
              </w:rPr>
            </w:pPr>
          </w:p>
        </w:tc>
        <w:tc>
          <w:tcPr>
            <w:tcW w:w="120" w:type="dxa"/>
            <w:vAlign w:val="bottom"/>
            <w:shd w:val="clear" w:color="auto" w:fill="FCEABC"/>
          </w:tcPr>
          <w:p>
            <w:pPr>
              <w:spacing w:after="0"/>
              <w:rPr>
                <w:sz w:val="15"/>
                <w:szCs w:val="15"/>
                <w:color w:val="auto"/>
              </w:rPr>
            </w:pPr>
          </w:p>
        </w:tc>
        <w:tc>
          <w:tcPr>
            <w:tcW w:w="100" w:type="dxa"/>
            <w:vAlign w:val="bottom"/>
            <w:shd w:val="clear" w:color="auto" w:fill="FCEABC"/>
          </w:tcPr>
          <w:p>
            <w:pPr>
              <w:spacing w:after="0"/>
              <w:rPr>
                <w:sz w:val="15"/>
                <w:szCs w:val="15"/>
                <w:color w:val="auto"/>
              </w:rPr>
            </w:pPr>
          </w:p>
        </w:tc>
        <w:tc>
          <w:tcPr>
            <w:tcW w:w="660" w:type="dxa"/>
            <w:vAlign w:val="bottom"/>
            <w:vMerge w:val="continue"/>
            <w:shd w:val="clear" w:color="auto" w:fill="FCEABC"/>
          </w:tcPr>
          <w:p>
            <w:pPr>
              <w:spacing w:after="0"/>
              <w:rPr>
                <w:sz w:val="15"/>
                <w:szCs w:val="15"/>
                <w:color w:val="auto"/>
              </w:rPr>
            </w:pPr>
          </w:p>
        </w:tc>
        <w:tc>
          <w:tcPr>
            <w:tcW w:w="920" w:type="dxa"/>
            <w:vAlign w:val="bottom"/>
            <w:gridSpan w:val="2"/>
            <w:vMerge w:val="continue"/>
            <w:shd w:val="clear" w:color="auto" w:fill="FCEAB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66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All Board directors and executive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4,223,336</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2,116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5.6%</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178,858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88.7%</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22,320,736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9.9%</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44.9%</w:t>
            </w:r>
          </w:p>
        </w:tc>
        <w:tc>
          <w:tcPr>
            <w:tcW w:w="0" w:type="dxa"/>
            <w:vAlign w:val="bottom"/>
          </w:tcPr>
          <w:p>
            <w:pPr>
              <w:spacing w:after="0"/>
              <w:rPr>
                <w:sz w:val="1"/>
                <w:szCs w:val="1"/>
                <w:color w:val="auto"/>
              </w:rPr>
            </w:pPr>
          </w:p>
        </w:tc>
      </w:tr>
      <w:tr>
        <w:trPr>
          <w:trHeight w:val="146"/>
        </w:trPr>
        <w:tc>
          <w:tcPr>
            <w:tcW w:w="2660" w:type="dxa"/>
            <w:vAlign w:val="bottom"/>
            <w:gridSpan w:val="2"/>
          </w:tcPr>
          <w:p>
            <w:pPr>
              <w:ind w:left="120"/>
              <w:spacing w:after="0" w:line="146" w:lineRule="exact"/>
              <w:rPr>
                <w:sz w:val="20"/>
                <w:szCs w:val="20"/>
                <w:color w:val="auto"/>
              </w:rPr>
            </w:pPr>
            <w:r>
              <w:rPr>
                <w:rFonts w:ascii="Times New Roman" w:cs="Times New Roman" w:eastAsia="Times New Roman" w:hAnsi="Times New Roman"/>
                <w:sz w:val="14"/>
                <w:szCs w:val="14"/>
                <w:b w:val="1"/>
                <w:bCs w:val="1"/>
                <w:color w:val="auto"/>
              </w:rPr>
              <w:t>officers as a group</w:t>
            </w:r>
          </w:p>
        </w:tc>
        <w:tc>
          <w:tcPr>
            <w:tcW w:w="94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3"/>
                <w:szCs w:val="13"/>
                <w:color w:val="auto"/>
              </w:rPr>
              <w:t>Andrew Grossman</w:t>
            </w:r>
            <w:r>
              <w:rPr>
                <w:rFonts w:ascii="Times New Roman" w:cs="Times New Roman" w:eastAsia="Times New Roman" w:hAnsi="Times New Roman"/>
                <w:sz w:val="17"/>
                <w:szCs w:val="17"/>
                <w:color w:val="auto"/>
                <w:vertAlign w:val="superscript"/>
              </w:rPr>
              <w:t>(9)</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627,974</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2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22,832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2,911,174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3"/>
                <w:szCs w:val="13"/>
                <w:color w:val="auto"/>
              </w:rPr>
              <w:t>BF CA Holdings 2016 LLC</w:t>
            </w:r>
            <w:r>
              <w:rPr>
                <w:rFonts w:ascii="Times New Roman" w:cs="Times New Roman" w:eastAsia="Times New Roman" w:hAnsi="Times New Roman"/>
                <w:sz w:val="17"/>
                <w:szCs w:val="17"/>
                <w:color w:val="auto"/>
                <w:vertAlign w:val="superscript"/>
              </w:rPr>
              <w:t>(10)</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2,246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2"/>
                <w:szCs w:val="12"/>
                <w:color w:val="auto"/>
              </w:rPr>
            </w:pPr>
          </w:p>
        </w:tc>
        <w:tc>
          <w:tcPr>
            <w:tcW w:w="12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224,600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3"/>
                <w:szCs w:val="13"/>
                <w:color w:val="auto"/>
              </w:rPr>
              <w:t>BF REMS Holdings 2016 LLC</w:t>
            </w:r>
            <w:r>
              <w:rPr>
                <w:rFonts w:ascii="Times New Roman" w:cs="Times New Roman" w:eastAsia="Times New Roman" w:hAnsi="Times New Roman"/>
                <w:sz w:val="17"/>
                <w:szCs w:val="17"/>
                <w:color w:val="auto"/>
                <w:vertAlign w:val="superscript"/>
              </w:rPr>
              <w:t>(10)</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9,704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2"/>
                <w:szCs w:val="12"/>
                <w:color w:val="auto"/>
              </w:rPr>
            </w:pPr>
          </w:p>
        </w:tc>
        <w:tc>
          <w:tcPr>
            <w:tcW w:w="12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1,470,400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Donald Russell Capital LLC</w:t>
            </w:r>
            <w:r>
              <w:rPr>
                <w:rFonts w:ascii="Times New Roman" w:cs="Times New Roman" w:eastAsia="Times New Roman" w:hAnsi="Times New Roman"/>
                <w:sz w:val="19"/>
                <w:szCs w:val="19"/>
                <w:color w:val="auto"/>
                <w:vertAlign w:val="superscript"/>
              </w:rPr>
              <w:t>(11)</w:t>
            </w:r>
            <w:r>
              <w:rPr>
                <w:rFonts w:ascii="Times New Roman" w:cs="Times New Roman" w:eastAsia="Times New Roman" w:hAnsi="Times New Roman"/>
                <w:sz w:val="19"/>
                <w:szCs w:val="19"/>
                <w:color w:val="auto"/>
                <w:vertAlign w:val="subscript"/>
              </w:rPr>
              <w:t>(12)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9"/>
                <w:szCs w:val="19"/>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1,191,100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266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Medical Herbal Solutions LLC</w:t>
            </w:r>
          </w:p>
        </w:tc>
        <w:tc>
          <w:tcPr>
            <w:tcW w:w="9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5"/>
                <w:szCs w:val="5"/>
                <w:color w:val="auto"/>
              </w:rPr>
            </w:pPr>
          </w:p>
        </w:tc>
        <w:tc>
          <w:tcPr>
            <w:tcW w:w="8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0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5,700</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15.2%</w:t>
            </w:r>
          </w:p>
        </w:tc>
        <w:tc>
          <w:tcPr>
            <w:tcW w:w="100" w:type="dxa"/>
            <w:vAlign w:val="bottom"/>
          </w:tcPr>
          <w:p>
            <w:pPr>
              <w:spacing w:after="0"/>
              <w:rPr>
                <w:sz w:val="5"/>
                <w:szCs w:val="5"/>
                <w:color w:val="auto"/>
              </w:rPr>
            </w:pPr>
          </w:p>
        </w:tc>
        <w:tc>
          <w:tcPr>
            <w:tcW w:w="1260" w:type="dxa"/>
            <w:vAlign w:val="bottom"/>
            <w:gridSpan w:val="3"/>
          </w:tcPr>
          <w:p>
            <w:pPr>
              <w:jc w:val="right"/>
              <w:ind w:right="320"/>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0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570,000</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9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53"/>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ZLD Capital LLC</w:t>
            </w:r>
            <w:r>
              <w:rPr>
                <w:rFonts w:ascii="Times New Roman" w:cs="Times New Roman" w:eastAsia="Times New Roman" w:hAnsi="Times New Roman"/>
                <w:sz w:val="19"/>
                <w:szCs w:val="19"/>
                <w:color w:val="auto"/>
                <w:vertAlign w:val="superscript"/>
              </w:rPr>
              <w:t>(13)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21"/>
                <w:szCs w:val="21"/>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226,400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-2122805</wp:posOffset>
            </wp:positionV>
            <wp:extent cx="713232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-1745615</wp:posOffset>
            </wp:positionV>
            <wp:extent cx="713232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-1368425</wp:posOffset>
            </wp:positionV>
            <wp:extent cx="713232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94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93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93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19030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1%</w:t>
      </w:r>
    </w:p>
    <w:p>
      <w:pPr>
        <w:spacing w:after="0" w:line="96" w:lineRule="exact"/>
        <w:rPr>
          <w:sz w:val="20"/>
          <w:szCs w:val="20"/>
          <w:color w:val="auto"/>
        </w:rPr>
      </w:pPr>
    </w:p>
    <w:p>
      <w:pPr>
        <w:ind w:left="380" w:right="300" w:hanging="372"/>
        <w:spacing w:after="0" w:line="261" w:lineRule="auto"/>
        <w:tabs>
          <w:tab w:leader="none" w:pos="3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Subordinate Voting Shares subject to Options that are or become exercisable within 60 days of April 5, 2026, and shares underlying RSUs that are scheduled to vest within 60 days of April 5, 2026, and shares underlying warrants exercisable within 60 days of April 5, 2026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1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3"/>
                <w:szCs w:val="13"/>
                <w:color w:val="auto"/>
              </w:rPr>
            </w:pPr>
          </w:p>
        </w:tc>
        <w:tc>
          <w:tcPr>
            <w:tcW w:w="11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0" w:type="dxa"/>
            <w:vAlign w:val="bottom"/>
          </w:tcPr>
          <w:p>
            <w:pPr>
              <w:spacing w:after="0"/>
              <w:rPr>
                <w:sz w:val="13"/>
                <w:szCs w:val="13"/>
                <w:color w:val="auto"/>
              </w:rPr>
            </w:pPr>
          </w:p>
        </w:tc>
        <w:tc>
          <w:tcPr>
            <w:tcW w:w="10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1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02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Dawn Wilson Barnes</w:t>
            </w:r>
          </w:p>
        </w:tc>
        <w:tc>
          <w:tcPr>
            <w:tcW w:w="2260" w:type="dxa"/>
            <w:vAlign w:val="bottom"/>
            <w:shd w:val="clear" w:color="auto" w:fill="FCEABC"/>
          </w:tcPr>
          <w:p>
            <w:pPr>
              <w:spacing w:after="0"/>
              <w:rPr>
                <w:sz w:val="18"/>
                <w:szCs w:val="18"/>
                <w:color w:val="auto"/>
              </w:rPr>
            </w:pPr>
          </w:p>
        </w:tc>
        <w:tc>
          <w:tcPr>
            <w:tcW w:w="11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FCEABC"/>
          </w:tcPr>
          <w:p>
            <w:pPr>
              <w:spacing w:after="0"/>
              <w:rPr>
                <w:sz w:val="18"/>
                <w:szCs w:val="18"/>
                <w:color w:val="auto"/>
              </w:rPr>
            </w:pPr>
          </w:p>
        </w:tc>
        <w:tc>
          <w:tcPr>
            <w:tcW w:w="1100" w:type="dxa"/>
            <w:vAlign w:val="bottom"/>
            <w:shd w:val="clear" w:color="auto" w:fill="FCEAB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FCEABC"/>
          </w:tcPr>
          <w:p>
            <w:pPr>
              <w:spacing w:after="0"/>
              <w:rPr>
                <w:sz w:val="18"/>
                <w:szCs w:val="18"/>
                <w:color w:val="auto"/>
              </w:rPr>
            </w:pPr>
          </w:p>
        </w:tc>
        <w:tc>
          <w:tcPr>
            <w:tcW w:w="116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Mathew Faulkner</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255,178</w:t>
            </w:r>
          </w:p>
        </w:tc>
        <w:tc>
          <w:tcPr>
            <w:tcW w:w="180" w:type="dxa"/>
            <w:vAlign w:val="bottom"/>
          </w:tcPr>
          <w:p>
            <w:pPr>
              <w:spacing w:after="0"/>
              <w:rPr>
                <w:sz w:val="18"/>
                <w:szCs w:val="18"/>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2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Anthony Georgiadis</w:t>
            </w:r>
          </w:p>
        </w:tc>
        <w:tc>
          <w:tcPr>
            <w:tcW w:w="336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351,245</w:t>
            </w:r>
          </w:p>
        </w:tc>
        <w:tc>
          <w:tcPr>
            <w:tcW w:w="180" w:type="dxa"/>
            <w:vAlign w:val="bottom"/>
            <w:shd w:val="clear" w:color="auto" w:fill="FCEABC"/>
          </w:tcPr>
          <w:p>
            <w:pPr>
              <w:spacing w:after="0"/>
              <w:rPr>
                <w:sz w:val="18"/>
                <w:szCs w:val="18"/>
                <w:color w:val="auto"/>
              </w:rPr>
            </w:pPr>
          </w:p>
        </w:tc>
        <w:tc>
          <w:tcPr>
            <w:tcW w:w="1100" w:type="dxa"/>
            <w:vAlign w:val="bottom"/>
            <w:shd w:val="clear" w:color="auto" w:fill="FCEAB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80" w:type="dxa"/>
            <w:vAlign w:val="bottom"/>
            <w:shd w:val="clear" w:color="auto" w:fill="FCEAB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Jeffrey Goldman</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20,654</w:t>
            </w:r>
          </w:p>
        </w:tc>
        <w:tc>
          <w:tcPr>
            <w:tcW w:w="180" w:type="dxa"/>
            <w:vAlign w:val="bottom"/>
          </w:tcPr>
          <w:p>
            <w:pPr>
              <w:spacing w:after="0"/>
              <w:rPr>
                <w:sz w:val="18"/>
                <w:szCs w:val="18"/>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2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Benjamin Kovler</w:t>
            </w:r>
          </w:p>
        </w:tc>
        <w:tc>
          <w:tcPr>
            <w:tcW w:w="336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429,070</w:t>
            </w:r>
          </w:p>
        </w:tc>
        <w:tc>
          <w:tcPr>
            <w:tcW w:w="180" w:type="dxa"/>
            <w:vAlign w:val="bottom"/>
            <w:shd w:val="clear" w:color="auto" w:fill="FCEABC"/>
          </w:tcPr>
          <w:p>
            <w:pPr>
              <w:spacing w:after="0"/>
              <w:rPr>
                <w:sz w:val="18"/>
                <w:szCs w:val="18"/>
                <w:color w:val="auto"/>
              </w:rPr>
            </w:pPr>
          </w:p>
        </w:tc>
        <w:tc>
          <w:tcPr>
            <w:tcW w:w="1100" w:type="dxa"/>
            <w:vAlign w:val="bottom"/>
            <w:shd w:val="clear" w:color="auto" w:fill="FCEAB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80" w:type="dxa"/>
            <w:vAlign w:val="bottom"/>
            <w:shd w:val="clear" w:color="auto" w:fill="FCEAB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Bret Kravitz</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209,560</w:t>
            </w:r>
          </w:p>
        </w:tc>
        <w:tc>
          <w:tcPr>
            <w:tcW w:w="180" w:type="dxa"/>
            <w:vAlign w:val="bottom"/>
          </w:tcPr>
          <w:p>
            <w:pPr>
              <w:spacing w:after="0"/>
              <w:rPr>
                <w:sz w:val="18"/>
                <w:szCs w:val="18"/>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2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Ethan Nadelmann</w:t>
            </w:r>
          </w:p>
        </w:tc>
        <w:tc>
          <w:tcPr>
            <w:tcW w:w="2260" w:type="dxa"/>
            <w:vAlign w:val="bottom"/>
            <w:shd w:val="clear" w:color="auto" w:fill="FCEABC"/>
          </w:tcPr>
          <w:p>
            <w:pPr>
              <w:spacing w:after="0"/>
              <w:rPr>
                <w:sz w:val="18"/>
                <w:szCs w:val="18"/>
                <w:color w:val="auto"/>
              </w:rPr>
            </w:pPr>
          </w:p>
        </w:tc>
        <w:tc>
          <w:tcPr>
            <w:tcW w:w="11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FCEABC"/>
          </w:tcPr>
          <w:p>
            <w:pPr>
              <w:spacing w:after="0"/>
              <w:rPr>
                <w:sz w:val="18"/>
                <w:szCs w:val="18"/>
                <w:color w:val="auto"/>
              </w:rPr>
            </w:pPr>
          </w:p>
        </w:tc>
        <w:tc>
          <w:tcPr>
            <w:tcW w:w="1100" w:type="dxa"/>
            <w:vAlign w:val="bottom"/>
            <w:shd w:val="clear" w:color="auto" w:fill="FCEAB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FCEABC"/>
          </w:tcPr>
          <w:p>
            <w:pPr>
              <w:spacing w:after="0"/>
              <w:rPr>
                <w:sz w:val="18"/>
                <w:szCs w:val="18"/>
                <w:color w:val="auto"/>
              </w:rPr>
            </w:pPr>
          </w:p>
        </w:tc>
        <w:tc>
          <w:tcPr>
            <w:tcW w:w="116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Richard Reisin</w:t>
            </w:r>
          </w:p>
        </w:tc>
        <w:tc>
          <w:tcPr>
            <w:tcW w:w="2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02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Hannah (Buchan) Ross</w:t>
            </w:r>
          </w:p>
        </w:tc>
        <w:tc>
          <w:tcPr>
            <w:tcW w:w="2260" w:type="dxa"/>
            <w:vAlign w:val="bottom"/>
            <w:shd w:val="clear" w:color="auto" w:fill="FCEABC"/>
          </w:tcPr>
          <w:p>
            <w:pPr>
              <w:spacing w:after="0"/>
              <w:rPr>
                <w:sz w:val="18"/>
                <w:szCs w:val="18"/>
                <w:color w:val="auto"/>
              </w:rPr>
            </w:pPr>
          </w:p>
        </w:tc>
        <w:tc>
          <w:tcPr>
            <w:tcW w:w="11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FCEABC"/>
          </w:tcPr>
          <w:p>
            <w:pPr>
              <w:spacing w:after="0"/>
              <w:rPr>
                <w:sz w:val="18"/>
                <w:szCs w:val="18"/>
                <w:color w:val="auto"/>
              </w:rPr>
            </w:pPr>
          </w:p>
        </w:tc>
        <w:tc>
          <w:tcPr>
            <w:tcW w:w="1100" w:type="dxa"/>
            <w:vAlign w:val="bottom"/>
            <w:shd w:val="clear" w:color="auto" w:fill="FCEAB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FCEABC"/>
          </w:tcPr>
          <w:p>
            <w:pPr>
              <w:spacing w:after="0"/>
              <w:rPr>
                <w:sz w:val="18"/>
                <w:szCs w:val="18"/>
                <w:color w:val="auto"/>
              </w:rPr>
            </w:pPr>
          </w:p>
        </w:tc>
        <w:tc>
          <w:tcPr>
            <w:tcW w:w="116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Andrew Grossman</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398,831</w:t>
            </w:r>
          </w:p>
        </w:tc>
        <w:tc>
          <w:tcPr>
            <w:tcW w:w="180" w:type="dxa"/>
            <w:vAlign w:val="bottom"/>
          </w:tcPr>
          <w:p>
            <w:pPr>
              <w:spacing w:after="0"/>
              <w:rPr>
                <w:sz w:val="20"/>
                <w:szCs w:val="20"/>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3" w:name="page34"/>
    <w:bookmarkEnd w:id="33"/>
    <w:p>
      <w:pPr>
        <w:ind w:left="372" w:right="80"/>
        <w:spacing w:after="0" w:line="229" w:lineRule="auto"/>
        <w:rPr>
          <w:sz w:val="20"/>
          <w:szCs w:val="20"/>
          <w:color w:val="auto"/>
        </w:rPr>
      </w:pPr>
      <w:r>
        <w:rPr>
          <w:rFonts w:ascii="Times New Roman" w:cs="Times New Roman" w:eastAsia="Times New Roman" w:hAnsi="Times New Roman"/>
          <w:sz w:val="14"/>
          <w:szCs w:val="14"/>
          <w:color w:val="auto"/>
        </w:rPr>
        <w:t>Of the warrants to purchase Subordinate Voting Shares reported for Mr. Kovler, 2,023 are held by KP Capital, LLC and 6,732 are held by Outsiders Capital, LLC. Of the warrants to purchase Subordinate Voting Shares reported for Mr. Georgiadis, 6,732 are held by ABG LLC (which is 50% owned by Mr. Georgiadis and 50% owned by a third party) and 3,366 are held by Three One Four Holdings LLC. Of the warrants to purchase Subordinate Voting Shares reported for Mr. Grossman, 2,019 are held by AG Funding Group, LLC.</w:t>
      </w:r>
    </w:p>
    <w:p>
      <w:pPr>
        <w:ind w:left="372" w:hanging="372"/>
        <w:spacing w:after="0" w:line="222" w:lineRule="auto"/>
        <w:tabs>
          <w:tab w:leader="none" w:pos="3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share values are on an as-converted basis.</w:t>
      </w:r>
    </w:p>
    <w:p>
      <w:pPr>
        <w:ind w:left="372" w:hanging="372"/>
        <w:spacing w:after="0" w:line="221" w:lineRule="auto"/>
        <w:tabs>
          <w:tab w:leader="none" w:pos="3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percentages differ from the beneficial ownership percentages in the total capital stock because the Company’s classes of securities have different voting rights.</w:t>
      </w:r>
    </w:p>
    <w:p>
      <w:pPr>
        <w:ind w:left="372" w:right="260" w:hanging="372"/>
        <w:spacing w:after="0" w:line="221" w:lineRule="auto"/>
        <w:tabs>
          <w:tab w:leader="none" w:pos="3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18,364 Subordinate Voting Shares and 1,589 Super Voting Shares held by ABG LLC (which is 50% owned by Mr. Georgiadis and 50% owned by a third party), and 1,728 Subordinate Voting Shares and 1,333 Super Voting Shares held by Three One Four Holdings LLC.</w:t>
      </w:r>
    </w:p>
    <w:p>
      <w:pPr>
        <w:ind w:left="372" w:hanging="372"/>
        <w:spacing w:after="0" w:line="221" w:lineRule="auto"/>
        <w:tabs>
          <w:tab w:leader="none" w:pos="3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45,013 Subordinate Voting Shares held by Peter D. Goldman Trust and 294,718 Subordinate Voting Shares held by Amy B. Goldman Trust.</w:t>
      </w:r>
    </w:p>
    <w:p>
      <w:pPr>
        <w:ind w:left="372" w:hanging="372"/>
        <w:spacing w:after="0" w:line="221" w:lineRule="auto"/>
        <w:tabs>
          <w:tab w:leader="none" w:pos="3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158,130 Subordinate Voting Shares and 80,642 Super Voting Shares held by Outsiders Capital LLC. Includes 66 Subordinate Voting Shares held by KP Capital, LLC. Includes 5,000 Super Voting Shares held by BK 2021 Descendant Trust.</w:t>
      </w:r>
    </w:p>
    <w:p>
      <w:pPr>
        <w:ind w:left="372" w:hanging="372"/>
        <w:spacing w:after="0" w:line="221" w:lineRule="auto"/>
        <w:tabs>
          <w:tab w:leader="none" w:pos="3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159,136 Subordinate Voting Shares and 302 Multiple Voting Shares held by Bret D. Kravitz Revocable Trust.</w:t>
      </w:r>
    </w:p>
    <w:p>
      <w:pPr>
        <w:ind w:left="372" w:hanging="372"/>
        <w:spacing w:after="0" w:line="221" w:lineRule="auto"/>
        <w:tabs>
          <w:tab w:leader="none" w:pos="3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70,285 Subordinate Voting Shares held by Richard A. Reisin Revocable Trust.</w:t>
      </w:r>
    </w:p>
    <w:p>
      <w:pPr>
        <w:ind w:left="372" w:hanging="372"/>
        <w:spacing w:after="0" w:line="221" w:lineRule="auto"/>
        <w:tabs>
          <w:tab w:leader="none" w:pos="3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Grossman is the Executive Vice President of Capital Markets and Investor Relations.</w:t>
      </w:r>
    </w:p>
    <w:p>
      <w:pPr>
        <w:ind w:left="372" w:hanging="372"/>
        <w:spacing w:after="0" w:line="221" w:lineRule="auto"/>
        <w:tabs>
          <w:tab w:leader="none" w:pos="3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reporting from the Company’s transfer agent. Address: 2010-300 E. Lombard Street, Baltimore, Maryland 22012.</w:t>
      </w:r>
    </w:p>
    <w:p>
      <w:pPr>
        <w:ind w:left="372" w:hanging="372"/>
        <w:spacing w:after="0" w:line="221" w:lineRule="auto"/>
        <w:tabs>
          <w:tab w:leader="none" w:pos="3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reporting from the Company’s transfer agent. Address: 520 Coconut Isle Dr., Fort Lauderdale, FL 33301.</w:t>
      </w:r>
    </w:p>
    <w:p>
      <w:pPr>
        <w:ind w:left="372" w:hanging="372"/>
        <w:spacing w:after="0" w:line="221" w:lineRule="auto"/>
        <w:tabs>
          <w:tab w:leader="none" w:pos="3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reporting from the Company’s transfer agent. Address: PH 60—60 Hendricks Isle, Fort Lauderdale, Florida 33301.</w:t>
      </w:r>
    </w:p>
    <w:p>
      <w:pPr>
        <w:ind w:left="372" w:hanging="372"/>
        <w:spacing w:after="0"/>
        <w:tabs>
          <w:tab w:leader="none" w:pos="3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reporting from the Company’s transfer agent. Address: 2311 North Andrews Avenue, Fort Lauderdale, Florida 33311.</w:t>
      </w:r>
    </w:p>
    <w:p>
      <w:pPr>
        <w:spacing w:after="0" w:line="200" w:lineRule="exact"/>
        <w:rPr>
          <w:sz w:val="20"/>
          <w:szCs w:val="20"/>
          <w:color w:val="auto"/>
        </w:rPr>
      </w:pPr>
    </w:p>
    <w:p>
      <w:pPr>
        <w:spacing w:after="0" w:line="208" w:lineRule="exact"/>
        <w:rPr>
          <w:sz w:val="20"/>
          <w:szCs w:val="20"/>
          <w:color w:val="auto"/>
        </w:rPr>
      </w:pPr>
    </w:p>
    <w:p>
      <w:pPr>
        <w:jc w:val="center"/>
        <w:ind w:right="-211"/>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32"/>
          </w:cols>
          <w:pgMar w:left="328" w:top="1089" w:right="539" w:bottom="1440" w:gutter="0" w:footer="0" w:header="0"/>
        </w:sectPr>
      </w:pPr>
    </w:p>
    <w:bookmarkStart w:id="34" w:name="page35"/>
    <w:bookmarkEnd w:id="3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BASED COMPENSATION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June 11, 2018, shareholders approved the Stock and Incentive Plan. The Stock and Incentive Plan permits the grant of: (i) nonqualified stock options (“</w:t>
      </w:r>
      <w:r>
        <w:rPr>
          <w:rFonts w:ascii="Times New Roman" w:cs="Times New Roman" w:eastAsia="Times New Roman" w:hAnsi="Times New Roman"/>
          <w:sz w:val="18"/>
          <w:szCs w:val="18"/>
          <w:b w:val="1"/>
          <w:bCs w:val="1"/>
          <w:color w:val="auto"/>
        </w:rPr>
        <w:t>NQSOs</w:t>
      </w:r>
      <w:r>
        <w:rPr>
          <w:rFonts w:ascii="Times New Roman" w:cs="Times New Roman" w:eastAsia="Times New Roman" w:hAnsi="Times New Roman"/>
          <w:sz w:val="18"/>
          <w:szCs w:val="18"/>
          <w:color w:val="auto"/>
        </w:rPr>
        <w:t>”) and incentive stock options (“</w:t>
      </w:r>
      <w:r>
        <w:rPr>
          <w:rFonts w:ascii="Times New Roman" w:cs="Times New Roman" w:eastAsia="Times New Roman" w:hAnsi="Times New Roman"/>
          <w:sz w:val="18"/>
          <w:szCs w:val="18"/>
          <w:b w:val="1"/>
          <w:bCs w:val="1"/>
          <w:color w:val="auto"/>
        </w:rPr>
        <w:t>ISOs</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(ii) restricted stock awards; (iii) RSUs; (iv) SARs; and (v) performance compensation awards, which are referred herein collectively as “</w:t>
      </w: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 as more fully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out information as of December 31, 2025 with respect to the Stock and Incentive Plan.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6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w:t>
            </w: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6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6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6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534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0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40" w:type="dxa"/>
            <w:vAlign w:val="bottom"/>
            <w:gridSpan w:val="2"/>
            <w:shd w:val="clear" w:color="auto" w:fill="FCEABC"/>
          </w:tcPr>
          <w:p>
            <w:pPr>
              <w:spacing w:after="0" w:line="210"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r>
              <w:rPr>
                <w:rFonts w:ascii="Times New Roman" w:cs="Times New Roman" w:eastAsia="Times New Roman" w:hAnsi="Times New Roman"/>
                <w:sz w:val="24"/>
                <w:szCs w:val="24"/>
                <w:color w:val="auto"/>
                <w:vertAlign w:val="superscript"/>
              </w:rPr>
              <w:t>(1)</w:t>
            </w:r>
          </w:p>
        </w:tc>
        <w:tc>
          <w:tcPr>
            <w:tcW w:w="1640" w:type="dxa"/>
            <w:vAlign w:val="bottom"/>
            <w:gridSpan w:val="2"/>
            <w:shd w:val="clear" w:color="auto" w:fill="FCEABC"/>
          </w:tcPr>
          <w:p>
            <w:pPr>
              <w:jc w:val="right"/>
              <w:ind w:right="140"/>
              <w:spacing w:after="0"/>
              <w:rPr>
                <w:sz w:val="20"/>
                <w:szCs w:val="20"/>
                <w:color w:val="auto"/>
              </w:rPr>
            </w:pPr>
            <w:r>
              <w:rPr>
                <w:rFonts w:ascii="Times New Roman" w:cs="Times New Roman" w:eastAsia="Times New Roman" w:hAnsi="Times New Roman"/>
                <w:sz w:val="18"/>
                <w:szCs w:val="18"/>
                <w:color w:val="auto"/>
              </w:rPr>
              <w:t>7,692,764</w:t>
            </w:r>
          </w:p>
        </w:tc>
        <w:tc>
          <w:tcPr>
            <w:tcW w:w="260" w:type="dxa"/>
            <w:vAlign w:val="bottom"/>
            <w:gridSpan w:val="2"/>
            <w:shd w:val="clear" w:color="auto" w:fill="FCEAB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FCEABC"/>
          </w:tcPr>
          <w:p>
            <w:pPr>
              <w:jc w:val="right"/>
              <w:ind w:right="200"/>
              <w:spacing w:after="0"/>
              <w:rPr>
                <w:sz w:val="20"/>
                <w:szCs w:val="20"/>
                <w:color w:val="auto"/>
              </w:rPr>
            </w:pPr>
            <w:r>
              <w:rPr>
                <w:rFonts w:ascii="Times New Roman" w:cs="Times New Roman" w:eastAsia="Times New Roman" w:hAnsi="Times New Roman"/>
                <w:sz w:val="18"/>
                <w:szCs w:val="18"/>
                <w:color w:val="auto"/>
              </w:rPr>
              <w:t>10.65</w:t>
            </w:r>
          </w:p>
        </w:tc>
        <w:tc>
          <w:tcPr>
            <w:tcW w:w="160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17,370,850</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Nil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Nil</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gridSpan w:val="2"/>
            <w:shd w:val="clear" w:color="auto" w:fill="FCEAB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gridSpan w:val="2"/>
            <w:shd w:val="clear" w:color="auto" w:fill="FCEABC"/>
          </w:tcPr>
          <w:p>
            <w:pPr>
              <w:jc w:val="right"/>
              <w:ind w:right="140"/>
              <w:spacing w:after="0"/>
              <w:rPr>
                <w:sz w:val="20"/>
                <w:szCs w:val="20"/>
                <w:color w:val="auto"/>
              </w:rPr>
            </w:pPr>
            <w:r>
              <w:rPr>
                <w:rFonts w:ascii="Times New Roman" w:cs="Times New Roman" w:eastAsia="Times New Roman" w:hAnsi="Times New Roman"/>
                <w:sz w:val="18"/>
                <w:szCs w:val="18"/>
                <w:color w:val="auto"/>
              </w:rPr>
              <w:t>7,692,764</w:t>
            </w:r>
          </w:p>
        </w:tc>
        <w:tc>
          <w:tcPr>
            <w:tcW w:w="260" w:type="dxa"/>
            <w:vAlign w:val="bottom"/>
            <w:gridSpan w:val="2"/>
            <w:shd w:val="clear" w:color="auto" w:fill="FCEAB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FCEABC"/>
          </w:tcPr>
          <w:p>
            <w:pPr>
              <w:jc w:val="right"/>
              <w:ind w:right="200"/>
              <w:spacing w:after="0"/>
              <w:rPr>
                <w:sz w:val="20"/>
                <w:szCs w:val="20"/>
                <w:color w:val="auto"/>
              </w:rPr>
            </w:pPr>
            <w:r>
              <w:rPr>
                <w:rFonts w:ascii="Times New Roman" w:cs="Times New Roman" w:eastAsia="Times New Roman" w:hAnsi="Times New Roman"/>
                <w:sz w:val="18"/>
                <w:szCs w:val="18"/>
                <w:color w:val="auto"/>
              </w:rPr>
              <w:t>10.65</w:t>
            </w:r>
          </w:p>
        </w:tc>
        <w:tc>
          <w:tcPr>
            <w:tcW w:w="160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17,370,850</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31" w:lineRule="exact"/>
        <w:rPr>
          <w:sz w:val="20"/>
          <w:szCs w:val="20"/>
          <w:color w:val="auto"/>
        </w:rPr>
      </w:pPr>
    </w:p>
    <w:p>
      <w:pPr>
        <w:ind w:left="380" w:right="700" w:hanging="372"/>
        <w:spacing w:after="0" w:line="280" w:lineRule="auto"/>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number of Subordinate Voting Shares issuable under the Stock and Incentive Plan of the Company as of December 31, 2025 was 34,581,907, representing 15% of the number of the issued and Outstanding Share Number.</w:t>
      </w:r>
    </w:p>
    <w:p>
      <w:pPr>
        <w:spacing w:after="0" w:line="17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At December 31, 2025, the following Awards were outstanding under the Stock and Incentive Plan: (i) a total of 7,692,764 Options, representing approximately 3.3% of the then Outstanding Share Number; and (ii) a total of 9,518,293 RSUs, representing approximately 4.1% of the then Outstanding Share Number. As of December 31, 2025, an aggregate of 17,370,850 Subordinate Voting Shares remained available for issuance under the Stock and Incentive Plan, representing approximately 7.5% of the then Outstanding Share Number.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Terms and Conditions of the Stock and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 of the Stock and Incentive Plan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purpose of the Stock and Incentive Plan is to enable the Company and its affiliated companies to: (i) promote and retain employees, officers, consultants, advisors and directors capable of assuring the future success of the Company; (ii) to offer such persons incentives to put forth maximum efforts; and (iii) to compensate such persons through various stock and cash-based arrangements and provide them with opportunities for stock ownership, thereby aligning the interests of such persons and shareholders.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Eligible Persons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of the Company’s employees, officers, directors, consultants (who are natural persons) are eligible to participate in the Stock and Incentive Plan if selected by the Compensation Committee (as defined herein) (the “</w:t>
      </w:r>
      <w:r>
        <w:rPr>
          <w:rFonts w:ascii="Times New Roman" w:cs="Times New Roman" w:eastAsia="Times New Roman" w:hAnsi="Times New Roman"/>
          <w:sz w:val="18"/>
          <w:szCs w:val="18"/>
          <w:b w:val="1"/>
          <w:bCs w:val="1"/>
          <w:color w:val="auto"/>
        </w:rPr>
        <w:t>Participants</w:t>
      </w:r>
      <w:r>
        <w:rPr>
          <w:rFonts w:ascii="Times New Roman" w:cs="Times New Roman" w:eastAsia="Times New Roman" w:hAnsi="Times New Roman"/>
          <w:sz w:val="18"/>
          <w:szCs w:val="18"/>
          <w:color w:val="auto"/>
        </w:rPr>
        <w:t>”). The basis of participation of an individual under the Stock and Incentive Plan, and the type and amount of any Award that an individual will be entitled to receive under the Stock and Incentive Plan, will be determined by the Compensation Committee based on its judgment as to the best interests of the Company and its shareholders, and therefore cannot be determined in advance.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maximum number of Subordinate Voting Shares that may be issued under the Stock and Incentive Plan shall be determined by the Board from time to time, but in no case shall exceed, in the aggregate, 15% of the Outstanding Share Number. Notwithstanding the foregoing, a maximum of 20,000,000 Subordinate Voting Shares may be issued as ISOs, subject to adjustment as provided in the Stock and Incentive Plan. Any shares subject to an Award under the Stock and Incentive Plan that are forfeited, cancelled, expire unexercised, exercised, settled in cash, used or withheld to satisfy tax withholding obligations of a Participant, or, in the case of RSUs, vested, shall again be available for Awards under the Stock and Incentive Plan.</w:t>
      </w:r>
    </w:p>
    <w:p>
      <w:pPr>
        <w:spacing w:after="0" w:line="18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the event of any dividend, recapitalization, forward or reverse stock split, reorganization, merger, amalgamation, consolidation, split-up, split-off, combination, repurchase or exchange of Subordinate Voting Shares or other securities of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5" w:name="page36"/>
    <w:bookmarkEnd w:id="35"/>
    <w:p>
      <w:pPr>
        <w:ind w:right="100"/>
        <w:spacing w:after="0" w:line="254" w:lineRule="auto"/>
        <w:rPr>
          <w:sz w:val="20"/>
          <w:szCs w:val="20"/>
          <w:color w:val="auto"/>
        </w:rPr>
      </w:pPr>
      <w:r>
        <w:rPr>
          <w:rFonts w:ascii="Times New Roman" w:cs="Times New Roman" w:eastAsia="Times New Roman" w:hAnsi="Times New Roman"/>
          <w:sz w:val="18"/>
          <w:szCs w:val="18"/>
          <w:color w:val="auto"/>
        </w:rPr>
        <w:t>Company, issuance of warrants or other rights to acquire Subordinate Voting Shares or other securities of the Company, or other similar corporate transaction or event, which affects the Subordinate Voting Shares, or unusual or nonrecurring events affecting the Company, or the financial statements of the Company, or changes in applicable rules, rulings, regulations or other requirements of any governmental body or securities exchange or inter-dealer quotation system, accounting principles or law, the Compensation Committee may make such adjustment, which is appropriate in order to prevent dilution or enlargement of the rights of Participants under the Stock and Incentive Plan, to: (i) the number and kind of shares which may thereafter be issued in connection with Awards; (ii) the number and kind of shares issuable in respect of outstanding Awards; (iii) the purchase price or exercise price relating to any Award or, if deemed appropriate, make provision for a cash payment with respect to any outstanding Award; and (iv) any share limit set forth in the Stock and Incentive Plan.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Awards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Stock and Incentive Plan, the Company is authorized to issue the following types of Awards to Participants: (i) Options; (ii) restricted stock awards; (iii) RSUs; (iv) SARs; and (v) performance compensation awards, as more fully described below.</w:t>
      </w:r>
    </w:p>
    <w:p>
      <w:pPr>
        <w:spacing w:after="0" w:line="270"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Compensation Committee is authorized to grant Options to purchase Subordinate Voting Shares that are either ISOs meaning they are intended to satisfy the requirements of Section 422 of the </w:t>
      </w:r>
      <w:r>
        <w:rPr>
          <w:rFonts w:ascii="Times New Roman" w:cs="Times New Roman" w:eastAsia="Times New Roman" w:hAnsi="Times New Roman"/>
          <w:sz w:val="18"/>
          <w:szCs w:val="18"/>
          <w:i w:val="1"/>
          <w:iCs w:val="1"/>
          <w:color w:val="auto"/>
        </w:rPr>
        <w:t>U.S. Internal Revenue Code of 1986</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or NQSOs, meaning they are not intended to satisfy the requirements of Section 422 of the Code. Options granted under the Stock and Incentive Plan will be subject to the terms and conditions established by the Compensation Committee. Under the terms of the Stock and Incentive Plan, unless the Compensation Committee determines otherwise in the case of an Option substituted for another Option in connection with a corporate transaction, the exercise price of the Options will not be less than the fair market value (as determined under the Stock and Incentive Plan) of the shares at the time of grant. Options granted under the Stock and Incentive Plan will be subject to such terms, including the exercise price and the conditions and timing of exercise, as may be determined by the Compensation Committee and specified in the applicable award agreement. The maximum term of an Option granted under the Stock and Incentive Plan will be ten years from the date of grant (or five years in the case of an ISO granted to a 10% shareholder). Payment in respect of the exercise of an Option may be made in cash or by check, by surrender of unrestricted shares (at their fair market value on the date of exercise) or by such other method as the Compensation Committee may determine to be appropriate.</w:t>
      </w:r>
    </w:p>
    <w:p>
      <w:pPr>
        <w:spacing w:after="0" w:line="300"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SARs</w:t>
      </w:r>
    </w:p>
    <w:p>
      <w:pPr>
        <w:spacing w:after="0" w:line="11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An SAR entitles the recipient to receive, upon exercise of the SAR, the increase in the fair market value of a specified number of Subordinate Voting Shares from the date of the grant of the SAR and the date of exercise payable in Subordinate Voting Shares. Any grant may specify a vesting period or periods before the SAR may become exercisable and permissible dates or periods on or during which the SAR shall be exercisable. No SAR may be exercised more than ten years from the grant date. Upon a Participant’s termination of service, the same general conditions applicable to Options as described above would be applicable to the SAR.</w:t>
      </w:r>
    </w:p>
    <w:p>
      <w:pPr>
        <w:spacing w:after="0" w:line="291"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RSUs</w:t>
      </w:r>
    </w:p>
    <w:p>
      <w:pPr>
        <w:spacing w:after="0" w:line="11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RSUs are granted in reference to a specified number of Subordinate Voting Shares and entitle the holder to receive, on achievement of specific performance goals established by the Compensation Committee, after a period of continued service with the Company or its affiliates or any combination of the above as set forth in the applicable award agreement, one Subordinate Voting Share for each such Subordinate Voting Share covered by the RSU; provided, that the Compensation Committee may elect to pay cash, or part cash and part Subordinate Voting Shares in lieu of delivering only Subordinate Voting Shares. The Compensation Committee may, in its discretion, accelerate the vesting of RSUs. Unless otherwise provided in the applicable award agreement or as may be determined by the Compensation Committee, upon a Participant’s termination of service with the Company, the unvested portion of the RSUs will be forfeited.</w:t>
      </w:r>
    </w:p>
    <w:p>
      <w:pPr>
        <w:spacing w:after="0" w:line="297"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 restricted stock award is a grant of Subordinate Voting Shares, which are subject to forfeiture restrictions during a restriction period. The Compensation Committee will determine the price, if any, to be paid by the Participant for each Subordinate Voting Share subject to a restricted stock award. The Compensation Committee may condition the expiration of the restriction period, if any, upon: (i) the Participant’s continued service over a period of time with the Company or its affiliates; (ii) the achievement by the Participant, the Company or its affiliates of any other performance goals set by the Compensation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6" w:name="page37"/>
    <w:bookmarkEnd w:id="36"/>
    <w:p>
      <w:pPr>
        <w:ind w:right="20"/>
        <w:spacing w:after="0" w:line="254" w:lineRule="auto"/>
        <w:rPr>
          <w:sz w:val="20"/>
          <w:szCs w:val="20"/>
          <w:color w:val="auto"/>
        </w:rPr>
      </w:pPr>
      <w:r>
        <w:rPr>
          <w:rFonts w:ascii="Times New Roman" w:cs="Times New Roman" w:eastAsia="Times New Roman" w:hAnsi="Times New Roman"/>
          <w:sz w:val="18"/>
          <w:szCs w:val="18"/>
          <w:color w:val="auto"/>
        </w:rPr>
        <w:t>Committee; or (iii) any combination of the above conditions as specified in the applicable award agreement. If the specified conditions are not attained, the Participant will forfeit the portion of the restricted stock award with respect to which those conditions are not attained, and the underlying Subordinate Voting Shares will be forfeited. At the end of the restriction period, if the conditions, if any, have been satisfied, the restrictions imposed will lapse with respect to the applicable number of Subordinate Voting Shares. During the restriction period, unless otherwise provided in the applicable award agreement, a Participant will have the right to vote the shares underlying the restricted stock; however, all dividends will remain subject to restriction until the stock with respect to which the dividend was issued lapses. The Compensation Committee may, in its discretion, accelerate the vesting and delivery of shares of restricted stock. Unless otherwise provided in the applicable award agreement or as may be determined by the Compensation Committee, upon a Participant’s termination of service with the Company, the unvested portion of a restricted stock award will be forfeited.</w:t>
      </w:r>
    </w:p>
    <w:p>
      <w:pPr>
        <w:spacing w:after="0" w:line="300"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Awards and Other Awards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Awards may be granted alone, in addition to, or in tandem with any other Award or any award granted under another plan of the Company or an affiliate. Awards granted in addition to or in tandem with other Awards may be granted either at the same time or at different times. The date of grant, the number of Subordinate Voting Shares, the vesting period and any other terms and conditions of Awards granted pursuant to the Stock and Incentive Plan are to be determined by the Board, subject to the express provisions of the Stock and Incentive Plan.</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Board may also grant other share-based awards to Participants pursuant to the Stock and Incentive Plan. All such awards shall be granted on terms determined by the Board and shall be subject to the approval of the Canadian Securities Exchange (“</w:t>
      </w:r>
      <w:r>
        <w:rPr>
          <w:rFonts w:ascii="Times New Roman" w:cs="Times New Roman" w:eastAsia="Times New Roman" w:hAnsi="Times New Roman"/>
          <w:sz w:val="18"/>
          <w:szCs w:val="18"/>
          <w:b w:val="1"/>
          <w:bCs w:val="1"/>
          <w:color w:val="auto"/>
        </w:rPr>
        <w:t>CSE</w:t>
      </w:r>
      <w:r>
        <w:rPr>
          <w:rFonts w:ascii="Times New Roman" w:cs="Times New Roman" w:eastAsia="Times New Roman" w:hAnsi="Times New Roman"/>
          <w:sz w:val="18"/>
          <w:szCs w:val="18"/>
          <w:color w:val="auto"/>
        </w:rPr>
        <w:t>”) if required.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of the Stock and Incentive Plan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Compensation Committee may impose restrictions on the grant, exercise or payment of an Award as it determines appropriate. Generally, Awards granted under the Stock and Incentive Plan shall be nontransferable except by will or by the laws of descent and distribution. No Participant shall have any rights as a shareholder with respect to Subordinate Voting Shares covered by Options, SARs, restricted stock awards, or RSUs, unless and until such Awards are settled in Subordinate Voting Shares.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 Option (or, if applicable, SARs) shall be exercisable, no Subordinate Voting Shares shall be issued, no certificates for Subordinate Voting Shares shall be delivered and no payment shall be made under the Stock and Incentive Plan except in compliance with all applicable laws.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Withholding</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may take such action as it deems appropriate to ensure that all applicable federal, state, local and/or foreign payroll, withholding, income or other taxes, which are the sole and absolute responsibility of a Participant, are withheld or collected from such Participant.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Subject to the provisions of the Stock and Incentive Plan, the Board may from time to time amend, suspend or terminate the Stock and Incentive Plan, and the Compensation Committee may amend the terms of any previously granted Award, provided that no amendment to the terms of any previously granted Award may (except as expressly provided in the Stock and Incentive Plan) materially and adversely alter or impair the terms or conditions of the Award previously granted to a Participant under the Stock and Incentive Plan without the written consent of the Participant or holder thereof. Any amendment to the Stock and Incentive Plan, or to the terms of any Award previously granted, is subject to compliance with all applicable laws, rules, regulations and policies of any applicable governmental entity or securities exchange, including receipt of any required approval from the governmental entity or stock exchange, and any such amendment, alteration, suspension, discontinuation or termination of an Award will be in compliance with the policies of the CSE.</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greater certainty and without limiting the foregoing, the Board may amend, suspend, terminate or discontinue the Stock and Incentive Plan, and the Compensation Committee may amend or alter any previously granted Award, as applicable, without obtaining the approval of shareholders in order to: (i) amend the eligibility for, and limitations or conditions imposed upon, participation in the Stock and Incentive Plan; (ii) amend any terms relating to the granting or exercise of Awards; (iii) make changes that are necessary or desirable to comply with applicable laws, rules, regulations and policies of any applicable governmental entity or stock exchange (including amendments to Awards necessary or desirable to avoid any adverse tax</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37" w:name="page38"/>
    <w:bookmarkEnd w:id="37"/>
    <w:p>
      <w:pPr>
        <w:ind w:right="340"/>
        <w:spacing w:after="0" w:line="282" w:lineRule="auto"/>
        <w:rPr>
          <w:sz w:val="20"/>
          <w:szCs w:val="20"/>
          <w:color w:val="auto"/>
        </w:rPr>
      </w:pPr>
      <w:r>
        <w:rPr>
          <w:rFonts w:ascii="Times New Roman" w:cs="Times New Roman" w:eastAsia="Times New Roman" w:hAnsi="Times New Roman"/>
          <w:sz w:val="18"/>
          <w:szCs w:val="18"/>
          <w:color w:val="auto"/>
        </w:rPr>
        <w:t>results under Section 409A of the Code); (iv) amend any terms relating to the administration of the Stock and Incentive Plan; or (v) correct any defect, supply any omission or reconcile any inconsistency in the Stock and Incentive Plan or in any Award or Award agreement.</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Stock and Incentive Plan specifically provides that shareholder approval would be required for any amendments to the Stock and Incentive Plan or an Award that would: (i) require shareholder approval under the rules or regulations of securities exchange that is applicable to the Company; (ii) increase the number of shares authorized under the Stock and Incentive Plan; (iii) permit repricing of Options or SARs; (iv) permit the award of Options or SARs at a price less than 100% of the fair market value on the date of the grant; (v) permit Options to be transferable other than in accordance with the provisions of the Stock and Incentive Plan; (vi) amend the termination and amendment provisions of the Stock and Incentive Plan; or</w:t>
      </w:r>
    </w:p>
    <w:p>
      <w:pPr>
        <w:spacing w:after="0" w:line="3" w:lineRule="exact"/>
        <w:rPr>
          <w:sz w:val="20"/>
          <w:szCs w:val="20"/>
          <w:color w:val="auto"/>
        </w:rPr>
      </w:pPr>
    </w:p>
    <w:p>
      <w:pPr>
        <w:ind w:right="380" w:firstLine="8"/>
        <w:spacing w:after="0" w:line="260" w:lineRule="auto"/>
        <w:tabs>
          <w:tab w:leader="none" w:pos="3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maximum term permitted for Options and SARs under the Stock and Incentive Plan or extend the terms of any Options beyond their original expiry date.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Transactions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Stock and Incentive Plan provides that, in the event of any reorganization, merger, consolidation, split-up, spin-off, combination, plan of arrangement, take-over bid or tender offer, repurchase or exchange of Subordinate Voting Shares or other securities of the Company or any other similar corporate transaction or event involving the Company (or the Company shall enter into a written agreement to undergo such a transaction or event), the Compensation Committee or the Board may, in its sole discretion, provide for any of the following to be effective upon the consummation of the event (or effective immediately prior to the consummation of the event, provided that the consummation of the event subsequently occurs): (i) either (A) termination of the Award, whether or not vested, in exchange for an amount of cash and/or other property, if any, equal to the amount that would have been attained upon the exercise of the vested portion of the Award or realization of the Participant’s vested rights, or (B) the replacement of the Award with other rights or property selected by the Compensation Committee or the Board, in its sole discretion; (ii) that the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 (iii) that the Award shall be exercisable or payable or fully vested with respect to all Shares covered thereby, notwithstanding anything to the contrary in the applicable Award agreement; or (iv) that the Award cannot vest, be exercised or become payable after a date certain in the future, which may be the effective date of the event.</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6" w:right="399" w:bottom="1440" w:gutter="0" w:footer="0" w:header="0"/>
        </w:sectPr>
      </w:pPr>
    </w:p>
    <w:bookmarkStart w:id="38" w:name="page39"/>
    <w:bookmarkEnd w:id="3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Our business and affairs are managed, and all corporate powers are exercised, under the direction of our Board. Our Board establishes fundamental corporate policies and oversees our performance and the performance of our Chief Executive Officer and the other officers to whom our Board has delegated authority to manage day-to-day business operations.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Biographical information on each member of the Board, including their respective ages and key qualifications, are included above under “Proposals No. 1 and 2—Election of Directors.”</w:t>
      </w:r>
    </w:p>
    <w:p>
      <w:pPr>
        <w:spacing w:after="0" w:line="1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Board has adopted a Code of Ethical Business Conduct for directors, officers and employees (the “</w:t>
      </w:r>
      <w:r>
        <w:rPr>
          <w:rFonts w:ascii="Times New Roman" w:cs="Times New Roman" w:eastAsia="Times New Roman" w:hAnsi="Times New Roman"/>
          <w:sz w:val="18"/>
          <w:szCs w:val="18"/>
          <w:b w:val="1"/>
          <w:bCs w:val="1"/>
          <w:color w:val="auto"/>
        </w:rPr>
        <w:t>Code of Conduct</w:t>
      </w:r>
      <w:r>
        <w:rPr>
          <w:rFonts w:ascii="Times New Roman" w:cs="Times New Roman" w:eastAsia="Times New Roman" w:hAnsi="Times New Roman"/>
          <w:sz w:val="18"/>
          <w:szCs w:val="18"/>
          <w:color w:val="auto"/>
        </w:rPr>
        <w:t xml:space="preserve">”). The Code of Conduct has been filed on and is accessible through Canada’s SEDAR+ under the Company’s profile on sedarplus.ca and is also available on the Investors page of our website at </w:t>
      </w:r>
      <w:r>
        <w:rPr>
          <w:rFonts w:ascii="Times New Roman" w:cs="Times New Roman" w:eastAsia="Times New Roman" w:hAnsi="Times New Roman"/>
          <w:sz w:val="18"/>
          <w:szCs w:val="18"/>
          <w:u w:val="single" w:color="auto"/>
          <w:color w:val="auto"/>
        </w:rPr>
        <w:t>gtigrows.com</w:t>
      </w:r>
      <w:r>
        <w:rPr>
          <w:rFonts w:ascii="Times New Roman" w:cs="Times New Roman" w:eastAsia="Times New Roman" w:hAnsi="Times New Roman"/>
          <w:sz w:val="18"/>
          <w:szCs w:val="18"/>
          <w:color w:val="auto"/>
        </w:rPr>
        <w:t xml:space="preserve">. The Company will, upon request at </w:t>
      </w:r>
      <w:r>
        <w:rPr>
          <w:rFonts w:ascii="Times New Roman" w:cs="Times New Roman" w:eastAsia="Times New Roman" w:hAnsi="Times New Roman"/>
          <w:sz w:val="18"/>
          <w:szCs w:val="18"/>
          <w:u w:val="single" w:color="auto"/>
          <w:color w:val="auto"/>
        </w:rPr>
        <w:t>investorrelations@gtigrows.com</w:t>
      </w:r>
      <w:r>
        <w:rPr>
          <w:rFonts w:ascii="Times New Roman" w:cs="Times New Roman" w:eastAsia="Times New Roman" w:hAnsi="Times New Roman"/>
          <w:sz w:val="18"/>
          <w:szCs w:val="18"/>
          <w:color w:val="auto"/>
        </w:rPr>
        <w:t>, provide a copy of the Code of Conduct free of charge to any shareholder. Further, the Board has adopted a Disclosure and Insider Trading Policy and Related Party Transactions Policy. The information on our website is not deemed to be incorporated in this proxy statement or to be part of this proxy statement.</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Board expects its directors, officers, agents, contractors and employees to act ethically at all times and to acknowledge their adherence to the policies comprising the Code of Conduct. The Audit Committee of the Board oversees the implementation and effectiveness of the Code of Conduct, including overseeing the complaints reported on the Company’s Code of Conduct hotline and reviewing management’s plan for investigations. Any material issues regarding compliance with the Code of Conduct are required to be brought forward by management at either the Board or appropriate Board committee meetings, or are referred to the executive officers of the Company, as may be appropriate in the circumstances. The Board and/or appropriate committee or executive officers determine what remedial steps, if any, are required. Any waivers from the Code of Conduct that are granted for the benefit of a director or executive officer may be granted only by the Board (or a committee thereof, as designated by the Board). No material waiver has ever been granted under the Code of Conduct.</w:t>
      </w:r>
    </w:p>
    <w:p>
      <w:pPr>
        <w:spacing w:after="0" w:line="1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Each director of the Company must disclose all actual or potential conflicts of interest and refrain from voting on matters in which such director has a conflict of interest.</w:t>
      </w:r>
    </w:p>
    <w:p>
      <w:pPr>
        <w:spacing w:after="0" w:line="162"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The Articles provide that the quorum necessary for the transaction of the business of the Board may be set by the directors and, if not so set, is deemed to be set at two (2) directors or, if the number of directors is set at one (1), is deemed to be set at one (1) director, and that director may constitute a meeting.</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Canadian Securities Administrators has issued corporate governance guidelines pursuant to Canadian National Policy 58-201—Corporate Governance Guidelines (the “</w:t>
      </w:r>
      <w:r>
        <w:rPr>
          <w:rFonts w:ascii="Times New Roman" w:cs="Times New Roman" w:eastAsia="Times New Roman" w:hAnsi="Times New Roman"/>
          <w:sz w:val="18"/>
          <w:szCs w:val="18"/>
          <w:b w:val="1"/>
          <w:bCs w:val="1"/>
          <w:color w:val="auto"/>
        </w:rPr>
        <w:t>Corporate Governance Guidelines</w:t>
      </w:r>
      <w:r>
        <w:rPr>
          <w:rFonts w:ascii="Times New Roman" w:cs="Times New Roman" w:eastAsia="Times New Roman" w:hAnsi="Times New Roman"/>
          <w:sz w:val="18"/>
          <w:szCs w:val="18"/>
          <w:color w:val="auto"/>
        </w:rPr>
        <w:t>”), together with certain related disclosure requirements pursuant to Canadian National Instrument 58-101</w:t>
      </w:r>
      <w:r>
        <w:rPr>
          <w:rFonts w:ascii="Times New Roman" w:cs="Times New Roman" w:eastAsia="Times New Roman" w:hAnsi="Times New Roman"/>
          <w:sz w:val="18"/>
          <w:szCs w:val="18"/>
          <w:i w:val="1"/>
          <w:iCs w:val="1"/>
          <w:color w:val="auto"/>
        </w:rPr>
        <w:t>—Disclosure of Corporate Governance Practices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NI 58-101</w:t>
      </w:r>
      <w:r>
        <w:rPr>
          <w:rFonts w:ascii="Times New Roman" w:cs="Times New Roman" w:eastAsia="Times New Roman" w:hAnsi="Times New Roman"/>
          <w:sz w:val="18"/>
          <w:szCs w:val="18"/>
          <w:color w:val="auto"/>
        </w:rPr>
        <w:t>”). The Corporate Governance Guidelines are recommended as “best practices” for issuers to follow. We recognize that good corporate governance plays an important role in our overall success and in enhancing shareholder value and, accordingly, we have adopted certain corporate governance policies and practices which reflect our consideration of the recommended Corporate Governance Guidelines.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Board of Directors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Board is responsible for the stewardship of the Company and managing and supervising management of our business and affairs, including providing guidance and strategic oversight to management. Our Board has the authority to exercise all such powers of the Company as are not, by the BCBCA or by the Articles, required to be exercised by the shareholders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of Directors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Board does not have a nominating committee. Instead, the full Board is responsible for identifying new candidates for nomination of directors to the Board. In particular, the Board considers, in addition to any other factors it deems relevant: (i) the competencies and skills that the Board considers to be necessary for the Board, as a whole, to possess; (ii) the competencies and skills that the Board considers each existing director to possess; (iii) the competencies, skills and background each nominee will bring to the Board; (iv) the time that each nominee will have available to devote to the Company’s business; and (v) whether the nominee will be an independent director. Directors are encouraged to identify potential candidates for the Board. The Company also encourages its executives to identify potential candidates to be considered for a Board position. Shareholders may recommend director candidates for consideration by the Board by writing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9" w:name="page40"/>
    <w:bookmarkEnd w:id="39"/>
    <w:p>
      <w:pPr>
        <w:ind w:right="660"/>
        <w:spacing w:after="0" w:line="282" w:lineRule="auto"/>
        <w:rPr>
          <w:sz w:val="20"/>
          <w:szCs w:val="20"/>
          <w:color w:val="auto"/>
        </w:rPr>
      </w:pPr>
      <w:r>
        <w:rPr>
          <w:rFonts w:ascii="Times New Roman" w:cs="Times New Roman" w:eastAsia="Times New Roman" w:hAnsi="Times New Roman"/>
          <w:sz w:val="18"/>
          <w:szCs w:val="18"/>
          <w:color w:val="auto"/>
        </w:rPr>
        <w:t>to our Corporate Secretary at the address of the Company. An invitation to stand as a nominee for election to the Board will normally be made to a candidate by the Board through the Chairman of the Board or his delegate.</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is committed to diversity in all aspects of its business and activities, including with respect to our Board. The Company and our Board believe that diversity and inclusion foster a wide array of perspectives and help build cultures of trust, candor and respect. The Company and our Board will continue to support and encourage the recruitment and appointment of diverse candidates to Board positions. In addition to recruiting and considering director candidates, our Board annually reviews the competencies, skills and personal qualities applicable to candidates to be considered for nomination to our Board. The objective of this review is to maintain the composition of our Board in a way that provides, in the judgment of our Board, the best mix of competencies, skills and experience to provide for the overall stewardship of the Company.</w:t>
      </w:r>
    </w:p>
    <w:p>
      <w:pPr>
        <w:spacing w:after="0" w:line="187"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Our Board has concluded that vesting the responsibility to nominate directors in the full Board, without the need for a nominating committee, is appropriate at this time. However, our Board will continue to periodically review our leadership structure and may make changes in the future as it deems appropriate.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process by which our shareholders may recommend candidates to be considered for nomination to our Board.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Board has a Chair, currently our Chief Executive Officer, Mr. Kovler, who has authority, among other things, to call and preside over Board meetings. Our Board has concluded that our current leadership structure is appropriate at this time. However, our Board will continue to periodically review our leadership structure and may make changes in the future as it deems appropriate.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Oversight</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Board is responsible for the general oversight of risks that affect us and for providing oversight of our enterprise risk management. Our Board receives regular reports on our operations from our Chief Executive Officer and our President, as well as other members of management. Our Board reviews these reports and makes inquiries in their business judgment.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also fulfills its oversight role through the operations of its various committees, including our Audit Committee and Compensation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receives periodic reports on each committee’s activities.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Audit Committee has responsibility for risk oversight in connection with its review of our financial reports filed with the SEC and on SEDAR+. Our Audit Committee receives reports from our Chief Financial Officer and our independent auditors in connection with the review of our quarterly and annual financial statements regarding significant financial transactions, accounting and reporting matters, critical accounting estimates and management’s exercise of judgment in accounting matters. When reporting on such matters, our independent auditors also provide their assessment of management’s report and conclusions.</w:t>
      </w:r>
    </w:p>
    <w:p>
      <w:pPr>
        <w:spacing w:after="0" w:line="18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Audit Committee also provides oversight of the Company’s compliance with regulatory and legal requirements and its standards of business conduct and ethics, including the risk governance and risk assessment and strategy as it relates to key risks, including strategic, legal and regulatory, financial and operational risk (including technology, information systems, privacy and cyber security). The Audit Committee receives regular reports from management regarding these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Board determines the independence of our directors under the corporate governance rules of the New York Stock 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and applicable Canadian securities laws. The independence rules of the NYSE include a series of objective tests, including that an “independent” person will not be employed by us and will not be engaged in various types of business dealings with us. In addition, the Board is required to make a subjective determination as to each person that no material relationship exists with the Company either directly or as a partner, shareholder or officer of an organization that has a relationship with the Company. It has been determined that four of our current directors are independent persons under the independence rules of the NYSE as well as within the meaning of NI 58-101: Dawn Wilson Barnes, Jeffrey Goldman, Ethan Nadelmann, Richard Reisin and Hannah (Buchan) Ross.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directors are presently directors of any other reporting issuer.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Board and Committee Meetings; Executive Sessions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regularly scheduled Board and committee meetings, directors review and discuss management reports regarding our performance, prospects and plans, as well as significant opportunities and immediate issues facing us. At least once a year, our Board also reviews management’s long-term strategic and financial plans. The Chair, in consultation with the chair of any applicable committee and other directors, as appropriate, establishes the agenda for meetings of the Board. Committee agendas and schedules are set by or in consultation with the committee chair. During the year ended December 31, 2025, our Board held seven meetings, and all directors attended at least 75% of all applicable Board and committee meetings during their respective tenures.</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Board members are permitted to attend our annual general meeting of shareholders. All of our current Board members attended our 2025 annual general meeting, held on June 11,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Audit Committee assists the Board in fulfilling its responsibilities for oversight of financial, audit and accounting matters, as well as providing oversight on matters related to legal and regulatory compliance and risk management. The Audit Committee reviews the financial reports and other financial information that we provide to regulatory authorities and our shareholders, as well as reviews our system of internal controls regarding finance and accounting, including auditing, accounting and financial reporting processes.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Richard Reisin is chair of the Audit Committee and has been identified as an “audit committee financial expert” as that term is defined in the rules and regulations established by the SEC. All members of our Audit Committee are “financially literate” and “independent” within the meaning of NYSE rules and applicable Canadian securities laws. The following chart sets forth the current composition of our Audit Committee:</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Independent</w:t>
            </w:r>
            <w:r>
              <w:rPr>
                <w:rFonts w:ascii="Times New Roman" w:cs="Times New Roman" w:eastAsia="Times New Roman" w:hAnsi="Times New Roman"/>
                <w:sz w:val="19"/>
                <w:szCs w:val="19"/>
                <w:b w:val="1"/>
                <w:bCs w:val="1"/>
                <w:color w:val="auto"/>
                <w:w w:val="97"/>
                <w:vertAlign w:val="superscript"/>
              </w:rPr>
              <w:t>(1)</w:t>
            </w:r>
          </w:p>
        </w:tc>
        <w:tc>
          <w:tcPr>
            <w:tcW w:w="1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Financially</w:t>
            </w:r>
          </w:p>
        </w:tc>
        <w:tc>
          <w:tcPr>
            <w:tcW w:w="0" w:type="dxa"/>
            <w:vAlign w:val="bottom"/>
          </w:tcPr>
          <w:p>
            <w:pPr>
              <w:spacing w:after="0"/>
              <w:rPr>
                <w:sz w:val="1"/>
                <w:szCs w:val="1"/>
                <w:color w:val="auto"/>
              </w:rPr>
            </w:pPr>
          </w:p>
        </w:tc>
      </w:tr>
      <w:tr>
        <w:trPr>
          <w:trHeight w:val="176"/>
        </w:trPr>
        <w:tc>
          <w:tcPr>
            <w:tcW w:w="6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Member</w:t>
            </w:r>
          </w:p>
        </w:tc>
        <w:tc>
          <w:tcPr>
            <w:tcW w:w="1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8"/>
              </w:rPr>
              <w:t>Literate</w:t>
            </w:r>
            <w:r>
              <w:rPr>
                <w:rFonts w:ascii="Times New Roman" w:cs="Times New Roman" w:eastAsia="Times New Roman" w:hAnsi="Times New Roman"/>
                <w:sz w:val="19"/>
                <w:szCs w:val="19"/>
                <w:b w:val="1"/>
                <w:bCs w:val="1"/>
                <w:color w:val="auto"/>
                <w:w w:val="98"/>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12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Dawn Wilson Barnes</w:t>
            </w:r>
          </w:p>
        </w:tc>
        <w:tc>
          <w:tcPr>
            <w:tcW w:w="1340" w:type="dxa"/>
            <w:vAlign w:val="bottom"/>
            <w:shd w:val="clear" w:color="auto" w:fill="FCEABC"/>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140" w:type="dxa"/>
            <w:vAlign w:val="bottom"/>
            <w:shd w:val="clear" w:color="auto" w:fill="FCEABC"/>
          </w:tcPr>
          <w:p>
            <w:pPr>
              <w:spacing w:after="0"/>
              <w:rPr>
                <w:sz w:val="18"/>
                <w:szCs w:val="18"/>
                <w:color w:val="auto"/>
              </w:rPr>
            </w:pPr>
          </w:p>
        </w:tc>
        <w:tc>
          <w:tcPr>
            <w:tcW w:w="1360" w:type="dxa"/>
            <w:vAlign w:val="bottom"/>
            <w:shd w:val="clear" w:color="auto" w:fill="FCEABC"/>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Goldman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Richard Reisin</w:t>
            </w:r>
          </w:p>
        </w:tc>
        <w:tc>
          <w:tcPr>
            <w:tcW w:w="1340" w:type="dxa"/>
            <w:vAlign w:val="bottom"/>
            <w:shd w:val="clear" w:color="auto" w:fill="FCEABC"/>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140" w:type="dxa"/>
            <w:vAlign w:val="bottom"/>
            <w:shd w:val="clear" w:color="auto" w:fill="FCEABC"/>
          </w:tcPr>
          <w:p>
            <w:pPr>
              <w:spacing w:after="0"/>
              <w:rPr>
                <w:sz w:val="18"/>
                <w:szCs w:val="18"/>
                <w:color w:val="auto"/>
              </w:rPr>
            </w:pPr>
          </w:p>
        </w:tc>
        <w:tc>
          <w:tcPr>
            <w:tcW w:w="1360" w:type="dxa"/>
            <w:vAlign w:val="bottom"/>
            <w:shd w:val="clear" w:color="auto" w:fill="FCEABC"/>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Hannah (Buchan) Ross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1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9030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80" w:right="380" w:hanging="372"/>
        <w:spacing w:after="0" w:line="257"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Audit Committee is independent if he or she has no direct or indirect ‘material relationship’ with the Company. A material relationship is a relationship which could, in the view of the Company’s Board, reasonably interfere with the exercise of a member’s independent judgment. An executive officer of the Company, such as the President or Secretary, is deemed to have a material relationship with the Company.</w:t>
      </w:r>
    </w:p>
    <w:p>
      <w:pPr>
        <w:spacing w:after="0" w:line="1" w:lineRule="exact"/>
        <w:rPr>
          <w:rFonts w:ascii="Times New Roman" w:cs="Times New Roman" w:eastAsia="Times New Roman" w:hAnsi="Times New Roman"/>
          <w:sz w:val="18"/>
          <w:szCs w:val="18"/>
          <w:color w:val="auto"/>
        </w:rPr>
      </w:pPr>
    </w:p>
    <w:p>
      <w:pPr>
        <w:ind w:left="380" w:right="120" w:hanging="372"/>
        <w:spacing w:after="0" w:line="255"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Audit Committee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the Company’s financial statements.</w:t>
      </w:r>
    </w:p>
    <w:p>
      <w:pPr>
        <w:spacing w:after="0" w:line="1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education and experience of each member of the Audit Committee that is relevant to the performance of his or her responsibilities as a member of the Audit Committee is described above under the heading “Proposals No. 1 and 2—Election of Directors.”</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Audit Committee’s principal duties and responsibilities include assisting the Board in discharging the oversight of: (i) the Company’s internal audit function; (ii) the integrity of our consolidated financial statements and accounting and financial processes and the audits of our consolidated financial statements; (iii) compliance with legal and regulatory requirements; (iv) external auditors’ qualifications and independence; (v) the work and performance of financial management and external auditors; and (vi) system of disclosure controls and procedures and system of internal controls regarding finance, accounting, legal, compliance and risk management established by management and the Board.</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Our Board has adopted a written charter for the Audit Committee, which sets out the Audit Committee’s responsibilities, consistent with the rules of the SEC and Canadian National Instrument 52-110, a current copy of which is available on the Investors page of our website at </w:t>
      </w:r>
      <w:r>
        <w:rPr>
          <w:rFonts w:ascii="Times New Roman" w:cs="Times New Roman" w:eastAsia="Times New Roman" w:hAnsi="Times New Roman"/>
          <w:sz w:val="18"/>
          <w:szCs w:val="18"/>
          <w:u w:val="single" w:color="auto"/>
          <w:color w:val="auto"/>
        </w:rPr>
        <w:t>gtigrows.com</w:t>
      </w:r>
      <w:r>
        <w:rPr>
          <w:rFonts w:ascii="Times New Roman" w:cs="Times New Roman" w:eastAsia="Times New Roman" w:hAnsi="Times New Roman"/>
          <w:sz w:val="18"/>
          <w:szCs w:val="18"/>
          <w:color w:val="auto"/>
        </w:rPr>
        <w:t>. The Audit Committee has access to all books, records, facilities and personnel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1" w:name="page42"/>
    <w:bookmarkEnd w:id="41"/>
    <w:p>
      <w:pPr>
        <w:ind w:right="60"/>
        <w:spacing w:after="0" w:line="282" w:lineRule="auto"/>
        <w:rPr>
          <w:sz w:val="20"/>
          <w:szCs w:val="20"/>
          <w:color w:val="auto"/>
        </w:rPr>
      </w:pPr>
      <w:r>
        <w:rPr>
          <w:rFonts w:ascii="Times New Roman" w:cs="Times New Roman" w:eastAsia="Times New Roman" w:hAnsi="Times New Roman"/>
          <w:sz w:val="18"/>
          <w:szCs w:val="18"/>
          <w:color w:val="auto"/>
        </w:rPr>
        <w:t>and may request any information about us as it may deem appropriate. It has the authority to retain and compensate special legal, accounting, financial and other consultants or advisors to advise the Audit Committee.</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Both our independent auditors and internal financial personnel regularly meet privately with the Audit Committee and have unrestricted access to this committee. At no time since the commencement of the Company’s most recently completed fiscal year was a recommendation of the Audit Committee to nominate or compensate an external auditor not adopted by the Board. Our Audit Committee held ten meetings during the year ended December 31,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currently consists of Jeffrey Goldman, who serves as Chair, Ethan Nadelmann and Hannah (Buchan) Ross.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Compensation Committee assists the Board in fulfilling its responsibilities for compensation philosophy and guidelines. The Compensation Committee also has responsibility for fixing compensation levels for the Company’s executive officers. In addition, the Compensation Committee is charged with reviewing the Stock and Incentive Plan (and proposing changes thereto), approving any awards under the Stock and Incentive Plan and recommending any other employee benefit plans, incentive awards and perquisites with respect to the Company’s executive officers. The Compensation Committee is also responsible for reviewing, approving and reporting to the Company’s Board annually (or more frequently as required) on the Company’s succession plans for its executive officers. Our Compensation Committee held six meetings during the year ended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discussion of the role and responsibilities of the Compensation Committee is set forth below “Compensation Discussion and Analysis” below.</w:t>
      </w:r>
    </w:p>
    <w:p>
      <w:pPr>
        <w:spacing w:after="0" w:line="22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 xml:space="preserve">Our Board has adopted a written charter setting forth the purpose, composition, authority and responsibility of our Compensation Committee consistent with the rules of the SEC and the guidance of the Canadian Securities Administrators, a current copy of which is available on the Investors page of our website at </w:t>
      </w:r>
      <w:r>
        <w:rPr>
          <w:rFonts w:ascii="Times New Roman" w:cs="Times New Roman" w:eastAsia="Times New Roman" w:hAnsi="Times New Roman"/>
          <w:sz w:val="18"/>
          <w:szCs w:val="18"/>
          <w:u w:val="single" w:color="auto"/>
          <w:color w:val="auto"/>
        </w:rPr>
        <w:t>gtigrows.com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Shareholders and other interested parties may contact any member (or all members) of our Board (including, without limitation, the non-management directors as a group), any committee of our Board or the chair of any such committee. Written correspondence may be sent addressed to our Board, any committee or any individual director, c/o Corporate Secretary, Green Thumb Industries Inc., 325 West Huron Street, Suite 700, Chicago, Illinois 60654.</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8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432"/>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our executive officers:</w:t>
            </w:r>
          </w:p>
        </w:tc>
      </w:tr>
      <w:tr>
        <w:trPr>
          <w:trHeight w:val="418"/>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8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Position(s)</w:t>
            </w: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216"/>
        </w:trPr>
        <w:tc>
          <w:tcPr>
            <w:tcW w:w="272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Mathew Faulkner</w:t>
            </w:r>
          </w:p>
        </w:tc>
        <w:tc>
          <w:tcPr>
            <w:tcW w:w="1700" w:type="dxa"/>
            <w:vAlign w:val="bottom"/>
            <w:shd w:val="clear" w:color="auto" w:fill="FCEABC"/>
          </w:tcPr>
          <w:p>
            <w:pPr>
              <w:jc w:val="center"/>
              <w:ind w:left="990"/>
              <w:spacing w:after="0"/>
              <w:rPr>
                <w:sz w:val="20"/>
                <w:szCs w:val="20"/>
                <w:color w:val="auto"/>
              </w:rPr>
            </w:pPr>
            <w:r>
              <w:rPr>
                <w:rFonts w:ascii="Times New Roman" w:cs="Times New Roman" w:eastAsia="Times New Roman" w:hAnsi="Times New Roman"/>
                <w:sz w:val="18"/>
                <w:szCs w:val="18"/>
                <w:color w:val="auto"/>
                <w:w w:val="99"/>
              </w:rPr>
              <w:t>53</w:t>
            </w:r>
          </w:p>
        </w:tc>
        <w:tc>
          <w:tcPr>
            <w:tcW w:w="6820" w:type="dxa"/>
            <w:vAlign w:val="bottom"/>
            <w:shd w:val="clear" w:color="auto" w:fill="FCEABC"/>
          </w:tcPr>
          <w:p>
            <w:pPr>
              <w:jc w:val="center"/>
              <w:ind w:left="21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Georgiadis</w:t>
            </w:r>
          </w:p>
        </w:tc>
        <w:tc>
          <w:tcPr>
            <w:tcW w:w="1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48</w:t>
            </w:r>
          </w:p>
        </w:tc>
        <w:tc>
          <w:tcPr>
            <w:tcW w:w="68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Director and President</w:t>
            </w:r>
          </w:p>
        </w:tc>
      </w:tr>
      <w:tr>
        <w:trPr>
          <w:trHeight w:val="216"/>
        </w:trPr>
        <w:tc>
          <w:tcPr>
            <w:tcW w:w="272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Benjamin Kovler</w:t>
            </w:r>
          </w:p>
        </w:tc>
        <w:tc>
          <w:tcPr>
            <w:tcW w:w="1700" w:type="dxa"/>
            <w:vAlign w:val="bottom"/>
            <w:shd w:val="clear" w:color="auto" w:fill="FCEABC"/>
          </w:tcPr>
          <w:p>
            <w:pPr>
              <w:jc w:val="center"/>
              <w:ind w:left="990"/>
              <w:spacing w:after="0"/>
              <w:rPr>
                <w:sz w:val="20"/>
                <w:szCs w:val="20"/>
                <w:color w:val="auto"/>
              </w:rPr>
            </w:pPr>
            <w:r>
              <w:rPr>
                <w:rFonts w:ascii="Times New Roman" w:cs="Times New Roman" w:eastAsia="Times New Roman" w:hAnsi="Times New Roman"/>
                <w:sz w:val="18"/>
                <w:szCs w:val="18"/>
                <w:color w:val="auto"/>
                <w:w w:val="99"/>
              </w:rPr>
              <w:t>47</w:t>
            </w:r>
          </w:p>
        </w:tc>
        <w:tc>
          <w:tcPr>
            <w:tcW w:w="6820" w:type="dxa"/>
            <w:vAlign w:val="bottom"/>
            <w:shd w:val="clear" w:color="auto" w:fill="FCEABC"/>
          </w:tcPr>
          <w:p>
            <w:pPr>
              <w:jc w:val="center"/>
              <w:ind w:left="210"/>
              <w:spacing w:after="0"/>
              <w:rPr>
                <w:sz w:val="20"/>
                <w:szCs w:val="20"/>
                <w:color w:val="auto"/>
              </w:rPr>
            </w:pPr>
            <w:r>
              <w:rPr>
                <w:rFonts w:ascii="Times New Roman" w:cs="Times New Roman" w:eastAsia="Times New Roman" w:hAnsi="Times New Roman"/>
                <w:sz w:val="18"/>
                <w:szCs w:val="18"/>
                <w:color w:val="auto"/>
              </w:rPr>
              <w:t>Founder, Chairman of the Board and Chief Executive Officer</w:t>
            </w: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Bret Kravitz</w:t>
            </w:r>
          </w:p>
        </w:tc>
        <w:tc>
          <w:tcPr>
            <w:tcW w:w="1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46</w:t>
            </w:r>
          </w:p>
        </w:tc>
        <w:tc>
          <w:tcPr>
            <w:tcW w:w="68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biographies of Benjamin Kovler and Anthony Georgiadis can be found under “Proposals No. 1 and 2—Election of Directors.” The following is biographical information for our other executive officers: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Mathew Faulkner</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Mathew Faulkner was appointed as the Company’s first Chief Accounting Officer in August 2020 and, in January 2023, became Chief Financial Officer. Mr. Faulkner has been with the Company since May 7, 2018, having previously served as the Company’s Senior Vice President of Accounting. During his tenure, Mr. Faulkner successfully facilitated the Company’s initial public offering in the U.S. and led the transition from reporting under International Financial Reporting Standards in Canada to U.S. Generally Accepted Accounting Principles (“GAAP”) reporting with the U.S. Securities and Exchange Commission. Prior to joining the Company, he was with Walgreens Boots Alliance Corporation, most recently serving as its Senior Director of Retail and Finance Transformation beginning in 2016, and its Retail Accounting Controller from 2012 to 2016. Mr. Faulkner graduated from the University of Toledo with a bachelor’s degree in accounting. He also earned his MBA from Northern Illinois University and is a CPA.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Bret Kravitz</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Bret Kravitz became our General Counsel on January 1, 2023, having previously served as the Company’s Chief Corporate Counsel since 2017. Throughout his tenure, Mr. Kravitz has provided advice and guidance on a wide variety of legal matters and has closed numerous strategic acquisitions, partnerships, and capital raises in coordination with the Company’s executive team. Prior to joining the Company, he held attorney positions at Dickinson Wright PLLC and Baker Hostetler LLP. Mr. Kravitz graduated from the University of Colorado with a degree in finance, earned his MBA from University of Denver, and JD from Lewis &amp; Clark Law School.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This Compensation Discussion and Analysis (“</w:t>
      </w:r>
      <w:r>
        <w:rPr>
          <w:rFonts w:ascii="Times New Roman" w:cs="Times New Roman" w:eastAsia="Times New Roman" w:hAnsi="Times New Roman"/>
          <w:sz w:val="18"/>
          <w:szCs w:val="18"/>
          <w:b w:val="1"/>
          <w:bCs w:val="1"/>
          <w:color w:val="auto"/>
        </w:rPr>
        <w:t>CD&amp;A</w:t>
      </w:r>
      <w:r>
        <w:rPr>
          <w:rFonts w:ascii="Times New Roman" w:cs="Times New Roman" w:eastAsia="Times New Roman" w:hAnsi="Times New Roman"/>
          <w:sz w:val="18"/>
          <w:szCs w:val="18"/>
          <w:color w:val="auto"/>
        </w:rPr>
        <w:t>”) provides an overview of our executive compensation philosophy, discusses executive compensation policies and practices, and analyzes how and why our Compensation Committee arrived at specific compensation decisions for our fiscal year ended December 31, 2025 for our named executive officers (“</w:t>
      </w: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2025, our NEOs were the following four individuals, who were our only executive officers who served during 2025:</w:t>
      </w:r>
    </w:p>
    <w:p>
      <w:pPr>
        <w:spacing w:after="0" w:line="113" w:lineRule="exact"/>
        <w:rPr>
          <w:sz w:val="20"/>
          <w:szCs w:val="20"/>
          <w:color w:val="auto"/>
        </w:rPr>
      </w:pPr>
    </w:p>
    <w:p>
      <w:pPr>
        <w:ind w:left="1140" w:hanging="369"/>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Benjamin Kovler, our Founder, Chairman and Chief Executive Officer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Georgiadis, a member of our Board and our President (“</w:t>
      </w:r>
      <w:r>
        <w:rPr>
          <w:rFonts w:ascii="Times New Roman" w:cs="Times New Roman" w:eastAsia="Times New Roman" w:hAnsi="Times New Roman"/>
          <w:sz w:val="18"/>
          <w:szCs w:val="18"/>
          <w:b w:val="1"/>
          <w:bCs w:val="1"/>
          <w:color w:val="auto"/>
        </w:rPr>
        <w:t>President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 Faulkner, our Chief Financial Officer (“</w:t>
      </w:r>
      <w:r>
        <w:rPr>
          <w:rFonts w:ascii="Times New Roman" w:cs="Times New Roman" w:eastAsia="Times New Roman" w:hAnsi="Times New Roman"/>
          <w:sz w:val="18"/>
          <w:szCs w:val="18"/>
          <w:b w:val="1"/>
          <w:bCs w:val="1"/>
          <w:color w:val="auto"/>
        </w:rPr>
        <w:t>Chief Financial Officer</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Bret Kravitz, our General Counsel and Secretary (“</w:t>
      </w:r>
      <w:r>
        <w:rPr>
          <w:rFonts w:ascii="Times New Roman" w:cs="Times New Roman" w:eastAsia="Times New Roman" w:hAnsi="Times New Roman"/>
          <w:sz w:val="18"/>
          <w:szCs w:val="18"/>
          <w:b w:val="1"/>
          <w:bCs w:val="1"/>
          <w:color w:val="auto"/>
        </w:rPr>
        <w:t>General Counsel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CD&amp;A should be read together with the compensation tables and related disclosures set forth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 of Executive Compensation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Driven by our entire team, including our NEOs, Green Thumb delivered approximately $1.2 billion of annual revenue and delivered strong financial and operational results in 2025, despite considerable micro- and macroeconomic pressures such as continued, persistent price compression in our industry. Notably, the Company delivered full-year cash flow from operations of $294.9 million and ended the year with a strong balance sheet that included $274.3 million in cash after repurchasing $38.9 million of Company shares. These strong achievements during a prolonged difficult period for our industry factored significantly into the Compensation Committee’s decisions regarding the compensation for our NEOs. We believe that our compensation program for our executive team, including our NEOs, was an important motivating factor for our strong operating and financial performance, growing our business and strengthening our position for success in the future.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2025, the Compensation Committee tied our NEOs’ compensation to corporate performance primarily through our 2025 Annual Bonus (defined and further described below under “—</w:t>
      </w:r>
      <w:r>
        <w:rPr>
          <w:rFonts w:ascii="Times New Roman" w:cs="Times New Roman" w:eastAsia="Times New Roman" w:hAnsi="Times New Roman"/>
          <w:sz w:val="18"/>
          <w:szCs w:val="18"/>
          <w:i w:val="1"/>
          <w:iCs w:val="1"/>
          <w:color w:val="auto"/>
        </w:rPr>
        <w:t>Elements of Compensation—Short-Term Incentive Awards</w:t>
      </w:r>
      <w:r>
        <w:rPr>
          <w:rFonts w:ascii="Times New Roman" w:cs="Times New Roman" w:eastAsia="Times New Roman" w:hAnsi="Times New Roman"/>
          <w:sz w:val="18"/>
          <w:szCs w:val="18"/>
          <w:color w:val="auto"/>
        </w:rPr>
        <w:t>”) and awards of Options and RSUs granted pursuant to the Stock and Incentive Plan. The amounts our NEOs earned under the 2025 Annual Bonus were primarily driven by the Company’s achievement with respect to Revenue and Adjusted EBITDA (defined below) measured against pre-established goals.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Highlights of the Year Ended December 31, 2025</w:t>
      </w:r>
    </w:p>
    <w:p>
      <w:pPr>
        <w:spacing w:after="0" w:line="11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During 2025, the Company achieved solid financial and operating results despite considerable micro- and macroeconomic pressures. Significant achievements led by our NEOs included:</w:t>
      </w:r>
    </w:p>
    <w:p>
      <w:pPr>
        <w:spacing w:after="0" w:line="54" w:lineRule="exact"/>
        <w:rPr>
          <w:sz w:val="20"/>
          <w:szCs w:val="20"/>
          <w:color w:val="auto"/>
        </w:rPr>
      </w:pPr>
    </w:p>
    <w:p>
      <w:pPr>
        <w:ind w:left="1140" w:hanging="369"/>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$1.2 billion, an increase of 3.4% over the prior year;</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of approximately $295 million;</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of $114.2 million or $0.49 per basic and $0.48 per diluted share;</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Normalized EBITDA (as defined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of $348.4 million or 29.6% of revenue;</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the equivalent of approximately 7.7 million of the Company's Subordinate Voting Shares for $38.9 million;</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retail footprint by 12 locations for a total of 113 stores nationwide;</w:t>
      </w:r>
    </w:p>
    <w:p>
      <w:pPr>
        <w:spacing w:after="0" w:line="117" w:lineRule="exact"/>
        <w:rPr>
          <w:rFonts w:ascii="Times New Roman" w:cs="Times New Roman" w:eastAsia="Times New Roman" w:hAnsi="Times New Roman"/>
          <w:sz w:val="18"/>
          <w:szCs w:val="18"/>
          <w:color w:val="auto"/>
        </w:rPr>
      </w:pPr>
    </w:p>
    <w:p>
      <w:pPr>
        <w:ind w:left="1140" w:right="500" w:hanging="369"/>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Safeguarding the Company’s regulatory and business licenses by promoting a culture of compliance and providing leadership on the Company’s evolving standard operating procedures; and</w:t>
      </w:r>
    </w:p>
    <w:p>
      <w:pPr>
        <w:spacing w:after="0" w:line="53" w:lineRule="exact"/>
        <w:rPr>
          <w:rFonts w:ascii="Times New Roman" w:cs="Times New Roman" w:eastAsia="Times New Roman" w:hAnsi="Times New Roman"/>
          <w:sz w:val="18"/>
          <w:szCs w:val="18"/>
          <w:color w:val="auto"/>
        </w:rPr>
      </w:pPr>
    </w:p>
    <w:p>
      <w:pPr>
        <w:ind w:left="1140" w:right="20" w:hanging="369"/>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operational efficiencies, as well as maintaining a strong balance sheet, consistent cash generation and disciplined capital allocation to support continued future growth and financial flexibility.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for a reconciliation of each non-GAAP financial measure to the most directly comparable GAAP measure.)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led by the NEOs, expanded our brand reach through initiatives like our RYTHM Bud Ball concert series, RYTHM Icon Strains, and consistent execution across the business. Results included the Company’s brands achieving leadership positions across multiple key categories in 2025 (according to cannabis industry data analytics firm BDSA’s U.S.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2" w:right="399" w:bottom="1440" w:gutter="0" w:footer="0" w:header="0"/>
        </w:sectPr>
      </w:pPr>
    </w:p>
    <w:bookmarkStart w:id="44" w:name="page45"/>
    <w:bookmarkEnd w:id="44"/>
    <w:p>
      <w:pPr>
        <w:ind w:right="220"/>
        <w:spacing w:after="0" w:line="256" w:lineRule="auto"/>
        <w:rPr>
          <w:sz w:val="20"/>
          <w:szCs w:val="20"/>
          <w:color w:val="auto"/>
        </w:rPr>
      </w:pPr>
      <w:r>
        <w:rPr>
          <w:rFonts w:ascii="Times New Roman" w:cs="Times New Roman" w:eastAsia="Times New Roman" w:hAnsi="Times New Roman"/>
          <w:sz w:val="18"/>
          <w:szCs w:val="18"/>
          <w:color w:val="auto"/>
        </w:rPr>
        <w:t>retail sales tracking), including RYTHM as the No. 1 flower brand across the country; RYTHM’s Animal Face, a core Icon Strain, as the No. 1 selling flower unit in the country; Dogwalkers as the No. 1 uninfused pre-rolls, and incredibles as the No. 1 chocolate brand. Further, the Company continued to strengthen its investment in RYM and separated its hemp and cannabis businesses through the sale of our brand intellectual property to RYM. The brand transactions enable RYM to operate as a non-plant touching business while the Company continues manufacturing cannabis products under licensing arrangements with RYM, positioning both businesses to capitalize on evolving regulatory frameworks and growing consumer demand for tetrahydrocannabinol (“</w:t>
      </w:r>
      <w:r>
        <w:rPr>
          <w:rFonts w:ascii="Times New Roman" w:cs="Times New Roman" w:eastAsia="Times New Roman" w:hAnsi="Times New Roman"/>
          <w:sz w:val="18"/>
          <w:szCs w:val="18"/>
          <w:b w:val="1"/>
          <w:bCs w:val="1"/>
          <w:color w:val="auto"/>
        </w:rPr>
        <w:t>THC</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Compensation Philosophy</w:t>
      </w:r>
    </w:p>
    <w:p>
      <w:pPr>
        <w:spacing w:after="0" w:line="11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Green Thumb’s compensation philosophy is based on attracting and retaining the talent Green Thumb needs to execute on our corporate strategic objectives; motivate our executives and employees to deliver the highest level of performance; encourage our executives and employees to focus on our Company priorities; and align the interests of our executives and employees with those of our shareholders, while effectively managing risk and broader stakeholder considerations.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compensation policies and practices throughout the organization, and for our executives in particular, reflect the high-growth nature of the Company and the nature of our nascent, rapidly evolving, highly regulated, federally illegal industry. Particular aspects of the cannabis industry that shape our compensation philosophy include:</w:t>
      </w:r>
    </w:p>
    <w:p>
      <w:pPr>
        <w:spacing w:after="0" w:line="68" w:lineRule="exact"/>
        <w:rPr>
          <w:sz w:val="20"/>
          <w:szCs w:val="20"/>
          <w:color w:val="auto"/>
        </w:rPr>
      </w:pPr>
    </w:p>
    <w:p>
      <w:pPr>
        <w:ind w:left="1140" w:hanging="369"/>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restraints on our access to traditional sources of capital due to the continued federal illegality of cannabis; and</w:t>
      </w:r>
    </w:p>
    <w:p>
      <w:pPr>
        <w:spacing w:after="0" w:line="117" w:lineRule="exact"/>
        <w:rPr>
          <w:rFonts w:ascii="Times New Roman" w:cs="Times New Roman" w:eastAsia="Times New Roman" w:hAnsi="Times New Roman"/>
          <w:sz w:val="18"/>
          <w:szCs w:val="18"/>
          <w:color w:val="auto"/>
        </w:rPr>
      </w:pPr>
    </w:p>
    <w:p>
      <w:pPr>
        <w:ind w:left="1140" w:right="520" w:hanging="369"/>
        <w:spacing w:after="0" w:line="266"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applicability of Internal Revenue Code Section 280(E), which the U.S. Internal Revenue Service contends applies to the Company, under which the companies are required to pay taxes on our income before deducting for certain compensation and other expenses.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of the significant constraints placed on the Company’s access to and uses of capital, the Company has historically taken a conservative approach to cash management to preserve overall corporate flexibility. As a result, the Compensation Committee places significant emphasis on balancing cash with non-cash elements of compensation for our NEOs, as well as aligning the Company’s compensation policies and practices with our stage of development, encouraging disciplined financial management and focusing on sustainable long-term growth. Given the Company’s current strong cash position, the Compensation Committee elected to increase compensation paid in cash again in 2026, and to continue to pay out greater portions of incentive compensation in cash, as it also did in the prior year. The Compensation Committee may continue this in similar circumstances in the future.</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the Compensation Committee takes into account the size and complexity of our business and the industry (including our inability to engage in interstate commerce (except with respect to hemp-derived THC products that comprised a very small part of our business until the separation of our hemp and cannabis businesses described above) due to the federal illegality of cannabis and the varied and often volatile nature of the regulations we must comply with to succeed), the competitive marketplace for talent, and the contributions of our NEOs in driving our business results and the execution of our operating plans.</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Compensation Committee endeavors to ensure that our compensation philosophy and the operation of our compensation programs reinforce our culture and values; create a balance between risk and reward; attract, motivate and retain executive officers over the long-term; and align the interests of our executive officers with those of our shareholders.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seek employees, and executives in particular, who have an entrepreneurial spirit, embrace change, are passionate about their work, and value the unique opportunities the Company offers in terms of longer-term incentives. We reinforce this with our practice of paying stronger variable compensation packages following strong years of performance.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Mix of Pay</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shown below, approximately 76% of Mr. Kovler’s target compensation and 67% of the other NEOs average target compensation (taken as a whole) for 2025 was variable based on Company and individual performance.</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Variable compensation consists of the 2025 Annual Bonus and annual equity grants. Management believes a high percentage of variable compensation, especially long-term incentives, is beneficial to motivate our employees and is aligned with stakeholder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114300</wp:posOffset>
            </wp:positionV>
            <wp:extent cx="5117465" cy="25203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1746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more detailed description of the elements of our NEOs’ compensation, see “—Elements of Compensation”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2025 Performance Tied to Executive Compensation</w:t>
      </w:r>
    </w:p>
    <w:p>
      <w:pPr>
        <w:spacing w:after="0" w:line="11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2025, the Company achieved strong performance with respect to Revenue and Adjusted EBITDA, despite significant pressure from market forces outside of management’s control, and continued price compression in some of the Company’s key markets, resulting in a 125.6% of target payout for the corporate performance component under the 2025 Annual Bonus. The Committee believes the Company’s achievements, which significantly eclipsed its peers, was due to the NEO’s disciplined and innovative approach to operations and financial management. These results, combined with the individual performance element of the 2025 Annual Bonus and awards of RSUs and Options (described below under “—Elements of Compensation—</w:t>
      </w:r>
      <w:r>
        <w:rPr>
          <w:rFonts w:ascii="Times New Roman" w:cs="Times New Roman" w:eastAsia="Times New Roman" w:hAnsi="Times New Roman"/>
          <w:sz w:val="18"/>
          <w:szCs w:val="18"/>
          <w:i w:val="1"/>
          <w:iCs w:val="1"/>
          <w:color w:val="auto"/>
        </w:rPr>
        <w:t>Long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Incentive Awards</w:t>
      </w:r>
      <w:r>
        <w:rPr>
          <w:rFonts w:ascii="Times New Roman" w:cs="Times New Roman" w:eastAsia="Times New Roman" w:hAnsi="Times New Roman"/>
          <w:sz w:val="18"/>
          <w:szCs w:val="18"/>
          <w:color w:val="auto"/>
        </w:rPr>
        <w:t>”), resulted in actual compensation for Mr. Kovler that was 80% performance based and 20% fixed, and for the other NEOs, taken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an average of 69% performance-based and 31% 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200025</wp:posOffset>
            </wp:positionV>
            <wp:extent cx="4877435" cy="23742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87743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Compensation Governance and Process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Compensation Committee of our Board is authorized to review and approve all compensation decisions relating to our executive officers, including annually establishing our compensation philosophy and programs, goals, and related matters. Our CEO makes recommendations to the Board regarding the compensation for the NEOs other than himself.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reports to the Board of Directors and consists of Jeffrey Goldman (Chair), Ethan Nadelmann and Hannah (Buchan) Ross.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details regarding the experience of the current members of the Compensation Committee, see “Proposals No. 1 and 2—Election of Directors, Biographical Information” above. Given the Company’s stage of development and high-growth, rapidly changing nature, the Board determined that Mr. Goldman, Mr. Nadelmann and Ms. Ross were the most appropriate individuals to serve on the Compensation Committee at this time due to their combined history with the Company, strong experience in the cannabis industry and experience with rapid growth, early-stage companies.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role and responsibility of the Compensation Committee is to assist the Board in fulfilling its responsibilities for establishing the compensation philosophy and guidelines. Additionally, the Compensation Committee has responsibility for (i) recommending to the Board compensation levels for directors; (ii) fixing compensation levels and supplemental benefits for the executive officers; and (iii) entering into employment, severance protection, change in control and related agreements and plans for the CEO and other executive officers, provided that any agreements with the CEO are subject to Board approval. In addition, the Compensation Committee is charged with reviewing the Stock and Incentive Plan and proposing changes thereto to the full Board, and recommending any other employee benefit plans, incentive awards and perquisites with respect to the directors and executive officers.</w:t>
      </w:r>
    </w:p>
    <w:p>
      <w:pPr>
        <w:spacing w:after="0" w:line="18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Compensation Committee is responsible for approving equity or incentive awards under the Stock and Incentive Plan. The Compensation Committee is also responsible for reviewing, approving and reporting to the Board annually (or more frequently as required) on our succession plans for our executive officers and compensation risk management.</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setting compensation for our NEOs, in February and March of 2025, the Compensation Committee reviewed the Company’s overall performance and key achievements for 2024, each individual’s respective performance and key achievements during the year as well as their new roles and responsibilities (where applicable), and recommendations from the Company’s People Team, leadership and the CEO. Based on this information, the Compensation Committee determined:</w:t>
      </w:r>
    </w:p>
    <w:p>
      <w:pPr>
        <w:spacing w:after="0" w:line="72" w:lineRule="exact"/>
        <w:rPr>
          <w:sz w:val="20"/>
          <w:szCs w:val="20"/>
          <w:color w:val="auto"/>
        </w:rPr>
      </w:pPr>
    </w:p>
    <w:p>
      <w:pPr>
        <w:ind w:left="1140" w:hanging="369"/>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the NEOs’ salaries for the year;</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targets, metrics and the terms of the 2025 Annual Bonus;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long-term incentive awards to be granted in 2026.</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Following the end of the fiscal year, in February 2026, the Compensation Committee determined each NEO’s payment earned pursuant to the 2025 Annual Bonus.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w:t>
      </w:r>
    </w:p>
    <w:p>
      <w:pPr>
        <w:spacing w:after="0" w:line="11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Compensation Committee regularly assesses and reports to the Board on potential risks associated with the Company’s compensation policies and practices on an annual basis, including with respect to the NEOs, and devotes such time and resources to compensation risk management as it believes appropriate given the Company’s current stage of development and corporate governance best practices.</w:t>
      </w:r>
    </w:p>
    <w:p>
      <w:pPr>
        <w:spacing w:after="0" w:line="176" w:lineRule="exact"/>
        <w:rPr>
          <w:sz w:val="20"/>
          <w:szCs w:val="20"/>
          <w:color w:val="auto"/>
        </w:rPr>
      </w:pPr>
    </w:p>
    <w:p>
      <w:pPr>
        <w:jc w:val="both"/>
        <w:ind w:right="380"/>
        <w:spacing w:after="0" w:line="282" w:lineRule="auto"/>
        <w:rPr>
          <w:sz w:val="20"/>
          <w:szCs w:val="20"/>
          <w:color w:val="auto"/>
        </w:rPr>
      </w:pPr>
      <w:r>
        <w:rPr>
          <w:rFonts w:ascii="Times New Roman" w:cs="Times New Roman" w:eastAsia="Times New Roman" w:hAnsi="Times New Roman"/>
          <w:sz w:val="18"/>
          <w:szCs w:val="18"/>
          <w:color w:val="auto"/>
        </w:rPr>
        <w:t>For 2025, the Compensation Committee did not identify any risks arising from the Company’s compensation policies and practices that it or the Board believed were reasonably likely to have a material adverse effect on the Company</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47" w:name="page48"/>
    <w:bookmarkEnd w:id="47"/>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Best Practices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NEO compensation policies and practices for 2025 are designed to align pay with Company performance and mitigate compensation risk by doing and not doing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6314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631440"/>
                    </a:xfrm>
                    <a:prstGeom prst="rect">
                      <a:avLst/>
                    </a:prstGeom>
                    <a:noFill/>
                  </pic:spPr>
                </pic:pic>
              </a:graphicData>
            </a:graphic>
          </wp:anchor>
        </w:drawing>
      </w: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2A4634"/>
        </w:rPr>
        <w:t>What We Do:</w:t>
      </w:r>
    </w:p>
    <w:p>
      <w:pPr>
        <w:spacing w:after="0" w:line="133" w:lineRule="exact"/>
        <w:rPr>
          <w:sz w:val="20"/>
          <w:szCs w:val="20"/>
          <w:color w:val="auto"/>
        </w:rPr>
      </w:pPr>
    </w:p>
    <w:p>
      <w:pPr>
        <w:ind w:left="680" w:hanging="665"/>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reasonable balance between cash and equity compensation;</w:t>
      </w:r>
    </w:p>
    <w:p>
      <w:pPr>
        <w:spacing w:after="0" w:line="117" w:lineRule="exact"/>
        <w:rPr>
          <w:rFonts w:ascii="Times New Roman" w:cs="Times New Roman" w:eastAsia="Times New Roman" w:hAnsi="Times New Roman"/>
          <w:sz w:val="18"/>
          <w:szCs w:val="18"/>
          <w:color w:val="auto"/>
        </w:rPr>
      </w:pPr>
    </w:p>
    <w:p>
      <w:pPr>
        <w:ind w:left="680" w:hanging="665"/>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robust annual financial targets that are approved by the Compensation Committee for the 2025 Annual Bonus in the first quarter;</w:t>
      </w:r>
    </w:p>
    <w:p>
      <w:pPr>
        <w:spacing w:after="0" w:line="117" w:lineRule="exact"/>
        <w:rPr>
          <w:rFonts w:ascii="Times New Roman" w:cs="Times New Roman" w:eastAsia="Times New Roman" w:hAnsi="Times New Roman"/>
          <w:sz w:val="18"/>
          <w:szCs w:val="18"/>
          <w:color w:val="auto"/>
        </w:rPr>
      </w:pPr>
    </w:p>
    <w:p>
      <w:pPr>
        <w:ind w:left="680" w:hanging="665"/>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multiple financial measures in the 2025 Annual Bonus;</w:t>
      </w:r>
    </w:p>
    <w:p>
      <w:pPr>
        <w:spacing w:after="0" w:line="117" w:lineRule="exact"/>
        <w:rPr>
          <w:rFonts w:ascii="Times New Roman" w:cs="Times New Roman" w:eastAsia="Times New Roman" w:hAnsi="Times New Roman"/>
          <w:sz w:val="18"/>
          <w:szCs w:val="18"/>
          <w:color w:val="auto"/>
        </w:rPr>
      </w:pPr>
    </w:p>
    <w:p>
      <w:pPr>
        <w:ind w:left="680" w:hanging="665"/>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payouts under the 2025 Annual Bonus that can vary significantly based on Company performance;</w:t>
      </w:r>
    </w:p>
    <w:p>
      <w:pPr>
        <w:spacing w:after="0" w:line="117" w:lineRule="exact"/>
        <w:rPr>
          <w:rFonts w:ascii="Times New Roman" w:cs="Times New Roman" w:eastAsia="Times New Roman" w:hAnsi="Times New Roman"/>
          <w:sz w:val="18"/>
          <w:szCs w:val="18"/>
          <w:color w:val="auto"/>
        </w:rPr>
      </w:pPr>
    </w:p>
    <w:p>
      <w:pPr>
        <w:ind w:left="680" w:hanging="665"/>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retention of high performing individuals;</w:t>
      </w:r>
    </w:p>
    <w:p>
      <w:pPr>
        <w:spacing w:after="0" w:line="117" w:lineRule="exact"/>
        <w:rPr>
          <w:rFonts w:ascii="Times New Roman" w:cs="Times New Roman" w:eastAsia="Times New Roman" w:hAnsi="Times New Roman"/>
          <w:sz w:val="18"/>
          <w:szCs w:val="18"/>
          <w:color w:val="auto"/>
        </w:rPr>
      </w:pPr>
    </w:p>
    <w:p>
      <w:pPr>
        <w:ind w:left="680" w:hanging="665"/>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the NEOs with the short-term and long-term objectives of the Company and its shareholders;</w:t>
      </w:r>
    </w:p>
    <w:p>
      <w:pPr>
        <w:spacing w:after="0" w:line="117" w:lineRule="exact"/>
        <w:rPr>
          <w:rFonts w:ascii="Times New Roman" w:cs="Times New Roman" w:eastAsia="Times New Roman" w:hAnsi="Times New Roman"/>
          <w:sz w:val="18"/>
          <w:szCs w:val="18"/>
          <w:color w:val="auto"/>
        </w:rPr>
      </w:pPr>
    </w:p>
    <w:p>
      <w:pPr>
        <w:ind w:left="680" w:hanging="665"/>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only double trigger (change-in-control and termination of employment) vesting upon a change of control;</w:t>
      </w:r>
    </w:p>
    <w:p>
      <w:pPr>
        <w:spacing w:after="0" w:line="117" w:lineRule="exact"/>
        <w:rPr>
          <w:rFonts w:ascii="Times New Roman" w:cs="Times New Roman" w:eastAsia="Times New Roman" w:hAnsi="Times New Roman"/>
          <w:sz w:val="18"/>
          <w:szCs w:val="18"/>
          <w:color w:val="auto"/>
        </w:rPr>
      </w:pPr>
    </w:p>
    <w:p>
      <w:pPr>
        <w:ind w:left="680" w:hanging="665"/>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annual risk review to evaluate incentive and other compensation;</w:t>
      </w:r>
    </w:p>
    <w:p>
      <w:pPr>
        <w:spacing w:after="0" w:line="117" w:lineRule="exact"/>
        <w:rPr>
          <w:rFonts w:ascii="Times New Roman" w:cs="Times New Roman" w:eastAsia="Times New Roman" w:hAnsi="Times New Roman"/>
          <w:sz w:val="18"/>
          <w:szCs w:val="18"/>
          <w:color w:val="auto"/>
        </w:rPr>
      </w:pPr>
    </w:p>
    <w:p>
      <w:pPr>
        <w:ind w:left="680" w:hanging="665"/>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balance of formulaic measures and qualitative factors to determine achievement of goals;</w:t>
      </w:r>
    </w:p>
    <w:p>
      <w:pPr>
        <w:spacing w:after="0" w:line="117" w:lineRule="exact"/>
        <w:rPr>
          <w:rFonts w:ascii="Times New Roman" w:cs="Times New Roman" w:eastAsia="Times New Roman" w:hAnsi="Times New Roman"/>
          <w:sz w:val="18"/>
          <w:szCs w:val="18"/>
          <w:color w:val="auto"/>
        </w:rPr>
      </w:pPr>
    </w:p>
    <w:p>
      <w:pPr>
        <w:ind w:left="680" w:hanging="665"/>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limited perquisites; and</w:t>
      </w:r>
    </w:p>
    <w:p>
      <w:pPr>
        <w:spacing w:after="0" w:line="117" w:lineRule="exact"/>
        <w:rPr>
          <w:rFonts w:ascii="Times New Roman" w:cs="Times New Roman" w:eastAsia="Times New Roman" w:hAnsi="Times New Roman"/>
          <w:sz w:val="18"/>
          <w:szCs w:val="18"/>
          <w:color w:val="auto"/>
        </w:rPr>
      </w:pPr>
    </w:p>
    <w:p>
      <w:pPr>
        <w:ind w:left="680" w:hanging="665"/>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multi-year vesting to diminish the incentive to maximize performance in any one fiscal period at the expense of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25628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56286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2A4634"/>
        </w:rPr>
        <w:t>What We Do Not Do:</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employ change-in-control provisions with single-trigger vesting;</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provide gross-up payments to cover personal income taxes or other excise taxes pertaining to executive compensation or severance;</w:t>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allow the repricing, spring-loading, or backdating of equity awards;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–have separate enhanced health and welfare or retirement benefit plans for NEOs;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have guaranteed increases to base salaries;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permit hedging, pledging or short sales of our stock;</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emphasize incentives to produce short-term results to the detriment of long-term goals and results;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provide incentives to pursue excessively risky business strategies;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offer uncapped incentive award payouts; or</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–guarantee incentive payouts from incentive awards.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Role of Management in Setting NEO Compensation</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CEO and the Company</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s People Team support the Compensation Committee in its compensation work. The CEO, with the input of the People Team, makes recommendations to the Compensation Committee on NEO and top officer compensation. The People Team also makes recommendations and provides information to, and answers questions from, the Compensation Committee as it fulfills its responsibilities regarding executive compensation.</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None of the Company’s NEOs (including the CEO) make recommendations directly to the Compensation Committee regarding their own compensation amounts.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Peer Benchmarking and Compensation Consultants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2025, the Compensation Committee elected not to formally benchmark our NEOs’ compensation to other companies and did not perform compensation market survey reviews on executive compensation. Although the Compensation Committee did not use a formal benchmarking study, it reviewed publicly disclosed compensation rates and key compensation terms for the named executive officers of our peers and in the market generally to assist in the evaluation of the competitiveness of the Company’s compensation packages for the NEOs.</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Compensation Committee has continued its overall approach to be more conservative on cash while providing meaningful long-term incentive opportunities through equity compensation, however, the Company’s strong cash position at the end of 2025 provided the Compensation Committee with greater flexibility to use more cash to reward and incentivize employees, including the NEOs, than it has done in prior years. Although the Compensation Committee may engage a compensation consultant to analyze these or other matters in the future, it determined that benchmarking our NEOs’ pay and engaging its own compensation consultant were not necessary during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Base salary is the fixed portion of each NEO’s total compensation. It is designed to provide income certainty. In determining the base level of compensation for the NEOs, weight is placed on factors including affordability and the individual’s competencies, skills, experience, contributions, and performance. When setting base salaries, the Compensation Committee also considers internal pay equity and the impact of base salary on other compensation elements, such as the target annual incentive. The Compensation Committee strives to set our NEOs’ base salaries at conservative levels while placing more emphasis on variable compensation and long-term incentives, in line with our goal of maintaining flexibility with our available cash.</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At its March 18, 2025, meeting, the Compensation Committee reviewed the base salaries of the NEOs and determined not to make any changes for any of the NEOs in order to continue to place emphasis upon compensation elements that vary depending on the Company's performance. The NEOs 2025 base salaries as of April 1, 2025 were as follows: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Base Salaries as of April 1, 2025</w:t>
      </w:r>
    </w:p>
    <w:p>
      <w:pPr>
        <w:spacing w:after="0" w:line="237"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9"/>
        </w:trPr>
        <w:tc>
          <w:tcPr>
            <w:tcW w:w="3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r>
      <w:tr>
        <w:trPr>
          <w:trHeight w:val="173"/>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NEO</w:t>
            </w:r>
          </w:p>
        </w:tc>
        <w:tc>
          <w:tcPr>
            <w:tcW w:w="3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2024 Salary</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 Salary</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prior year</w:t>
            </w:r>
          </w:p>
        </w:tc>
      </w:tr>
      <w:tr>
        <w:trPr>
          <w:trHeight w:val="210"/>
        </w:trPr>
        <w:tc>
          <w:tcPr>
            <w:tcW w:w="378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Benjamin Kovler</w:t>
            </w:r>
          </w:p>
        </w:tc>
        <w:tc>
          <w:tcPr>
            <w:tcW w:w="246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340" w:type="dxa"/>
            <w:vAlign w:val="bottom"/>
            <w:gridSpan w:val="2"/>
            <w:shd w:val="clear" w:color="auto" w:fill="FCEAB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1340" w:type="dxa"/>
            <w:vAlign w:val="bottom"/>
            <w:gridSpan w:val="2"/>
            <w:shd w:val="clear" w:color="auto" w:fill="FCEABC"/>
          </w:tcPr>
          <w:p>
            <w:pPr>
              <w:jc w:val="center"/>
              <w:ind w:left="130"/>
              <w:spacing w:after="0"/>
              <w:rPr>
                <w:sz w:val="20"/>
                <w:szCs w:val="20"/>
                <w:color w:val="auto"/>
              </w:rPr>
            </w:pPr>
            <w:r>
              <w:rPr>
                <w:rFonts w:ascii="Times New Roman" w:cs="Times New Roman" w:eastAsia="Times New Roman" w:hAnsi="Times New Roman"/>
                <w:sz w:val="18"/>
                <w:szCs w:val="18"/>
                <w:color w:val="auto"/>
                <w:w w:val="95"/>
              </w:rPr>
              <w:t>0.0%</w:t>
            </w: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Georgiadis</w:t>
            </w:r>
          </w:p>
        </w:tc>
        <w:tc>
          <w:tcPr>
            <w:tcW w:w="2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5"/>
              </w:rPr>
              <w:t>0.0%</w:t>
            </w:r>
          </w:p>
        </w:tc>
      </w:tr>
      <w:tr>
        <w:trPr>
          <w:trHeight w:val="216"/>
        </w:trPr>
        <w:tc>
          <w:tcPr>
            <w:tcW w:w="378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Matt Faulkner</w:t>
            </w:r>
          </w:p>
        </w:tc>
        <w:tc>
          <w:tcPr>
            <w:tcW w:w="246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340" w:type="dxa"/>
            <w:vAlign w:val="bottom"/>
            <w:gridSpan w:val="2"/>
            <w:shd w:val="clear" w:color="auto" w:fill="FCEAB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1340" w:type="dxa"/>
            <w:vAlign w:val="bottom"/>
            <w:gridSpan w:val="2"/>
            <w:shd w:val="clear" w:color="auto" w:fill="FCEABC"/>
          </w:tcPr>
          <w:p>
            <w:pPr>
              <w:jc w:val="center"/>
              <w:ind w:left="130"/>
              <w:spacing w:after="0"/>
              <w:rPr>
                <w:sz w:val="20"/>
                <w:szCs w:val="20"/>
                <w:color w:val="auto"/>
              </w:rPr>
            </w:pPr>
            <w:r>
              <w:rPr>
                <w:rFonts w:ascii="Times New Roman" w:cs="Times New Roman" w:eastAsia="Times New Roman" w:hAnsi="Times New Roman"/>
                <w:sz w:val="18"/>
                <w:szCs w:val="18"/>
                <w:color w:val="auto"/>
                <w:w w:val="95"/>
              </w:rPr>
              <w:t>0.0%</w:t>
            </w:r>
          </w:p>
        </w:tc>
      </w:tr>
      <w:tr>
        <w:trPr>
          <w:trHeight w:val="317"/>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Bret Kravitz</w:t>
            </w:r>
            <w:r>
              <w:rPr>
                <w:rFonts w:ascii="Times New Roman" w:cs="Times New Roman" w:eastAsia="Times New Roman" w:hAnsi="Times New Roman"/>
                <w:sz w:val="24"/>
                <w:szCs w:val="24"/>
                <w:color w:val="auto"/>
                <w:vertAlign w:val="superscript"/>
              </w:rPr>
              <w:t>(1)</w:t>
            </w:r>
          </w:p>
        </w:tc>
        <w:tc>
          <w:tcPr>
            <w:tcW w:w="2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335,000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335,000</w:t>
            </w:r>
          </w:p>
        </w:tc>
        <w:tc>
          <w:tcPr>
            <w:tcW w:w="13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5"/>
              </w:rPr>
              <w:t>0.0%</w:t>
            </w:r>
          </w:p>
        </w:tc>
      </w:tr>
    </w:tbl>
    <w:p>
      <w:pPr>
        <w:spacing w:after="0" w:line="101" w:lineRule="exact"/>
        <w:rPr>
          <w:sz w:val="20"/>
          <w:szCs w:val="20"/>
          <w:color w:val="auto"/>
        </w:rPr>
      </w:pPr>
    </w:p>
    <w:p>
      <w:pPr>
        <w:ind w:left="940" w:hanging="183"/>
        <w:spacing w:after="0"/>
        <w:tabs>
          <w:tab w:leader="none" w:pos="94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Mr. Kravitz’s 2024 base salary increased from $300,000 to $310,000 effective April 1, 2024 and then to $335,000 effective December 1,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Incentive Awards</w:t>
      </w:r>
    </w:p>
    <w:p>
      <w:pPr>
        <w:spacing w:after="0" w:line="11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At its meeting on March 18, 2025, the Compensation Committee adopted the 2025 Annual Bonus Plan (the “</w:t>
      </w:r>
      <w:r>
        <w:rPr>
          <w:rFonts w:ascii="Times New Roman" w:cs="Times New Roman" w:eastAsia="Times New Roman" w:hAnsi="Times New Roman"/>
          <w:sz w:val="18"/>
          <w:szCs w:val="18"/>
          <w:b w:val="1"/>
          <w:bCs w:val="1"/>
          <w:color w:val="auto"/>
        </w:rPr>
        <w:t>2025 Annual Bonus</w:t>
      </w:r>
      <w:r>
        <w:rPr>
          <w:rFonts w:ascii="Times New Roman" w:cs="Times New Roman" w:eastAsia="Times New Roman" w:hAnsi="Times New Roman"/>
          <w:sz w:val="18"/>
          <w:szCs w:val="18"/>
          <w:color w:val="auto"/>
        </w:rPr>
        <w:t>”) applicable to our NEOs and other eligible Company employees and established the performance metrics and targets that would be used to determine payouts under the 2025 Annual Bonus, as well as the target payout amount for each of the NEOs. This program was designed to afford eligible participants the opportunity to share in the Company’s success and reward their individual performance over the year based on meeting or exceeding pre-established performance criteria. In determining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49" w:name="page50"/>
    <w:bookmarkEnd w:id="49"/>
    <w:p>
      <w:pPr>
        <w:ind w:right="780"/>
        <w:spacing w:after="0" w:line="282" w:lineRule="auto"/>
        <w:rPr>
          <w:sz w:val="20"/>
          <w:szCs w:val="20"/>
          <w:color w:val="auto"/>
        </w:rPr>
      </w:pPr>
      <w:r>
        <w:rPr>
          <w:rFonts w:ascii="Times New Roman" w:cs="Times New Roman" w:eastAsia="Times New Roman" w:hAnsi="Times New Roman"/>
          <w:sz w:val="18"/>
          <w:szCs w:val="18"/>
          <w:color w:val="auto"/>
        </w:rPr>
        <w:t>the performance metrics and applicable targets for the 2025 Annual Bonus, the Compensation Committee reviewed the Company’s financial and operational priorities, strategic business objectives and plans for the year.</w:t>
      </w:r>
    </w:p>
    <w:p>
      <w:pPr>
        <w:spacing w:after="0" w:line="16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2025 Annual Bonus was designed to drive near-term goals supporting responsible, sustainable growth and to differentiate executives’ total compensation based on individual performance. The Compensation Committee assigned each executive a target incentive award as a percentage of their 2025 base salary, based on each executive’s responsibilities and role. The quantitative targets for each financial metric are designed to be challenging but reasonably attainable, with the maximum achievement levels intended to be a true stretch. Maximum achievement of each metric was set at 115% of the target levels while threshold achievement was set at 85% of target. The Compensation Committee selected the quantitative metrics based on the fact that revenue expansion is critical for high-growth companies, and Adjusted EBITDA is a key metric of profitability for high-growth companies generally and those in the cannabis industry specifically.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features of the 2025 Annual Bonus include:</w:t>
      </w:r>
    </w:p>
    <w:p>
      <w:pPr>
        <w:spacing w:after="0" w:line="117" w:lineRule="exact"/>
        <w:rPr>
          <w:sz w:val="20"/>
          <w:szCs w:val="20"/>
          <w:color w:val="auto"/>
        </w:rPr>
      </w:pPr>
    </w:p>
    <w:p>
      <w:pPr>
        <w:ind w:left="1140" w:hanging="36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Payout is determined by the Compensation Committee based on Company and individual performance factors;</w:t>
      </w:r>
    </w:p>
    <w:p>
      <w:pPr>
        <w:spacing w:after="0" w:line="117" w:lineRule="exact"/>
        <w:rPr>
          <w:rFonts w:ascii="Times New Roman" w:cs="Times New Roman" w:eastAsia="Times New Roman" w:hAnsi="Times New Roman"/>
          <w:sz w:val="18"/>
          <w:szCs w:val="18"/>
          <w:color w:val="auto"/>
        </w:rPr>
      </w:pPr>
    </w:p>
    <w:p>
      <w:pPr>
        <w:ind w:left="1140" w:right="20" w:hanging="369"/>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 metrics are 50% Revenue and 50% Adjusted EBITDA, to balance growth with responsible financial and operational management and align with the Company’s strategic priorities;</w:t>
      </w:r>
    </w:p>
    <w:p>
      <w:pPr>
        <w:spacing w:after="0" w:line="53" w:lineRule="exact"/>
        <w:rPr>
          <w:rFonts w:ascii="Times New Roman" w:cs="Times New Roman" w:eastAsia="Times New Roman" w:hAnsi="Times New Roman"/>
          <w:sz w:val="18"/>
          <w:szCs w:val="18"/>
          <w:color w:val="auto"/>
        </w:rPr>
      </w:pPr>
    </w:p>
    <w:p>
      <w:pPr>
        <w:ind w:left="1140" w:right="80" w:hanging="369"/>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is based on a subjective, qualitative assessment of each NEO’s annual performance against preestablished goals by the Compensation Committee and, in the case of the NEOs other than himself, the recommendations of the CEO;</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amounts will be earned if performance of both metrics falls below the respective threshold performance level;</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between threshold and target, or between target and maximum, is determined based on interpolated performance achievement;</w:t>
      </w:r>
    </w:p>
    <w:p>
      <w:pPr>
        <w:spacing w:after="0" w:line="117" w:lineRule="exact"/>
        <w:rPr>
          <w:rFonts w:ascii="Times New Roman" w:cs="Times New Roman" w:eastAsia="Times New Roman" w:hAnsi="Times New Roman"/>
          <w:sz w:val="18"/>
          <w:szCs w:val="18"/>
          <w:color w:val="auto"/>
        </w:rPr>
      </w:pPr>
    </w:p>
    <w:p>
      <w:pPr>
        <w:ind w:left="1140" w:right="60" w:hanging="369"/>
        <w:spacing w:after="0" w:line="266"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between 85% achievement to 100% achievement of target will increase by a 3.33% payout factor for each 1.0% of incremental performance achievement and from 100% achievement to 105% achievement, the payout factor will increase by 4.0% for each 1.0% of incremental performance achievement;</w:t>
      </w:r>
    </w:p>
    <w:p>
      <w:pPr>
        <w:spacing w:after="0" w:line="67" w:lineRule="exact"/>
        <w:rPr>
          <w:rFonts w:ascii="Times New Roman" w:cs="Times New Roman" w:eastAsia="Times New Roman" w:hAnsi="Times New Roman"/>
          <w:sz w:val="18"/>
          <w:szCs w:val="18"/>
          <w:color w:val="auto"/>
        </w:rPr>
      </w:pPr>
    </w:p>
    <w:p>
      <w:pPr>
        <w:ind w:left="1140" w:right="120" w:hanging="369"/>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incentivize and reward truly exceptional performance, payouts for achievement above 105% of target up to the maximum performance achievement of 115% of target results in an increase of 8.0% of payout factor for each 1% of performance attainment; and</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earned amounts are capped at 200% of target.</w:t>
      </w:r>
    </w:p>
    <w:p>
      <w:pPr>
        <w:spacing w:after="0" w:line="2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setting the target bonus amounts for each NEO, the Compensation Committee acknowledged that the NEOs’ base salaries were low relative to the market and the importance of increasing the competitiveness of the Company's compensation packages, and thus determined that it was appropriate to increase some of the NEOs’ bonus targets as a percentage of their respective base salary for 2025 as compared to the prior year. The Compensation Committee determined that it was appropriate to increase Mr. Kovler’s 2025 Annual Bonus target to 325% of his base salary, up from 250% the prior year; Mr. Georgiadis’s 2025 Annual Bonus target to 300% of his base salary, up from 250% the prior year; and Mr. Kravitz’s 2025 Annual Bonus target to 110% of his base salary, up from 85% the prior year. It maintained Mr. Faulkner's 2025 Annual Bonus target at 110% of his base salary, consistent with the prior year.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The goals for the Company’s performance for the 2025 Annual Bonus were: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64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640" w:type="dxa"/>
            <w:vAlign w:val="bottom"/>
            <w:gridSpan w:val="2"/>
            <w:vMerge w:val="continue"/>
          </w:tcPr>
          <w:p>
            <w:pPr>
              <w:spacing w:after="0"/>
              <w:rPr>
                <w:sz w:val="12"/>
                <w:szCs w:val="12"/>
                <w:color w:val="auto"/>
              </w:rPr>
            </w:pPr>
          </w:p>
        </w:tc>
        <w:tc>
          <w:tcPr>
            <w:tcW w:w="15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73"/>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(85% of Target)</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(115% of Target)</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Revenue</w:t>
            </w:r>
          </w:p>
        </w:tc>
        <w:tc>
          <w:tcPr>
            <w:tcW w:w="1660" w:type="dxa"/>
            <w:vAlign w:val="bottom"/>
            <w:gridSpan w:val="2"/>
            <w:shd w:val="clear" w:color="auto" w:fill="FCEABC"/>
          </w:tcPr>
          <w:p>
            <w:pPr>
              <w:jc w:val="right"/>
              <w:ind w:right="300"/>
              <w:spacing w:after="0"/>
              <w:rPr>
                <w:sz w:val="20"/>
                <w:szCs w:val="20"/>
                <w:color w:val="auto"/>
              </w:rPr>
            </w:pPr>
            <w:r>
              <w:rPr>
                <w:rFonts w:ascii="Times New Roman" w:cs="Times New Roman" w:eastAsia="Times New Roman" w:hAnsi="Times New Roman"/>
                <w:sz w:val="18"/>
                <w:szCs w:val="18"/>
                <w:color w:val="auto"/>
              </w:rPr>
              <w:t>$988M</w:t>
            </w:r>
          </w:p>
        </w:tc>
        <w:tc>
          <w:tcPr>
            <w:tcW w:w="1640" w:type="dxa"/>
            <w:vAlign w:val="bottom"/>
            <w:gridSpan w:val="2"/>
            <w:shd w:val="clear" w:color="auto" w:fill="FCEABC"/>
          </w:tcPr>
          <w:p>
            <w:pPr>
              <w:jc w:val="right"/>
              <w:ind w:right="300"/>
              <w:spacing w:after="0"/>
              <w:rPr>
                <w:sz w:val="20"/>
                <w:szCs w:val="20"/>
                <w:color w:val="auto"/>
              </w:rPr>
            </w:pPr>
            <w:r>
              <w:rPr>
                <w:rFonts w:ascii="Times New Roman" w:cs="Times New Roman" w:eastAsia="Times New Roman" w:hAnsi="Times New Roman"/>
                <w:sz w:val="18"/>
                <w:szCs w:val="18"/>
                <w:color w:val="auto"/>
              </w:rPr>
              <w:t>$1,162M</w:t>
            </w:r>
          </w:p>
        </w:tc>
        <w:tc>
          <w:tcPr>
            <w:tcW w:w="1540" w:type="dxa"/>
            <w:vAlign w:val="bottom"/>
            <w:gridSpan w:val="2"/>
            <w:shd w:val="clear" w:color="auto" w:fill="FCEABC"/>
          </w:tcPr>
          <w:p>
            <w:pPr>
              <w:jc w:val="right"/>
              <w:ind w:right="180"/>
              <w:spacing w:after="0"/>
              <w:rPr>
                <w:sz w:val="20"/>
                <w:szCs w:val="20"/>
                <w:color w:val="auto"/>
              </w:rPr>
            </w:pPr>
            <w:r>
              <w:rPr>
                <w:rFonts w:ascii="Times New Roman" w:cs="Times New Roman" w:eastAsia="Times New Roman" w:hAnsi="Times New Roman"/>
                <w:sz w:val="18"/>
                <w:szCs w:val="18"/>
                <w:color w:val="auto"/>
              </w:rPr>
              <w:t>$1,336M</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$273M</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$322M</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$370M</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b w:val="1"/>
                <w:bCs w:val="1"/>
                <w:color w:val="auto"/>
              </w:rPr>
              <w:t>Payout Factor (as a % of Target)</w:t>
            </w:r>
          </w:p>
        </w:tc>
        <w:tc>
          <w:tcPr>
            <w:tcW w:w="1660" w:type="dxa"/>
            <w:vAlign w:val="bottom"/>
            <w:gridSpan w:val="2"/>
            <w:shd w:val="clear" w:color="auto" w:fill="FCEAB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w:t>
            </w:r>
          </w:p>
        </w:tc>
        <w:tc>
          <w:tcPr>
            <w:tcW w:w="1640" w:type="dxa"/>
            <w:vAlign w:val="bottom"/>
            <w:gridSpan w:val="2"/>
            <w:shd w:val="clear" w:color="auto" w:fill="FCEAB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54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addition, with the input of the People Team, each NEO for themselves, and Mr. Kovler for each other NEO and Mr. Georgiadis for Mr. Faulkner and Mr. Kravitz, the Compensation Committee established individual performance goals for each NEO for the year. Our individual performance goals are designed to support our foundational principles, including our corporate mission, vision, values and priorities. For 2025, these goals included: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150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Mr. Kovler</w:t>
            </w:r>
          </w:p>
        </w:tc>
        <w:tc>
          <w:tcPr>
            <w:tcW w:w="9740" w:type="dxa"/>
            <w:vAlign w:val="bottom"/>
            <w:shd w:val="clear" w:color="auto" w:fill="FCEABC"/>
          </w:tcPr>
          <w:p>
            <w:pPr>
              <w:ind w:left="380"/>
              <w:spacing w:after="0"/>
              <w:rPr>
                <w:sz w:val="20"/>
                <w:szCs w:val="20"/>
                <w:color w:val="auto"/>
              </w:rPr>
            </w:pPr>
            <w:r>
              <w:rPr>
                <w:rFonts w:ascii="Times New Roman" w:cs="Times New Roman" w:eastAsia="Times New Roman" w:hAnsi="Times New Roman"/>
                <w:sz w:val="18"/>
                <w:szCs w:val="18"/>
                <w:color w:val="auto"/>
              </w:rPr>
              <w:t>Mr. Kovler’s 2025 goals focused on providing strong overall leadership for the development of the Company and the Company’s</w:t>
            </w:r>
          </w:p>
        </w:tc>
      </w:tr>
      <w:tr>
        <w:trPr>
          <w:trHeight w:val="216"/>
        </w:trPr>
        <w:tc>
          <w:tcPr>
            <w:tcW w:w="1500" w:type="dxa"/>
            <w:vAlign w:val="bottom"/>
            <w:shd w:val="clear" w:color="auto" w:fill="FCEABC"/>
          </w:tcPr>
          <w:p>
            <w:pPr>
              <w:spacing w:after="0"/>
              <w:rPr>
                <w:sz w:val="18"/>
                <w:szCs w:val="18"/>
                <w:color w:val="auto"/>
              </w:rPr>
            </w:pPr>
          </w:p>
        </w:tc>
        <w:tc>
          <w:tcPr>
            <w:tcW w:w="9740" w:type="dxa"/>
            <w:vAlign w:val="bottom"/>
            <w:shd w:val="clear" w:color="auto" w:fill="FCEABC"/>
          </w:tcPr>
          <w:p>
            <w:pPr>
              <w:ind w:left="380"/>
              <w:spacing w:after="0"/>
              <w:rPr>
                <w:sz w:val="20"/>
                <w:szCs w:val="20"/>
                <w:color w:val="auto"/>
              </w:rPr>
            </w:pPr>
            <w:r>
              <w:rPr>
                <w:rFonts w:ascii="Times New Roman" w:cs="Times New Roman" w:eastAsia="Times New Roman" w:hAnsi="Times New Roman"/>
                <w:sz w:val="18"/>
                <w:szCs w:val="18"/>
                <w:color w:val="auto"/>
              </w:rPr>
              <w:t>leadership team, including key succession plans; successful development and execution of the Company’s capital management</w:t>
            </w:r>
          </w:p>
        </w:tc>
      </w:tr>
      <w:tr>
        <w:trPr>
          <w:trHeight w:val="216"/>
        </w:trPr>
        <w:tc>
          <w:tcPr>
            <w:tcW w:w="1500" w:type="dxa"/>
            <w:vAlign w:val="bottom"/>
            <w:shd w:val="clear" w:color="auto" w:fill="FCEABC"/>
          </w:tcPr>
          <w:p>
            <w:pPr>
              <w:spacing w:after="0"/>
              <w:rPr>
                <w:sz w:val="18"/>
                <w:szCs w:val="18"/>
                <w:color w:val="auto"/>
              </w:rPr>
            </w:pPr>
          </w:p>
        </w:tc>
        <w:tc>
          <w:tcPr>
            <w:tcW w:w="9740" w:type="dxa"/>
            <w:vAlign w:val="bottom"/>
            <w:shd w:val="clear" w:color="auto" w:fill="FCEABC"/>
          </w:tcPr>
          <w:p>
            <w:pPr>
              <w:ind w:left="380"/>
              <w:spacing w:after="0"/>
              <w:rPr>
                <w:sz w:val="20"/>
                <w:szCs w:val="20"/>
                <w:color w:val="auto"/>
              </w:rPr>
            </w:pPr>
            <w:r>
              <w:rPr>
                <w:rFonts w:ascii="Times New Roman" w:cs="Times New Roman" w:eastAsia="Times New Roman" w:hAnsi="Times New Roman"/>
                <w:sz w:val="18"/>
                <w:szCs w:val="18"/>
                <w:color w:val="auto"/>
              </w:rPr>
              <w:t>plan and budget; extend or refinance the Company’s senior credit facility; developing and executing on key strategic imperatives,</w:t>
            </w:r>
          </w:p>
        </w:tc>
      </w:tr>
      <w:tr>
        <w:trPr>
          <w:trHeight w:val="216"/>
        </w:trPr>
        <w:tc>
          <w:tcPr>
            <w:tcW w:w="1500" w:type="dxa"/>
            <w:vAlign w:val="bottom"/>
            <w:shd w:val="clear" w:color="auto" w:fill="FCEABC"/>
          </w:tcPr>
          <w:p>
            <w:pPr>
              <w:spacing w:after="0"/>
              <w:rPr>
                <w:sz w:val="18"/>
                <w:szCs w:val="18"/>
                <w:color w:val="auto"/>
              </w:rPr>
            </w:pPr>
          </w:p>
        </w:tc>
        <w:tc>
          <w:tcPr>
            <w:tcW w:w="9740" w:type="dxa"/>
            <w:vAlign w:val="bottom"/>
            <w:shd w:val="clear" w:color="auto" w:fill="FCEABC"/>
          </w:tcPr>
          <w:p>
            <w:pPr>
              <w:ind w:left="380"/>
              <w:spacing w:after="0"/>
              <w:rPr>
                <w:sz w:val="20"/>
                <w:szCs w:val="20"/>
                <w:color w:val="auto"/>
              </w:rPr>
            </w:pPr>
            <w:r>
              <w:rPr>
                <w:rFonts w:ascii="Times New Roman" w:cs="Times New Roman" w:eastAsia="Times New Roman" w:hAnsi="Times New Roman"/>
                <w:sz w:val="18"/>
                <w:szCs w:val="18"/>
                <w:color w:val="auto"/>
              </w:rPr>
              <w:t>including with respect to brand development and strategic partnerships; acting as a leader for the Company’s culture of</w:t>
            </w:r>
          </w:p>
        </w:tc>
      </w:tr>
      <w:tr>
        <w:trPr>
          <w:trHeight w:val="234"/>
        </w:trPr>
        <w:tc>
          <w:tcPr>
            <w:tcW w:w="1500" w:type="dxa"/>
            <w:vAlign w:val="bottom"/>
            <w:shd w:val="clear" w:color="auto" w:fill="FCEABC"/>
          </w:tcPr>
          <w:p>
            <w:pPr>
              <w:spacing w:after="0"/>
              <w:rPr>
                <w:sz w:val="20"/>
                <w:szCs w:val="20"/>
                <w:color w:val="auto"/>
              </w:rPr>
            </w:pPr>
          </w:p>
        </w:tc>
        <w:tc>
          <w:tcPr>
            <w:tcW w:w="9740" w:type="dxa"/>
            <w:vAlign w:val="bottom"/>
            <w:shd w:val="clear" w:color="auto" w:fill="FCEABC"/>
          </w:tcPr>
          <w:p>
            <w:pPr>
              <w:ind w:left="380"/>
              <w:spacing w:after="0"/>
              <w:rPr>
                <w:sz w:val="20"/>
                <w:szCs w:val="20"/>
                <w:color w:val="auto"/>
              </w:rPr>
            </w:pPr>
            <w:r>
              <w:rPr>
                <w:rFonts w:ascii="Times New Roman" w:cs="Times New Roman" w:eastAsia="Times New Roman" w:hAnsi="Times New Roman"/>
                <w:sz w:val="18"/>
                <w:szCs w:val="18"/>
                <w:color w:val="auto"/>
              </w:rPr>
              <w:t>compliance; and closely monitoring legislative and regulatory changes in the industry.</w:t>
            </w:r>
          </w:p>
        </w:tc>
      </w:tr>
      <w:tr>
        <w:trPr>
          <w:trHeight w:val="94"/>
        </w:trPr>
        <w:tc>
          <w:tcPr>
            <w:tcW w:w="1500" w:type="dxa"/>
            <w:vAlign w:val="bottom"/>
            <w:shd w:val="clear" w:color="auto" w:fill="FCEABC"/>
          </w:tcPr>
          <w:p>
            <w:pPr>
              <w:spacing w:after="0"/>
              <w:rPr>
                <w:sz w:val="8"/>
                <w:szCs w:val="8"/>
                <w:color w:val="auto"/>
              </w:rPr>
            </w:pPr>
          </w:p>
        </w:tc>
        <w:tc>
          <w:tcPr>
            <w:tcW w:w="9740" w:type="dxa"/>
            <w:vAlign w:val="bottom"/>
            <w:shd w:val="clear" w:color="auto" w:fill="FCEABC"/>
          </w:tcPr>
          <w:p>
            <w:pPr>
              <w:spacing w:after="0"/>
              <w:rPr>
                <w:sz w:val="8"/>
                <w:szCs w:val="8"/>
                <w:color w:val="auto"/>
              </w:rPr>
            </w:pPr>
          </w:p>
        </w:tc>
      </w:tr>
      <w:tr>
        <w:trPr>
          <w:trHeight w:val="225"/>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Mr. Georgiadis</w:t>
            </w: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Mr. Georgiadis’s 2025 goals included successful leadership and development of the retail, revenue, and wholesale operations</w:t>
            </w:r>
          </w:p>
        </w:tc>
      </w:tr>
      <w:tr>
        <w:trPr>
          <w:trHeight w:val="216"/>
        </w:trPr>
        <w:tc>
          <w:tcPr>
            <w:tcW w:w="1500" w:type="dxa"/>
            <w:vAlign w:val="bottom"/>
          </w:tcPr>
          <w:p>
            <w:pPr>
              <w:spacing w:after="0"/>
              <w:rPr>
                <w:sz w:val="18"/>
                <w:szCs w:val="18"/>
                <w:color w:val="auto"/>
              </w:rPr>
            </w:pP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teams, including developing leaders in those areas and succession planning; successful execution of the Company’s financial,</w:t>
            </w:r>
          </w:p>
        </w:tc>
      </w:tr>
      <w:tr>
        <w:trPr>
          <w:trHeight w:val="216"/>
        </w:trPr>
        <w:tc>
          <w:tcPr>
            <w:tcW w:w="1500" w:type="dxa"/>
            <w:vAlign w:val="bottom"/>
          </w:tcPr>
          <w:p>
            <w:pPr>
              <w:spacing w:after="0"/>
              <w:rPr>
                <w:sz w:val="18"/>
                <w:szCs w:val="18"/>
                <w:color w:val="auto"/>
              </w:rPr>
            </w:pP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 and operating plans; leading efforts to improve product quality and production efficiencies; and acting as a</w:t>
            </w:r>
          </w:p>
        </w:tc>
      </w:tr>
      <w:tr>
        <w:trPr>
          <w:trHeight w:val="234"/>
        </w:trPr>
        <w:tc>
          <w:tcPr>
            <w:tcW w:w="1500" w:type="dxa"/>
            <w:vAlign w:val="bottom"/>
          </w:tcPr>
          <w:p>
            <w:pPr>
              <w:spacing w:after="0"/>
              <w:rPr>
                <w:sz w:val="20"/>
                <w:szCs w:val="20"/>
                <w:color w:val="auto"/>
              </w:rPr>
            </w:pP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leader for the Company’s culture of compliance.</w:t>
            </w:r>
          </w:p>
        </w:tc>
      </w:tr>
      <w:tr>
        <w:trPr>
          <w:trHeight w:val="95"/>
        </w:trPr>
        <w:tc>
          <w:tcPr>
            <w:tcW w:w="1500" w:type="dxa"/>
            <w:vAlign w:val="bottom"/>
          </w:tcPr>
          <w:p>
            <w:pPr>
              <w:spacing w:after="0"/>
              <w:rPr>
                <w:sz w:val="8"/>
                <w:szCs w:val="8"/>
                <w:color w:val="auto"/>
              </w:rPr>
            </w:pPr>
          </w:p>
        </w:tc>
        <w:tc>
          <w:tcPr>
            <w:tcW w:w="9740" w:type="dxa"/>
            <w:vAlign w:val="bottom"/>
          </w:tcPr>
          <w:p>
            <w:pPr>
              <w:spacing w:after="0"/>
              <w:rPr>
                <w:sz w:val="8"/>
                <w:szCs w:val="8"/>
                <w:color w:val="auto"/>
              </w:rPr>
            </w:pPr>
          </w:p>
        </w:tc>
      </w:tr>
      <w:tr>
        <w:trPr>
          <w:trHeight w:val="306"/>
        </w:trPr>
        <w:tc>
          <w:tcPr>
            <w:tcW w:w="150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Mr. Faulkner</w:t>
            </w:r>
          </w:p>
        </w:tc>
        <w:tc>
          <w:tcPr>
            <w:tcW w:w="9740" w:type="dxa"/>
            <w:vAlign w:val="bottom"/>
            <w:shd w:val="clear" w:color="auto" w:fill="FCEABC"/>
          </w:tcPr>
          <w:p>
            <w:pPr>
              <w:ind w:left="380"/>
              <w:spacing w:after="0"/>
              <w:rPr>
                <w:sz w:val="20"/>
                <w:szCs w:val="20"/>
                <w:color w:val="auto"/>
              </w:rPr>
            </w:pPr>
            <w:r>
              <w:rPr>
                <w:rFonts w:ascii="Times New Roman" w:cs="Times New Roman" w:eastAsia="Times New Roman" w:hAnsi="Times New Roman"/>
                <w:sz w:val="18"/>
                <w:szCs w:val="18"/>
                <w:color w:val="auto"/>
              </w:rPr>
              <w:t>Mr. Faulkner’s 2025 goals included effective leadership and management of our finance and accounting functions, including</w:t>
            </w:r>
          </w:p>
        </w:tc>
      </w:tr>
      <w:tr>
        <w:trPr>
          <w:trHeight w:val="216"/>
        </w:trPr>
        <w:tc>
          <w:tcPr>
            <w:tcW w:w="1500" w:type="dxa"/>
            <w:vAlign w:val="bottom"/>
            <w:shd w:val="clear" w:color="auto" w:fill="FCEABC"/>
          </w:tcPr>
          <w:p>
            <w:pPr>
              <w:spacing w:after="0"/>
              <w:rPr>
                <w:sz w:val="18"/>
                <w:szCs w:val="18"/>
                <w:color w:val="auto"/>
              </w:rPr>
            </w:pPr>
          </w:p>
        </w:tc>
        <w:tc>
          <w:tcPr>
            <w:tcW w:w="9740" w:type="dxa"/>
            <w:vAlign w:val="bottom"/>
            <w:shd w:val="clear" w:color="auto" w:fill="FCEABC"/>
          </w:tcPr>
          <w:p>
            <w:pPr>
              <w:ind w:left="380"/>
              <w:spacing w:after="0"/>
              <w:rPr>
                <w:sz w:val="20"/>
                <w:szCs w:val="20"/>
                <w:color w:val="auto"/>
              </w:rPr>
            </w:pPr>
            <w:r>
              <w:rPr>
                <w:rFonts w:ascii="Times New Roman" w:cs="Times New Roman" w:eastAsia="Times New Roman" w:hAnsi="Times New Roman"/>
                <w:sz w:val="18"/>
                <w:szCs w:val="18"/>
                <w:color w:val="auto"/>
              </w:rPr>
              <w:t>timely filings with the SEC; delivering on cost savings initiatives and management of the Company’s cash position; supporting</w:t>
            </w:r>
          </w:p>
        </w:tc>
      </w:tr>
      <w:tr>
        <w:trPr>
          <w:trHeight w:val="216"/>
        </w:trPr>
        <w:tc>
          <w:tcPr>
            <w:tcW w:w="1500" w:type="dxa"/>
            <w:vAlign w:val="bottom"/>
            <w:shd w:val="clear" w:color="auto" w:fill="FCEABC"/>
          </w:tcPr>
          <w:p>
            <w:pPr>
              <w:spacing w:after="0"/>
              <w:rPr>
                <w:sz w:val="18"/>
                <w:szCs w:val="18"/>
                <w:color w:val="auto"/>
              </w:rPr>
            </w:pPr>
          </w:p>
        </w:tc>
        <w:tc>
          <w:tcPr>
            <w:tcW w:w="9740" w:type="dxa"/>
            <w:vAlign w:val="bottom"/>
            <w:shd w:val="clear" w:color="auto" w:fill="FCEABC"/>
          </w:tcPr>
          <w:p>
            <w:pPr>
              <w:ind w:left="380"/>
              <w:spacing w:after="0"/>
              <w:rPr>
                <w:sz w:val="20"/>
                <w:szCs w:val="20"/>
                <w:color w:val="auto"/>
              </w:rPr>
            </w:pPr>
            <w:r>
              <w:rPr>
                <w:rFonts w:ascii="Times New Roman" w:cs="Times New Roman" w:eastAsia="Times New Roman" w:hAnsi="Times New Roman"/>
                <w:sz w:val="18"/>
                <w:szCs w:val="18"/>
                <w:color w:val="auto"/>
              </w:rPr>
              <w:t>the development of new banking, processing and reporting tools; strengthening the Company’s finance, accounting and</w:t>
            </w:r>
          </w:p>
        </w:tc>
      </w:tr>
      <w:tr>
        <w:trPr>
          <w:trHeight w:val="216"/>
        </w:trPr>
        <w:tc>
          <w:tcPr>
            <w:tcW w:w="1500" w:type="dxa"/>
            <w:vAlign w:val="bottom"/>
            <w:shd w:val="clear" w:color="auto" w:fill="FCEABC"/>
          </w:tcPr>
          <w:p>
            <w:pPr>
              <w:spacing w:after="0"/>
              <w:rPr>
                <w:sz w:val="18"/>
                <w:szCs w:val="18"/>
                <w:color w:val="auto"/>
              </w:rPr>
            </w:pPr>
          </w:p>
        </w:tc>
        <w:tc>
          <w:tcPr>
            <w:tcW w:w="9740" w:type="dxa"/>
            <w:vAlign w:val="bottom"/>
            <w:shd w:val="clear" w:color="auto" w:fill="FCEABC"/>
          </w:tcPr>
          <w:p>
            <w:pPr>
              <w:ind w:left="380"/>
              <w:spacing w:after="0"/>
              <w:rPr>
                <w:sz w:val="20"/>
                <w:szCs w:val="20"/>
                <w:color w:val="auto"/>
              </w:rPr>
            </w:pPr>
            <w:r>
              <w:rPr>
                <w:rFonts w:ascii="Times New Roman" w:cs="Times New Roman" w:eastAsia="Times New Roman" w:hAnsi="Times New Roman"/>
                <w:sz w:val="18"/>
                <w:szCs w:val="18"/>
                <w:color w:val="auto"/>
              </w:rPr>
              <w:t>information technology functions by developing talent and developing succession plans for key roles; and ensuring strong</w:t>
            </w:r>
          </w:p>
        </w:tc>
      </w:tr>
      <w:tr>
        <w:trPr>
          <w:trHeight w:val="234"/>
        </w:trPr>
        <w:tc>
          <w:tcPr>
            <w:tcW w:w="1500" w:type="dxa"/>
            <w:vAlign w:val="bottom"/>
            <w:shd w:val="clear" w:color="auto" w:fill="FCEABC"/>
          </w:tcPr>
          <w:p>
            <w:pPr>
              <w:spacing w:after="0"/>
              <w:rPr>
                <w:sz w:val="20"/>
                <w:szCs w:val="20"/>
                <w:color w:val="auto"/>
              </w:rPr>
            </w:pPr>
          </w:p>
        </w:tc>
        <w:tc>
          <w:tcPr>
            <w:tcW w:w="9740" w:type="dxa"/>
            <w:vAlign w:val="bottom"/>
            <w:shd w:val="clear" w:color="auto" w:fill="FCEABC"/>
          </w:tcPr>
          <w:p>
            <w:pPr>
              <w:ind w:left="380"/>
              <w:spacing w:after="0"/>
              <w:rPr>
                <w:sz w:val="20"/>
                <w:szCs w:val="20"/>
                <w:color w:val="auto"/>
              </w:rPr>
            </w:pPr>
            <w:r>
              <w:rPr>
                <w:rFonts w:ascii="Times New Roman" w:cs="Times New Roman" w:eastAsia="Times New Roman" w:hAnsi="Times New Roman"/>
                <w:sz w:val="18"/>
                <w:szCs w:val="18"/>
                <w:color w:val="auto"/>
              </w:rPr>
              <w:t>internal controls and procedures.</w:t>
            </w:r>
          </w:p>
        </w:tc>
      </w:tr>
      <w:tr>
        <w:trPr>
          <w:trHeight w:val="225"/>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Mr. Kravitz</w:t>
            </w: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Mr. Kravitz’s 2025 goals included continued development of the legal team to optimize organizational support; safeguarding the</w:t>
            </w:r>
          </w:p>
        </w:tc>
      </w:tr>
      <w:tr>
        <w:trPr>
          <w:trHeight w:val="216"/>
        </w:trPr>
        <w:tc>
          <w:tcPr>
            <w:tcW w:w="1500" w:type="dxa"/>
            <w:vAlign w:val="bottom"/>
          </w:tcPr>
          <w:p>
            <w:pPr>
              <w:spacing w:after="0"/>
              <w:rPr>
                <w:sz w:val="18"/>
                <w:szCs w:val="18"/>
                <w:color w:val="auto"/>
              </w:rPr>
            </w:pP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licenses and acting as a leader for the Company’s culture of compliance; representing the Company on key and</w:t>
            </w:r>
          </w:p>
        </w:tc>
      </w:tr>
      <w:tr>
        <w:trPr>
          <w:trHeight w:val="234"/>
        </w:trPr>
        <w:tc>
          <w:tcPr>
            <w:tcW w:w="1500" w:type="dxa"/>
            <w:vAlign w:val="bottom"/>
          </w:tcPr>
          <w:p>
            <w:pPr>
              <w:spacing w:after="0"/>
              <w:rPr>
                <w:sz w:val="20"/>
                <w:szCs w:val="20"/>
                <w:color w:val="auto"/>
              </w:rPr>
            </w:pPr>
          </w:p>
        </w:tc>
        <w:tc>
          <w:tcPr>
            <w:tcW w:w="9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strategic legislative and legal initiatives; and actively managing the Company’s legal and regulatory budgets.</w:t>
            </w:r>
          </w:p>
        </w:tc>
      </w:tr>
      <w:tr>
        <w:trPr>
          <w:trHeight w:val="446"/>
        </w:trPr>
        <w:tc>
          <w:tcPr>
            <w:tcW w:w="1500" w:type="dxa"/>
            <w:vAlign w:val="bottom"/>
          </w:tcPr>
          <w:p>
            <w:pPr>
              <w:spacing w:after="0"/>
              <w:rPr>
                <w:sz w:val="24"/>
                <w:szCs w:val="24"/>
                <w:color w:val="auto"/>
              </w:rPr>
            </w:pPr>
          </w:p>
        </w:tc>
        <w:tc>
          <w:tcPr>
            <w:tcW w:w="974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45</w:t>
            </w:r>
          </w:p>
        </w:tc>
      </w:tr>
      <w:tr>
        <w:trPr>
          <w:trHeight w:val="763"/>
        </w:trPr>
        <w:tc>
          <w:tcPr>
            <w:tcW w:w="1500" w:type="dxa"/>
            <w:vAlign w:val="bottom"/>
            <w:tcBorders>
              <w:bottom w:val="single" w:sz="8" w:color="9A9A9A"/>
            </w:tcBorders>
          </w:tcPr>
          <w:p>
            <w:pPr>
              <w:spacing w:after="0"/>
              <w:rPr>
                <w:sz w:val="24"/>
                <w:szCs w:val="24"/>
                <w:color w:val="auto"/>
              </w:rPr>
            </w:pPr>
          </w:p>
        </w:tc>
        <w:tc>
          <w:tcPr>
            <w:tcW w:w="9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2025 Annual Bonus Results</w:t>
      </w:r>
    </w:p>
    <w:p>
      <w:pPr>
        <w:spacing w:after="0" w:line="1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Following the end of 2025, the Compensation Committee evaluated the Company’s and each NEO’s performance with respect to the above-described criteria, to determine each individual’s achievement under the 2025 Annual Bonus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45720</wp:posOffset>
            </wp:positionV>
            <wp:extent cx="5040630" cy="1817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4063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achievement with respect to the 2025 Revenue and Adjusted EBITDA metrics was: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Payout</w:t>
            </w:r>
          </w:p>
        </w:tc>
      </w:tr>
      <w:tr>
        <w:trPr>
          <w:trHeight w:val="173"/>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Result</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20"/>
        </w:trPr>
        <w:tc>
          <w:tcPr>
            <w:tcW w:w="42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508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Revenue (50% weighting)</w:t>
            </w:r>
          </w:p>
        </w:tc>
        <w:tc>
          <w:tcPr>
            <w:tcW w:w="1180" w:type="dxa"/>
            <w:vAlign w:val="bottom"/>
            <w:gridSpan w:val="2"/>
            <w:shd w:val="clear" w:color="auto" w:fill="FCEABC"/>
          </w:tcPr>
          <w:p>
            <w:pPr>
              <w:ind w:left="560"/>
              <w:spacing w:after="0"/>
              <w:rPr>
                <w:sz w:val="20"/>
                <w:szCs w:val="20"/>
                <w:color w:val="auto"/>
              </w:rPr>
            </w:pPr>
            <w:r>
              <w:rPr>
                <w:rFonts w:ascii="Times New Roman" w:cs="Times New Roman" w:eastAsia="Times New Roman" w:hAnsi="Times New Roman"/>
                <w:sz w:val="18"/>
                <w:szCs w:val="18"/>
                <w:color w:val="auto"/>
              </w:rPr>
              <w:t>$988M</w:t>
            </w:r>
          </w:p>
        </w:tc>
        <w:tc>
          <w:tcPr>
            <w:tcW w:w="1340" w:type="dxa"/>
            <w:vAlign w:val="bottom"/>
            <w:gridSpan w:val="2"/>
            <w:shd w:val="clear" w:color="auto" w:fill="FCEABC"/>
          </w:tcPr>
          <w:p>
            <w:pPr>
              <w:jc w:val="right"/>
              <w:ind w:right="280"/>
              <w:spacing w:after="0"/>
              <w:rPr>
                <w:sz w:val="20"/>
                <w:szCs w:val="20"/>
                <w:color w:val="auto"/>
              </w:rPr>
            </w:pPr>
            <w:r>
              <w:rPr>
                <w:rFonts w:ascii="Times New Roman" w:cs="Times New Roman" w:eastAsia="Times New Roman" w:hAnsi="Times New Roman"/>
                <w:sz w:val="18"/>
                <w:szCs w:val="18"/>
                <w:color w:val="auto"/>
              </w:rPr>
              <w:t>$1,162M</w:t>
            </w:r>
          </w:p>
        </w:tc>
        <w:tc>
          <w:tcPr>
            <w:tcW w:w="122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$1,336M</w:t>
            </w:r>
          </w:p>
        </w:tc>
        <w:tc>
          <w:tcPr>
            <w:tcW w:w="118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$1,175M</w:t>
            </w:r>
          </w:p>
        </w:tc>
        <w:tc>
          <w:tcPr>
            <w:tcW w:w="1240" w:type="dxa"/>
            <w:vAlign w:val="bottom"/>
            <w:gridSpan w:val="2"/>
            <w:shd w:val="clear" w:color="auto" w:fill="FCEABC"/>
          </w:tcPr>
          <w:p>
            <w:pPr>
              <w:ind w:left="640"/>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50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(50% weighting)</w:t>
            </w: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$273M</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$322M</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$370M</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$348M</w:t>
            </w: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146.8%</w:t>
            </w:r>
          </w:p>
        </w:tc>
      </w:tr>
      <w:tr>
        <w:trPr>
          <w:trHeight w:val="216"/>
        </w:trPr>
        <w:tc>
          <w:tcPr>
            <w:tcW w:w="508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b w:val="1"/>
                <w:bCs w:val="1"/>
                <w:color w:val="auto"/>
              </w:rPr>
              <w:t>Total Company Performance</w:t>
            </w:r>
          </w:p>
        </w:tc>
        <w:tc>
          <w:tcPr>
            <w:tcW w:w="1080" w:type="dxa"/>
            <w:vAlign w:val="bottom"/>
            <w:shd w:val="clear" w:color="auto" w:fill="FCEABC"/>
          </w:tcPr>
          <w:p>
            <w:pPr>
              <w:spacing w:after="0"/>
              <w:rPr>
                <w:sz w:val="18"/>
                <w:szCs w:val="18"/>
                <w:color w:val="auto"/>
              </w:rPr>
            </w:pPr>
          </w:p>
        </w:tc>
        <w:tc>
          <w:tcPr>
            <w:tcW w:w="100" w:type="dxa"/>
            <w:vAlign w:val="bottom"/>
            <w:shd w:val="clear" w:color="auto" w:fill="FCEABC"/>
          </w:tcPr>
          <w:p>
            <w:pPr>
              <w:spacing w:after="0"/>
              <w:rPr>
                <w:sz w:val="18"/>
                <w:szCs w:val="18"/>
                <w:color w:val="auto"/>
              </w:rPr>
            </w:pPr>
          </w:p>
        </w:tc>
        <w:tc>
          <w:tcPr>
            <w:tcW w:w="134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w:t>
            </w:r>
          </w:p>
        </w:tc>
        <w:tc>
          <w:tcPr>
            <w:tcW w:w="1120" w:type="dxa"/>
            <w:vAlign w:val="bottom"/>
            <w:shd w:val="clear" w:color="auto" w:fill="FCEABC"/>
          </w:tcPr>
          <w:p>
            <w:pPr>
              <w:spacing w:after="0"/>
              <w:rPr>
                <w:sz w:val="18"/>
                <w:szCs w:val="18"/>
                <w:color w:val="auto"/>
              </w:rPr>
            </w:pPr>
          </w:p>
        </w:tc>
        <w:tc>
          <w:tcPr>
            <w:tcW w:w="100" w:type="dxa"/>
            <w:vAlign w:val="bottom"/>
            <w:shd w:val="clear" w:color="auto" w:fill="FCEABC"/>
          </w:tcPr>
          <w:p>
            <w:pPr>
              <w:spacing w:after="0"/>
              <w:rPr>
                <w:sz w:val="18"/>
                <w:szCs w:val="18"/>
                <w:color w:val="auto"/>
              </w:rPr>
            </w:pPr>
          </w:p>
        </w:tc>
        <w:tc>
          <w:tcPr>
            <w:tcW w:w="1060" w:type="dxa"/>
            <w:vAlign w:val="bottom"/>
            <w:shd w:val="clear" w:color="auto" w:fill="FCEABC"/>
          </w:tcPr>
          <w:p>
            <w:pPr>
              <w:spacing w:after="0"/>
              <w:rPr>
                <w:sz w:val="18"/>
                <w:szCs w:val="18"/>
                <w:color w:val="auto"/>
              </w:rPr>
            </w:pPr>
          </w:p>
        </w:tc>
        <w:tc>
          <w:tcPr>
            <w:tcW w:w="120" w:type="dxa"/>
            <w:vAlign w:val="bottom"/>
            <w:shd w:val="clear" w:color="auto" w:fill="FCEABC"/>
          </w:tcPr>
          <w:p>
            <w:pPr>
              <w:spacing w:after="0"/>
              <w:rPr>
                <w:sz w:val="18"/>
                <w:szCs w:val="18"/>
                <w:color w:val="auto"/>
              </w:rPr>
            </w:pPr>
          </w:p>
        </w:tc>
        <w:tc>
          <w:tcPr>
            <w:tcW w:w="1240" w:type="dxa"/>
            <w:vAlign w:val="bottom"/>
            <w:gridSpan w:val="2"/>
            <w:shd w:val="clear" w:color="auto" w:fill="FCEABC"/>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125.6%</w:t>
            </w:r>
          </w:p>
        </w:tc>
      </w:tr>
    </w:tbl>
    <w:p>
      <w:pPr>
        <w:spacing w:after="0" w:line="23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Following the sale of the Company’s brand intellectual property to RYM in May and September of 2025, the Company began to pay licensing fees to RYM in November 2025, totaling approximately $6.8 million for the year. When evaluating the Company’s financial performance for 2025 pursuant to the goals established under the 2025 Annual Bonus Plan, as permitted by the terms thereof, the Compensation Committee determined that it was appropriate to add back those licensing fees to Adjusted EBITDA. The Company refers to this metric as “Normalized EBIDTA” in the 2025 Form 10-K.</w:t>
      </w:r>
    </w:p>
    <w:p>
      <w:pPr>
        <w:spacing w:after="0" w:line="20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Individual performance was subjectively and qualitatively reviewed by the Compensation Committee, taking into consideration the recommendations of Mr. Kovler for all of the other NEOs, and Mr. Georgiadis for Mr. Faulkner and Mr. Kravitz. Key individual performance achievements for the year taken into consideration by the Compensation Committee in determining the applicable payouts under the 2025 Annual Bonus for each NEO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920" w:type="dxa"/>
            <w:vAlign w:val="bottom"/>
          </w:tcPr>
          <w:p>
            <w:pPr>
              <w:spacing w:after="0"/>
              <w:rPr>
                <w:sz w:val="24"/>
                <w:szCs w:val="24"/>
                <w:color w:val="auto"/>
              </w:rPr>
            </w:pPr>
          </w:p>
        </w:tc>
        <w:tc>
          <w:tcPr>
            <w:tcW w:w="176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Mr. Kovler</w:t>
            </w:r>
          </w:p>
        </w:tc>
        <w:tc>
          <w:tcPr>
            <w:tcW w:w="766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Mr. Kovler’s key accomplishments for 2025 included effective stewardship of the development of the</w:t>
            </w:r>
          </w:p>
        </w:tc>
        <w:tc>
          <w:tcPr>
            <w:tcW w:w="90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1760" w:type="dxa"/>
            <w:vAlign w:val="bottom"/>
            <w:shd w:val="clear" w:color="auto" w:fill="FCEABC"/>
          </w:tcPr>
          <w:p>
            <w:pPr>
              <w:spacing w:after="0"/>
              <w:rPr>
                <w:sz w:val="18"/>
                <w:szCs w:val="18"/>
                <w:color w:val="auto"/>
              </w:rPr>
            </w:pPr>
          </w:p>
        </w:tc>
        <w:tc>
          <w:tcPr>
            <w:tcW w:w="766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Company and its leadership team; achieving financial performance, exceeding planned results; successful</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760" w:type="dxa"/>
            <w:vAlign w:val="bottom"/>
            <w:shd w:val="clear" w:color="auto" w:fill="FCEABC"/>
          </w:tcPr>
          <w:p>
            <w:pPr>
              <w:spacing w:after="0"/>
              <w:rPr>
                <w:sz w:val="18"/>
                <w:szCs w:val="18"/>
                <w:color w:val="auto"/>
              </w:rPr>
            </w:pPr>
          </w:p>
        </w:tc>
        <w:tc>
          <w:tcPr>
            <w:tcW w:w="766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execution and development of the Company’s capital management plan and budget and expanding the</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760" w:type="dxa"/>
            <w:vAlign w:val="bottom"/>
            <w:shd w:val="clear" w:color="auto" w:fill="FCEABC"/>
          </w:tcPr>
          <w:p>
            <w:pPr>
              <w:spacing w:after="0"/>
              <w:rPr>
                <w:sz w:val="18"/>
                <w:szCs w:val="18"/>
                <w:color w:val="auto"/>
              </w:rPr>
            </w:pPr>
          </w:p>
        </w:tc>
        <w:tc>
          <w:tcPr>
            <w:tcW w:w="766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Company’s senior debt facility; delivering on key strategic imperatives including developing the</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760" w:type="dxa"/>
            <w:vAlign w:val="bottom"/>
            <w:shd w:val="clear" w:color="auto" w:fill="FCEABC"/>
          </w:tcPr>
          <w:p>
            <w:pPr>
              <w:spacing w:after="0"/>
              <w:rPr>
                <w:sz w:val="18"/>
                <w:szCs w:val="18"/>
                <w:color w:val="auto"/>
              </w:rPr>
            </w:pPr>
          </w:p>
        </w:tc>
        <w:tc>
          <w:tcPr>
            <w:tcW w:w="766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Company’s brand performance and key partnerships; and keeping the Company prepared for potential</w:t>
            </w:r>
          </w:p>
        </w:tc>
        <w:tc>
          <w:tcPr>
            <w:tcW w:w="90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1760" w:type="dxa"/>
            <w:vAlign w:val="bottom"/>
            <w:shd w:val="clear" w:color="auto" w:fill="FCEABC"/>
          </w:tcPr>
          <w:p>
            <w:pPr>
              <w:spacing w:after="0"/>
              <w:rPr>
                <w:sz w:val="20"/>
                <w:szCs w:val="20"/>
                <w:color w:val="auto"/>
              </w:rPr>
            </w:pPr>
          </w:p>
        </w:tc>
        <w:tc>
          <w:tcPr>
            <w:tcW w:w="766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legislative changes.</w:t>
            </w:r>
          </w:p>
        </w:tc>
        <w:tc>
          <w:tcPr>
            <w:tcW w:w="900" w:type="dxa"/>
            <w:vAlign w:val="bottom"/>
          </w:tcPr>
          <w:p>
            <w:pPr>
              <w:spacing w:after="0"/>
              <w:rPr>
                <w:sz w:val="20"/>
                <w:szCs w:val="20"/>
                <w:color w:val="auto"/>
              </w:rPr>
            </w:pPr>
          </w:p>
        </w:tc>
      </w:tr>
      <w:tr>
        <w:trPr>
          <w:trHeight w:val="94"/>
        </w:trPr>
        <w:tc>
          <w:tcPr>
            <w:tcW w:w="920" w:type="dxa"/>
            <w:vAlign w:val="bottom"/>
          </w:tcPr>
          <w:p>
            <w:pPr>
              <w:spacing w:after="0"/>
              <w:rPr>
                <w:sz w:val="8"/>
                <w:szCs w:val="8"/>
                <w:color w:val="auto"/>
              </w:rPr>
            </w:pPr>
          </w:p>
        </w:tc>
        <w:tc>
          <w:tcPr>
            <w:tcW w:w="1760" w:type="dxa"/>
            <w:vAlign w:val="bottom"/>
            <w:shd w:val="clear" w:color="auto" w:fill="FCEABC"/>
          </w:tcPr>
          <w:p>
            <w:pPr>
              <w:spacing w:after="0"/>
              <w:rPr>
                <w:sz w:val="8"/>
                <w:szCs w:val="8"/>
                <w:color w:val="auto"/>
              </w:rPr>
            </w:pPr>
          </w:p>
        </w:tc>
        <w:tc>
          <w:tcPr>
            <w:tcW w:w="7660" w:type="dxa"/>
            <w:vAlign w:val="bottom"/>
            <w:shd w:val="clear" w:color="auto" w:fill="FCEABC"/>
          </w:tcPr>
          <w:p>
            <w:pPr>
              <w:spacing w:after="0"/>
              <w:rPr>
                <w:sz w:val="8"/>
                <w:szCs w:val="8"/>
                <w:color w:val="auto"/>
              </w:rPr>
            </w:pPr>
          </w:p>
        </w:tc>
        <w:tc>
          <w:tcPr>
            <w:tcW w:w="900" w:type="dxa"/>
            <w:vAlign w:val="bottom"/>
          </w:tcPr>
          <w:p>
            <w:pPr>
              <w:spacing w:after="0"/>
              <w:rPr>
                <w:sz w:val="8"/>
                <w:szCs w:val="8"/>
                <w:color w:val="auto"/>
              </w:rPr>
            </w:pPr>
          </w:p>
        </w:tc>
      </w:tr>
      <w:tr>
        <w:trPr>
          <w:trHeight w:val="306"/>
        </w:trPr>
        <w:tc>
          <w:tcPr>
            <w:tcW w:w="26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Mr. Georgiadis</w:t>
            </w: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Compensation Committee recognized Mr. Georgiadis for his key 2025 accomplishments including</w:t>
            </w:r>
          </w:p>
        </w:tc>
      </w:tr>
      <w:tr>
        <w:trPr>
          <w:trHeight w:val="216"/>
        </w:trPr>
        <w:tc>
          <w:tcPr>
            <w:tcW w:w="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successfully executing on the Company’s strategic priorities; extensive development of key leaders</w:t>
            </w:r>
          </w:p>
        </w:tc>
      </w:tr>
      <w:tr>
        <w:trPr>
          <w:trHeight w:val="216"/>
        </w:trPr>
        <w:tc>
          <w:tcPr>
            <w:tcW w:w="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throughout the business and overall development of the leadership team; contributions to the Company’s</w:t>
            </w:r>
          </w:p>
        </w:tc>
      </w:tr>
      <w:tr>
        <w:trPr>
          <w:trHeight w:val="216"/>
        </w:trPr>
        <w:tc>
          <w:tcPr>
            <w:tcW w:w="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excellent financial performance, including tax strategies, cash flow management and execution on capital</w:t>
            </w:r>
          </w:p>
        </w:tc>
      </w:tr>
      <w:tr>
        <w:trPr>
          <w:trHeight w:val="216"/>
        </w:trPr>
        <w:tc>
          <w:tcPr>
            <w:tcW w:w="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expenditures; successfully leading the efforts to improve product quality, market share, inventory</w:t>
            </w:r>
          </w:p>
        </w:tc>
      </w:tr>
      <w:tr>
        <w:trPr>
          <w:trHeight w:val="216"/>
        </w:trPr>
        <w:tc>
          <w:tcPr>
            <w:tcW w:w="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and production efficiencies; and providing leadership for the Company’s culture of</w:t>
            </w:r>
          </w:p>
        </w:tc>
      </w:tr>
      <w:tr>
        <w:trPr>
          <w:trHeight w:val="234"/>
        </w:trPr>
        <w:tc>
          <w:tcPr>
            <w:tcW w:w="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compliance.</w:t>
            </w:r>
          </w:p>
        </w:tc>
      </w:tr>
      <w:tr>
        <w:trPr>
          <w:trHeight w:val="95"/>
        </w:trPr>
        <w:tc>
          <w:tcPr>
            <w:tcW w:w="9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76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108"/>
        </w:trPr>
        <w:tc>
          <w:tcPr>
            <w:tcW w:w="920" w:type="dxa"/>
            <w:vAlign w:val="bottom"/>
          </w:tcPr>
          <w:p>
            <w:pPr>
              <w:spacing w:after="0"/>
              <w:rPr>
                <w:sz w:val="9"/>
                <w:szCs w:val="9"/>
                <w:color w:val="auto"/>
              </w:rPr>
            </w:pPr>
          </w:p>
        </w:tc>
        <w:tc>
          <w:tcPr>
            <w:tcW w:w="1760" w:type="dxa"/>
            <w:vAlign w:val="bottom"/>
            <w:shd w:val="clear" w:color="auto" w:fill="FCEABC"/>
          </w:tcPr>
          <w:p>
            <w:pPr>
              <w:spacing w:after="0"/>
              <w:rPr>
                <w:sz w:val="9"/>
                <w:szCs w:val="9"/>
                <w:color w:val="auto"/>
              </w:rPr>
            </w:pPr>
          </w:p>
        </w:tc>
        <w:tc>
          <w:tcPr>
            <w:tcW w:w="7660" w:type="dxa"/>
            <w:vAlign w:val="bottom"/>
            <w:shd w:val="clear" w:color="auto" w:fill="FCEABC"/>
          </w:tcPr>
          <w:p>
            <w:pPr>
              <w:spacing w:after="0"/>
              <w:rPr>
                <w:sz w:val="9"/>
                <w:szCs w:val="9"/>
                <w:color w:val="auto"/>
              </w:rPr>
            </w:pPr>
          </w:p>
        </w:tc>
        <w:tc>
          <w:tcPr>
            <w:tcW w:w="900" w:type="dxa"/>
            <w:vAlign w:val="bottom"/>
          </w:tcPr>
          <w:p>
            <w:pPr>
              <w:spacing w:after="0"/>
              <w:rPr>
                <w:sz w:val="9"/>
                <w:szCs w:val="9"/>
                <w:color w:val="auto"/>
              </w:rPr>
            </w:pPr>
          </w:p>
        </w:tc>
      </w:tr>
      <w:tr>
        <w:trPr>
          <w:trHeight w:val="432"/>
        </w:trPr>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6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46</w:t>
            </w:r>
          </w:p>
        </w:tc>
        <w:tc>
          <w:tcPr>
            <w:tcW w:w="900" w:type="dxa"/>
            <w:vAlign w:val="bottom"/>
          </w:tcPr>
          <w:p>
            <w:pPr>
              <w:spacing w:after="0"/>
              <w:rPr>
                <w:sz w:val="24"/>
                <w:szCs w:val="24"/>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360" w:type="dxa"/>
            <w:vAlign w:val="bottom"/>
            <w:tcBorders>
              <w:right w:val="single" w:sz="8" w:color="FCEABC"/>
            </w:tcBorders>
          </w:tcPr>
          <w:p>
            <w:pPr>
              <w:spacing w:after="0"/>
              <w:rPr>
                <w:sz w:val="17"/>
                <w:szCs w:val="17"/>
                <w:color w:val="auto"/>
              </w:rPr>
            </w:pPr>
          </w:p>
        </w:tc>
        <w:tc>
          <w:tcPr>
            <w:tcW w:w="134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Mr. Faulkner</w:t>
            </w:r>
          </w:p>
        </w:tc>
        <w:tc>
          <w:tcPr>
            <w:tcW w:w="8060" w:type="dxa"/>
            <w:vAlign w:val="bottom"/>
            <w:gridSpan w:val="12"/>
            <w:shd w:val="clear" w:color="auto" w:fill="FCEABC"/>
          </w:tcPr>
          <w:p>
            <w:pPr>
              <w:ind w:left="400"/>
              <w:spacing w:after="0"/>
              <w:rPr>
                <w:sz w:val="20"/>
                <w:szCs w:val="20"/>
                <w:color w:val="auto"/>
              </w:rPr>
            </w:pPr>
            <w:r>
              <w:rPr>
                <w:rFonts w:ascii="Times New Roman" w:cs="Times New Roman" w:eastAsia="Times New Roman" w:hAnsi="Times New Roman"/>
                <w:sz w:val="18"/>
                <w:szCs w:val="18"/>
                <w:color w:val="auto"/>
              </w:rPr>
              <w:t>During 2025, Mr. Faulkner provided strong management of the finance and accounting teams, including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0" w:type="dxa"/>
            <w:vAlign w:val="bottom"/>
            <w:tcBorders>
              <w:right w:val="single" w:sz="8" w:color="FCEABC"/>
            </w:tcBorders>
          </w:tcPr>
          <w:p>
            <w:pPr>
              <w:spacing w:after="0"/>
              <w:rPr>
                <w:sz w:val="18"/>
                <w:szCs w:val="18"/>
                <w:color w:val="auto"/>
              </w:rPr>
            </w:pPr>
          </w:p>
        </w:tc>
        <w:tc>
          <w:tcPr>
            <w:tcW w:w="1340" w:type="dxa"/>
            <w:vAlign w:val="bottom"/>
            <w:shd w:val="clear" w:color="auto" w:fill="FCEABC"/>
          </w:tcPr>
          <w:p>
            <w:pPr>
              <w:spacing w:after="0"/>
              <w:rPr>
                <w:sz w:val="18"/>
                <w:szCs w:val="18"/>
                <w:color w:val="auto"/>
              </w:rPr>
            </w:pPr>
          </w:p>
        </w:tc>
        <w:tc>
          <w:tcPr>
            <w:tcW w:w="8060" w:type="dxa"/>
            <w:vAlign w:val="bottom"/>
            <w:gridSpan w:val="12"/>
            <w:shd w:val="clear" w:color="auto" w:fill="FCEABC"/>
          </w:tcPr>
          <w:p>
            <w:pPr>
              <w:ind w:left="400"/>
              <w:spacing w:after="0"/>
              <w:rPr>
                <w:sz w:val="20"/>
                <w:szCs w:val="20"/>
                <w:color w:val="auto"/>
              </w:rPr>
            </w:pPr>
            <w:r>
              <w:rPr>
                <w:rFonts w:ascii="Times New Roman" w:cs="Times New Roman" w:eastAsia="Times New Roman" w:hAnsi="Times New Roman"/>
                <w:sz w:val="18"/>
                <w:szCs w:val="18"/>
                <w:color w:val="auto"/>
              </w:rPr>
              <w:t>tax strategies and timely financial reporting and filings and management of financial results; managed the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0" w:type="dxa"/>
            <w:vAlign w:val="bottom"/>
            <w:tcBorders>
              <w:right w:val="single" w:sz="8" w:color="FCEABC"/>
            </w:tcBorders>
          </w:tcPr>
          <w:p>
            <w:pPr>
              <w:spacing w:after="0"/>
              <w:rPr>
                <w:sz w:val="18"/>
                <w:szCs w:val="18"/>
                <w:color w:val="auto"/>
              </w:rPr>
            </w:pPr>
          </w:p>
        </w:tc>
        <w:tc>
          <w:tcPr>
            <w:tcW w:w="1340" w:type="dxa"/>
            <w:vAlign w:val="bottom"/>
            <w:shd w:val="clear" w:color="auto" w:fill="FCEABC"/>
          </w:tcPr>
          <w:p>
            <w:pPr>
              <w:spacing w:after="0"/>
              <w:rPr>
                <w:sz w:val="18"/>
                <w:szCs w:val="18"/>
                <w:color w:val="auto"/>
              </w:rPr>
            </w:pPr>
          </w:p>
        </w:tc>
        <w:tc>
          <w:tcPr>
            <w:tcW w:w="8060" w:type="dxa"/>
            <w:vAlign w:val="bottom"/>
            <w:gridSpan w:val="12"/>
            <w:shd w:val="clear" w:color="auto" w:fill="FCEABC"/>
          </w:tcPr>
          <w:p>
            <w:pPr>
              <w:ind w:left="400"/>
              <w:spacing w:after="0"/>
              <w:rPr>
                <w:sz w:val="20"/>
                <w:szCs w:val="20"/>
                <w:color w:val="auto"/>
              </w:rPr>
            </w:pPr>
            <w:r>
              <w:rPr>
                <w:rFonts w:ascii="Times New Roman" w:cs="Times New Roman" w:eastAsia="Times New Roman" w:hAnsi="Times New Roman"/>
                <w:sz w:val="18"/>
                <w:szCs w:val="18"/>
                <w:color w:val="auto"/>
              </w:rPr>
              <w:t>sale of the Company's brand intellectual property to RYM and related operational matters; developing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60" w:type="dxa"/>
            <w:vAlign w:val="bottom"/>
            <w:tcBorders>
              <w:right w:val="single" w:sz="8" w:color="FCEABC"/>
            </w:tcBorders>
          </w:tcPr>
          <w:p>
            <w:pPr>
              <w:spacing w:after="0"/>
              <w:rPr>
                <w:sz w:val="20"/>
                <w:szCs w:val="20"/>
                <w:color w:val="auto"/>
              </w:rPr>
            </w:pPr>
          </w:p>
        </w:tc>
        <w:tc>
          <w:tcPr>
            <w:tcW w:w="1340" w:type="dxa"/>
            <w:vAlign w:val="bottom"/>
            <w:shd w:val="clear" w:color="auto" w:fill="FCEABC"/>
          </w:tcPr>
          <w:p>
            <w:pPr>
              <w:spacing w:after="0"/>
              <w:rPr>
                <w:sz w:val="20"/>
                <w:szCs w:val="20"/>
                <w:color w:val="auto"/>
              </w:rPr>
            </w:pPr>
          </w:p>
        </w:tc>
        <w:tc>
          <w:tcPr>
            <w:tcW w:w="5820" w:type="dxa"/>
            <w:vAlign w:val="bottom"/>
            <w:gridSpan w:val="6"/>
            <w:shd w:val="clear" w:color="auto" w:fill="FCEABC"/>
          </w:tcPr>
          <w:p>
            <w:pPr>
              <w:ind w:left="400"/>
              <w:spacing w:after="0"/>
              <w:rPr>
                <w:sz w:val="20"/>
                <w:szCs w:val="20"/>
                <w:color w:val="auto"/>
              </w:rPr>
            </w:pPr>
            <w:r>
              <w:rPr>
                <w:rFonts w:ascii="Times New Roman" w:cs="Times New Roman" w:eastAsia="Times New Roman" w:hAnsi="Times New Roman"/>
                <w:sz w:val="18"/>
                <w:szCs w:val="18"/>
                <w:color w:val="auto"/>
              </w:rPr>
              <w:t>internal leadership; and ensuring strong internal controls and procedures.</w:t>
            </w:r>
          </w:p>
        </w:tc>
        <w:tc>
          <w:tcPr>
            <w:tcW w:w="100" w:type="dxa"/>
            <w:vAlign w:val="bottom"/>
            <w:shd w:val="clear" w:color="auto" w:fill="FCEABC"/>
          </w:tcPr>
          <w:p>
            <w:pPr>
              <w:spacing w:after="0"/>
              <w:rPr>
                <w:sz w:val="20"/>
                <w:szCs w:val="20"/>
                <w:color w:val="auto"/>
              </w:rPr>
            </w:pPr>
          </w:p>
        </w:tc>
        <w:tc>
          <w:tcPr>
            <w:tcW w:w="1060" w:type="dxa"/>
            <w:vAlign w:val="bottom"/>
            <w:shd w:val="clear" w:color="auto" w:fill="FCEABC"/>
          </w:tcPr>
          <w:p>
            <w:pPr>
              <w:spacing w:after="0"/>
              <w:rPr>
                <w:sz w:val="20"/>
                <w:szCs w:val="20"/>
                <w:color w:val="auto"/>
              </w:rPr>
            </w:pPr>
          </w:p>
        </w:tc>
        <w:tc>
          <w:tcPr>
            <w:tcW w:w="220" w:type="dxa"/>
            <w:vAlign w:val="bottom"/>
            <w:shd w:val="clear" w:color="auto" w:fill="FCEABC"/>
          </w:tcPr>
          <w:p>
            <w:pPr>
              <w:spacing w:after="0"/>
              <w:rPr>
                <w:sz w:val="20"/>
                <w:szCs w:val="20"/>
                <w:color w:val="auto"/>
              </w:rPr>
            </w:pPr>
          </w:p>
        </w:tc>
        <w:tc>
          <w:tcPr>
            <w:tcW w:w="80" w:type="dxa"/>
            <w:vAlign w:val="bottom"/>
            <w:shd w:val="clear" w:color="auto" w:fill="FCEABC"/>
          </w:tcPr>
          <w:p>
            <w:pPr>
              <w:spacing w:after="0"/>
              <w:rPr>
                <w:sz w:val="20"/>
                <w:szCs w:val="20"/>
                <w:color w:val="auto"/>
              </w:rPr>
            </w:pPr>
          </w:p>
        </w:tc>
        <w:tc>
          <w:tcPr>
            <w:tcW w:w="80" w:type="dxa"/>
            <w:vAlign w:val="bottom"/>
            <w:shd w:val="clear" w:color="auto" w:fill="FCEABC"/>
          </w:tcPr>
          <w:p>
            <w:pPr>
              <w:spacing w:after="0"/>
              <w:rPr>
                <w:sz w:val="20"/>
                <w:szCs w:val="20"/>
                <w:color w:val="auto"/>
              </w:rPr>
            </w:pPr>
          </w:p>
        </w:tc>
        <w:tc>
          <w:tcPr>
            <w:tcW w:w="700" w:type="dxa"/>
            <w:vAlign w:val="bottom"/>
            <w:shd w:val="clear" w:color="auto" w:fill="FCEABC"/>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360" w:type="dxa"/>
            <w:vAlign w:val="bottom"/>
            <w:tcBorders>
              <w:right w:val="single" w:sz="8" w:color="FCEABC"/>
            </w:tcBorders>
          </w:tcPr>
          <w:p>
            <w:pPr>
              <w:spacing w:after="0"/>
              <w:rPr>
                <w:sz w:val="8"/>
                <w:szCs w:val="8"/>
                <w:color w:val="auto"/>
              </w:rPr>
            </w:pPr>
          </w:p>
        </w:tc>
        <w:tc>
          <w:tcPr>
            <w:tcW w:w="1340" w:type="dxa"/>
            <w:vAlign w:val="bottom"/>
            <w:shd w:val="clear" w:color="auto" w:fill="FCEABC"/>
          </w:tcPr>
          <w:p>
            <w:pPr>
              <w:spacing w:after="0"/>
              <w:rPr>
                <w:sz w:val="8"/>
                <w:szCs w:val="8"/>
                <w:color w:val="auto"/>
              </w:rPr>
            </w:pPr>
          </w:p>
        </w:tc>
        <w:tc>
          <w:tcPr>
            <w:tcW w:w="3500" w:type="dxa"/>
            <w:vAlign w:val="bottom"/>
            <w:shd w:val="clear" w:color="auto" w:fill="FCEABC"/>
          </w:tcPr>
          <w:p>
            <w:pPr>
              <w:spacing w:after="0"/>
              <w:rPr>
                <w:sz w:val="8"/>
                <w:szCs w:val="8"/>
                <w:color w:val="auto"/>
              </w:rPr>
            </w:pPr>
          </w:p>
        </w:tc>
        <w:tc>
          <w:tcPr>
            <w:tcW w:w="1020" w:type="dxa"/>
            <w:vAlign w:val="bottom"/>
            <w:gridSpan w:val="2"/>
            <w:shd w:val="clear" w:color="auto" w:fill="FCEABC"/>
          </w:tcPr>
          <w:p>
            <w:pPr>
              <w:spacing w:after="0"/>
              <w:rPr>
                <w:sz w:val="8"/>
                <w:szCs w:val="8"/>
                <w:color w:val="auto"/>
              </w:rPr>
            </w:pPr>
          </w:p>
        </w:tc>
        <w:tc>
          <w:tcPr>
            <w:tcW w:w="100" w:type="dxa"/>
            <w:vAlign w:val="bottom"/>
            <w:shd w:val="clear" w:color="auto" w:fill="FCEABC"/>
          </w:tcPr>
          <w:p>
            <w:pPr>
              <w:spacing w:after="0"/>
              <w:rPr>
                <w:sz w:val="8"/>
                <w:szCs w:val="8"/>
                <w:color w:val="auto"/>
              </w:rPr>
            </w:pPr>
          </w:p>
        </w:tc>
        <w:tc>
          <w:tcPr>
            <w:tcW w:w="1300" w:type="dxa"/>
            <w:vAlign w:val="bottom"/>
            <w:gridSpan w:val="3"/>
            <w:shd w:val="clear" w:color="auto" w:fill="FCEABC"/>
          </w:tcPr>
          <w:p>
            <w:pPr>
              <w:spacing w:after="0"/>
              <w:rPr>
                <w:sz w:val="8"/>
                <w:szCs w:val="8"/>
                <w:color w:val="auto"/>
              </w:rPr>
            </w:pPr>
          </w:p>
        </w:tc>
        <w:tc>
          <w:tcPr>
            <w:tcW w:w="1060" w:type="dxa"/>
            <w:vAlign w:val="bottom"/>
            <w:shd w:val="clear" w:color="auto" w:fill="FCEABC"/>
          </w:tcPr>
          <w:p>
            <w:pPr>
              <w:spacing w:after="0"/>
              <w:rPr>
                <w:sz w:val="8"/>
                <w:szCs w:val="8"/>
                <w:color w:val="auto"/>
              </w:rPr>
            </w:pPr>
          </w:p>
        </w:tc>
        <w:tc>
          <w:tcPr>
            <w:tcW w:w="300" w:type="dxa"/>
            <w:vAlign w:val="bottom"/>
            <w:gridSpan w:val="2"/>
            <w:shd w:val="clear" w:color="auto" w:fill="FCEABC"/>
          </w:tcPr>
          <w:p>
            <w:pPr>
              <w:spacing w:after="0"/>
              <w:rPr>
                <w:sz w:val="8"/>
                <w:szCs w:val="8"/>
                <w:color w:val="auto"/>
              </w:rPr>
            </w:pPr>
          </w:p>
        </w:tc>
        <w:tc>
          <w:tcPr>
            <w:tcW w:w="780" w:type="dxa"/>
            <w:vAlign w:val="bottom"/>
            <w:gridSpan w:val="2"/>
            <w:shd w:val="clear" w:color="auto" w:fill="FCEABC"/>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6"/>
        </w:trPr>
        <w:tc>
          <w:tcPr>
            <w:tcW w:w="580" w:type="dxa"/>
            <w:vAlign w:val="bottom"/>
          </w:tcPr>
          <w:p>
            <w:pPr>
              <w:spacing w:after="0"/>
              <w:rPr>
                <w:sz w:val="24"/>
                <w:szCs w:val="24"/>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Mr. Kravitz</w:t>
            </w:r>
          </w:p>
        </w:tc>
        <w:tc>
          <w:tcPr>
            <w:tcW w:w="8400" w:type="dxa"/>
            <w:vAlign w:val="bottom"/>
            <w:gridSpan w:val="14"/>
          </w:tcPr>
          <w:p>
            <w:pPr>
              <w:ind w:left="400"/>
              <w:spacing w:after="0"/>
              <w:rPr>
                <w:sz w:val="20"/>
                <w:szCs w:val="20"/>
                <w:color w:val="auto"/>
              </w:rPr>
            </w:pPr>
            <w:r>
              <w:rPr>
                <w:rFonts w:ascii="Times New Roman" w:cs="Times New Roman" w:eastAsia="Times New Roman" w:hAnsi="Times New Roman"/>
                <w:sz w:val="18"/>
                <w:szCs w:val="18"/>
                <w:color w:val="auto"/>
              </w:rPr>
              <w:t>The Compensation Committee recognized Mr. Kravitz for his key accomplishments during 2025,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0" w:type="dxa"/>
            <w:vAlign w:val="bottom"/>
            <w:gridSpan w:val="14"/>
          </w:tcPr>
          <w:p>
            <w:pPr>
              <w:ind w:left="400"/>
              <w:spacing w:after="0"/>
              <w:rPr>
                <w:sz w:val="20"/>
                <w:szCs w:val="20"/>
                <w:color w:val="auto"/>
              </w:rPr>
            </w:pPr>
            <w:r>
              <w:rPr>
                <w:rFonts w:ascii="Times New Roman" w:cs="Times New Roman" w:eastAsia="Times New Roman" w:hAnsi="Times New Roman"/>
                <w:sz w:val="18"/>
                <w:szCs w:val="18"/>
                <w:color w:val="auto"/>
              </w:rPr>
              <w:t>including successful leadership of multiple complex legal transactions such as the sale of the Company's</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0" w:type="dxa"/>
            <w:vAlign w:val="bottom"/>
            <w:gridSpan w:val="14"/>
          </w:tcPr>
          <w:p>
            <w:pPr>
              <w:ind w:left="400"/>
              <w:spacing w:after="0"/>
              <w:rPr>
                <w:sz w:val="20"/>
                <w:szCs w:val="20"/>
                <w:color w:val="auto"/>
              </w:rPr>
            </w:pPr>
            <w:r>
              <w:rPr>
                <w:rFonts w:ascii="Times New Roman" w:cs="Times New Roman" w:eastAsia="Times New Roman" w:hAnsi="Times New Roman"/>
                <w:sz w:val="18"/>
                <w:szCs w:val="18"/>
                <w:color w:val="auto"/>
              </w:rPr>
              <w:t>brand intellectual property to RYM and litigation matters; serving as a leader for the Company’s culture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0" w:type="dxa"/>
            <w:vAlign w:val="bottom"/>
            <w:gridSpan w:val="14"/>
          </w:tcPr>
          <w:p>
            <w:pPr>
              <w:ind w:left="400"/>
              <w:spacing w:after="0"/>
              <w:rPr>
                <w:sz w:val="20"/>
                <w:szCs w:val="20"/>
                <w:color w:val="auto"/>
              </w:rPr>
            </w:pPr>
            <w:r>
              <w:rPr>
                <w:rFonts w:ascii="Times New Roman" w:cs="Times New Roman" w:eastAsia="Times New Roman" w:hAnsi="Times New Roman"/>
                <w:sz w:val="18"/>
                <w:szCs w:val="18"/>
                <w:color w:val="auto"/>
              </w:rPr>
              <w:t>of compliance; successfully managing the Company’s legal and regulatory budgets and litigation matters;</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0" w:type="dxa"/>
            <w:vAlign w:val="bottom"/>
            <w:gridSpan w:val="14"/>
          </w:tcPr>
          <w:p>
            <w:pPr>
              <w:ind w:left="400"/>
              <w:spacing w:after="0"/>
              <w:rPr>
                <w:sz w:val="20"/>
                <w:szCs w:val="20"/>
                <w:color w:val="auto"/>
              </w:rPr>
            </w:pPr>
            <w:r>
              <w:rPr>
                <w:rFonts w:ascii="Times New Roman" w:cs="Times New Roman" w:eastAsia="Times New Roman" w:hAnsi="Times New Roman"/>
                <w:sz w:val="18"/>
                <w:szCs w:val="18"/>
                <w:color w:val="auto"/>
              </w:rPr>
              <w:t>safeguarding the Company’s licenses; representing the Company on strategic legislative and legal</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74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initiatives; and developing the strengths of the legal team.</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resulting individual annual incentive amounts were calculated as follows: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Earned</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Target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1"/>
              </w:rPr>
              <w:t>Name</w:t>
            </w:r>
          </w:p>
        </w:tc>
        <w:tc>
          <w:tcPr>
            <w:tcW w:w="13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20" w:type="dxa"/>
            <w:vAlign w:val="bottom"/>
            <w:gridSpan w:val="2"/>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170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Mr. Kovler</w:t>
            </w:r>
          </w:p>
        </w:tc>
        <w:tc>
          <w:tcPr>
            <w:tcW w:w="3700" w:type="dxa"/>
            <w:vAlign w:val="bottom"/>
            <w:gridSpan w:val="2"/>
            <w:shd w:val="clear" w:color="auto" w:fill="FCEABC"/>
          </w:tcPr>
          <w:p>
            <w:pPr>
              <w:ind w:left="3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1,121,250</w:t>
            </w:r>
          </w:p>
        </w:tc>
        <w:tc>
          <w:tcPr>
            <w:tcW w:w="120" w:type="dxa"/>
            <w:vAlign w:val="bottom"/>
            <w:shd w:val="clear" w:color="auto" w:fill="FCEABC"/>
          </w:tcPr>
          <w:p>
            <w:pPr>
              <w:spacing w:after="0"/>
              <w:rPr>
                <w:sz w:val="18"/>
                <w:szCs w:val="18"/>
                <w:color w:val="auto"/>
              </w:rPr>
            </w:pPr>
          </w:p>
        </w:tc>
        <w:tc>
          <w:tcPr>
            <w:tcW w:w="1080" w:type="dxa"/>
            <w:vAlign w:val="bottom"/>
            <w:vMerge w:val="restart"/>
            <w:shd w:val="clear" w:color="auto" w:fill="FCEABC"/>
          </w:tcPr>
          <w:p>
            <w:pPr>
              <w:jc w:val="center"/>
              <w:spacing w:after="0"/>
              <w:rPr>
                <w:sz w:val="20"/>
                <w:szCs w:val="20"/>
                <w:color w:val="auto"/>
              </w:rPr>
            </w:pPr>
            <w:r>
              <w:rPr>
                <w:rFonts w:ascii="Times New Roman" w:cs="Times New Roman" w:eastAsia="Times New Roman" w:hAnsi="Times New Roman"/>
                <w:sz w:val="18"/>
                <w:szCs w:val="18"/>
                <w:color w:val="auto"/>
              </w:rPr>
              <w:t>125.6%</w:t>
            </w:r>
          </w:p>
        </w:tc>
        <w:tc>
          <w:tcPr>
            <w:tcW w:w="1380" w:type="dxa"/>
            <w:vAlign w:val="bottom"/>
            <w:gridSpan w:val="3"/>
            <w:shd w:val="clear" w:color="auto" w:fill="FCEABC"/>
          </w:tcPr>
          <w:p>
            <w:pPr>
              <w:jc w:val="right"/>
              <w:ind w:right="60"/>
              <w:spacing w:after="0"/>
              <w:rPr>
                <w:sz w:val="20"/>
                <w:szCs w:val="20"/>
                <w:color w:val="auto"/>
              </w:rPr>
            </w:pPr>
            <w:r>
              <w:rPr>
                <w:rFonts w:ascii="Times New Roman" w:cs="Times New Roman" w:eastAsia="Times New Roman" w:hAnsi="Times New Roman"/>
                <w:sz w:val="18"/>
                <w:szCs w:val="18"/>
                <w:color w:val="auto"/>
              </w:rPr>
              <w:t>143.8%</w:t>
            </w:r>
          </w:p>
        </w:tc>
        <w:tc>
          <w:tcPr>
            <w:tcW w:w="16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FCEABC"/>
          </w:tcPr>
          <w:p>
            <w:pPr>
              <w:jc w:val="right"/>
              <w:ind w:right="120"/>
              <w:spacing w:after="0"/>
              <w:rPr>
                <w:sz w:val="20"/>
                <w:szCs w:val="20"/>
                <w:color w:val="auto"/>
              </w:rPr>
            </w:pPr>
            <w:r>
              <w:rPr>
                <w:rFonts w:ascii="Times New Roman" w:cs="Times New Roman" w:eastAsia="Times New Roman" w:hAnsi="Times New Roman"/>
                <w:sz w:val="18"/>
                <w:szCs w:val="18"/>
                <w:color w:val="auto"/>
              </w:rPr>
              <w:t>1,612,000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Georgiadis</w:t>
            </w:r>
          </w:p>
        </w:tc>
        <w:tc>
          <w:tcPr>
            <w:tcW w:w="370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1,080,000</w:t>
            </w:r>
          </w:p>
        </w:tc>
        <w:tc>
          <w:tcPr>
            <w:tcW w:w="120" w:type="dxa"/>
            <w:vAlign w:val="bottom"/>
            <w:shd w:val="clear" w:color="auto" w:fill="FCEABC"/>
          </w:tcPr>
          <w:p>
            <w:pPr>
              <w:spacing w:after="0"/>
              <w:rPr>
                <w:sz w:val="18"/>
                <w:szCs w:val="18"/>
                <w:color w:val="auto"/>
              </w:rPr>
            </w:pPr>
          </w:p>
        </w:tc>
        <w:tc>
          <w:tcPr>
            <w:tcW w:w="1080" w:type="dxa"/>
            <w:vAlign w:val="bottom"/>
            <w:vMerge w:val="continue"/>
            <w:shd w:val="clear" w:color="auto" w:fill="FCEABC"/>
          </w:tcPr>
          <w:p>
            <w:pPr>
              <w:spacing w:after="0"/>
              <w:rPr>
                <w:sz w:val="18"/>
                <w:szCs w:val="18"/>
                <w:color w:val="auto"/>
              </w:rPr>
            </w:pPr>
          </w:p>
        </w:tc>
        <w:tc>
          <w:tcPr>
            <w:tcW w:w="100" w:type="dxa"/>
            <w:vAlign w:val="bottom"/>
            <w:shd w:val="clear" w:color="auto" w:fill="FCEABC"/>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1,341,684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0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Mr. Faulkner</w:t>
            </w:r>
          </w:p>
        </w:tc>
        <w:tc>
          <w:tcPr>
            <w:tcW w:w="3700" w:type="dxa"/>
            <w:vAlign w:val="bottom"/>
            <w:gridSpan w:val="2"/>
            <w:shd w:val="clear" w:color="auto" w:fill="FCEABC"/>
          </w:tcPr>
          <w:p>
            <w:pPr>
              <w:ind w:left="3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379,500</w:t>
            </w:r>
          </w:p>
        </w:tc>
        <w:tc>
          <w:tcPr>
            <w:tcW w:w="120" w:type="dxa"/>
            <w:vAlign w:val="bottom"/>
            <w:shd w:val="clear" w:color="auto" w:fill="FCEABC"/>
          </w:tcPr>
          <w:p>
            <w:pPr>
              <w:spacing w:after="0"/>
              <w:rPr>
                <w:sz w:val="18"/>
                <w:szCs w:val="18"/>
                <w:color w:val="auto"/>
              </w:rPr>
            </w:pPr>
          </w:p>
        </w:tc>
        <w:tc>
          <w:tcPr>
            <w:tcW w:w="1080" w:type="dxa"/>
            <w:vAlign w:val="bottom"/>
            <w:shd w:val="clear" w:color="auto" w:fill="FCEABC"/>
          </w:tcPr>
          <w:p>
            <w:pPr>
              <w:spacing w:after="0"/>
              <w:rPr>
                <w:sz w:val="18"/>
                <w:szCs w:val="18"/>
                <w:color w:val="auto"/>
              </w:rPr>
            </w:pPr>
          </w:p>
        </w:tc>
        <w:tc>
          <w:tcPr>
            <w:tcW w:w="1380" w:type="dxa"/>
            <w:vAlign w:val="bottom"/>
            <w:gridSpan w:val="3"/>
            <w:shd w:val="clear" w:color="auto" w:fill="FCEABC"/>
          </w:tcPr>
          <w:p>
            <w:pPr>
              <w:jc w:val="right"/>
              <w:ind w:right="60"/>
              <w:spacing w:after="0"/>
              <w:rPr>
                <w:sz w:val="20"/>
                <w:szCs w:val="20"/>
                <w:color w:val="auto"/>
              </w:rPr>
            </w:pPr>
            <w:r>
              <w:rPr>
                <w:rFonts w:ascii="Times New Roman" w:cs="Times New Roman" w:eastAsia="Times New Roman" w:hAnsi="Times New Roman"/>
                <w:sz w:val="18"/>
                <w:szCs w:val="18"/>
                <w:color w:val="auto"/>
              </w:rPr>
              <w:t>122.2%</w:t>
            </w:r>
          </w:p>
        </w:tc>
        <w:tc>
          <w:tcPr>
            <w:tcW w:w="16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FCEABC"/>
          </w:tcPr>
          <w:p>
            <w:pPr>
              <w:jc w:val="right"/>
              <w:ind w:right="120"/>
              <w:spacing w:after="0"/>
              <w:rPr>
                <w:sz w:val="20"/>
                <w:szCs w:val="20"/>
                <w:color w:val="auto"/>
              </w:rPr>
            </w:pPr>
            <w:r>
              <w:rPr>
                <w:rFonts w:ascii="Times New Roman" w:cs="Times New Roman" w:eastAsia="Times New Roman" w:hAnsi="Times New Roman"/>
                <w:sz w:val="18"/>
                <w:szCs w:val="18"/>
                <w:color w:val="auto"/>
              </w:rPr>
              <w:t>463,863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Kravitz</w:t>
            </w:r>
          </w:p>
        </w:tc>
        <w:tc>
          <w:tcPr>
            <w:tcW w:w="370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368,500</w:t>
            </w:r>
          </w:p>
        </w:tc>
        <w:tc>
          <w:tcPr>
            <w:tcW w:w="120" w:type="dxa"/>
            <w:vAlign w:val="bottom"/>
            <w:shd w:val="clear" w:color="auto" w:fill="FCEABC"/>
          </w:tcPr>
          <w:p>
            <w:pPr>
              <w:spacing w:after="0"/>
              <w:rPr>
                <w:sz w:val="18"/>
                <w:szCs w:val="18"/>
                <w:color w:val="auto"/>
              </w:rPr>
            </w:pPr>
          </w:p>
        </w:tc>
        <w:tc>
          <w:tcPr>
            <w:tcW w:w="1080" w:type="dxa"/>
            <w:vAlign w:val="bottom"/>
            <w:shd w:val="clear" w:color="auto" w:fill="FCEABC"/>
          </w:tcPr>
          <w:p>
            <w:pPr>
              <w:spacing w:after="0"/>
              <w:rPr>
                <w:sz w:val="18"/>
                <w:szCs w:val="18"/>
                <w:color w:val="auto"/>
              </w:rPr>
            </w:pPr>
          </w:p>
        </w:tc>
        <w:tc>
          <w:tcPr>
            <w:tcW w:w="100" w:type="dxa"/>
            <w:vAlign w:val="bottom"/>
            <w:shd w:val="clear" w:color="auto" w:fill="FCEABC"/>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451,339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was intended with the 2025 Annual Bonus design, in a year when the Company achieves significant results, the plan participants earned significant rewards.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terms of the 2025 Annual Bonus as adopted in March 2025, the Compensation Committee had discretion to pay amounts earned over target in cash or in fully-vested RSUs. Given the Company’s strong cash balances and plans for repurchasing outstanding Subordinate Voting Shares in the market, the Compensation Committee determined that it was appropriate to pay the entirety of each plan participant’s earned amount in cash.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Cash and Incentive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Long-Term Cash Incentive</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historically provided its NEO’s with long-term incentives entirely in the form of equity (Options or RSUs). At its meeting in March of 2025, during which the Compensation Committee considered annual long-term incentive awards to be made as of April 1, 2025, the Compensation Committee determined that, given the Company’s strong cash position and the depressed market for the Company’s Subordinate Voting Shares notwithstanding the Company’s strong financial performance, that it was in the Company’s best interests to include a cash element in the Company’s long-term incentive awards package. The Compensation Committee determined that 25% of the aggregate amount of long-term incentives to be granted to each employee, including the NEOs, would be made in the form of cash that vests one-half on the six-month anniversary of the grant date, and one-half on the 18-month anniversary of the April 1, 2025 grant date. The Compensation Committee believes that this further increased the engagement of employees, including the NEOs, and improves the retentive aspects of the Company’s compensation package. This also further supports the Compensation Committee’s goal of creating strong variable awards when the Company has had strong financial performance, while allowing it to continue to keep fixed compensation at levels that are low relative to the market. Although this compensation is reflected in the “Bonus” column of the “Summary Compensation Table” in the “Compensation Tables” below, the Compensation Committee considers this long-term incentive compensation because of the vesting conditions included as part of each award.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Annual Equity Awards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Long-term incentives granted under the Stock and Incentive Plan are intended to align the interests of the Company’s executive officers with those of our shareholders and to provide a long-term incentive that rewards the executive officers for their contributions to the creation of shareholder value. The Compensation Committee evaluates this on an annual basis as the Company and the cannabis industry continue to develop. Given the competitive market for talent, and because each individual values the attributes of RSUs and Options differently, particularly in light of the volatility of the market price of our Subordinate Voting Shares, the Compensation Committee determined that it was appropriate to continue to permit each of the</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59" w:right="399" w:bottom="1440" w:gutter="0" w:footer="0" w:header="0"/>
        </w:sectPr>
      </w:pPr>
    </w:p>
    <w:bookmarkStart w:id="53" w:name="page54"/>
    <w:bookmarkEnd w:id="53"/>
    <w:p>
      <w:pPr>
        <w:ind w:right="40"/>
        <w:spacing w:after="0" w:line="258" w:lineRule="auto"/>
        <w:rPr>
          <w:sz w:val="20"/>
          <w:szCs w:val="20"/>
          <w:color w:val="auto"/>
        </w:rPr>
      </w:pPr>
      <w:r>
        <w:rPr>
          <w:rFonts w:ascii="Times New Roman" w:cs="Times New Roman" w:eastAsia="Times New Roman" w:hAnsi="Times New Roman"/>
          <w:sz w:val="18"/>
          <w:szCs w:val="18"/>
          <w:color w:val="auto"/>
        </w:rPr>
        <w:t>NEOs, as well as senior employees across the Company, to elect the relative portion of their annual long-term equity incentive awards to be granted in RSUs versus Options. The Compensation Committee believes that this increased the retentive aspects of the Company’s compensation packages, as employees were able to tailor this aspect of their compensation according to their personal preference. During December of 2024, employees, including the NEOs, were given the chance to elect, from zero to 100%, the percentage of Options and RSUs they wished to receive in April 2025. The Compensation Committee then honored those elections in determining the form of the long-term equity incentive awards granted.</w:t>
      </w:r>
    </w:p>
    <w:p>
      <w:pPr>
        <w:spacing w:after="0" w:line="18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Compensation Committee generally approves equity awards to be made only on the first calendar day of the month following the date of approval, although exceptions may be made in special circumstances. The annual equity awards to our NEOs are made at approximately the same time every year (April 1), and at the same time as the broad-based annual awards are made to other eligible employees.</w:t>
      </w:r>
    </w:p>
    <w:p>
      <w:pPr>
        <w:spacing w:after="0" w:line="176"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Given the relatively low trading volume of the Company’s Subordinate Voting Shares, the Company’s history of granting meaningful equity awards throughout the employee population annually on April 1, and the trend of relatively high-volumes of shares entering the market in the days following the annual vesting of April 1 awards, the Compensation Committee determined that it was appropriate to change its traditional vesting schedule for all annual employee equity awards to create distribution of vesting dates. Each of the annual equity awards granted on April 1, 2025, whether in the form of RSUs and/or Options, vests in one-third annual increments on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22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month and 34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anniversaries of the grant date, subject to the individual’s continued employment on the applicable vesting dates.</w:t>
      </w:r>
    </w:p>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Options awarded to our NEOs in 2025 have a seven-year term and an exercise price that is equal to the closing price of one of our Subordinate Voting Shares on the OTCQX Best Market on the date of grant. Options provide value only if our share price increases above the exercise price, thereby closely aligning the NEOs’ pay with shareholder interests. RSUs provide the NEOs with the right to receive shares upon vesting and also align the NEOs’ pay to shareholder interests since the value of the award increases as our stock price increases. The Compensation Committee believes that Options and RSUs that vest over a multi-year period help support the Company’s long-term initiatives, which include sustainable operational and financial performance, employee retention and driving shareholder value creation.</w:t>
      </w:r>
    </w:p>
    <w:p>
      <w:pPr>
        <w:spacing w:after="0" w:line="18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establishing the dollar value of the overall amount of equity awards to be granted to the NEOs as their annual long-term incentives, the Compensation Committee considers the level of effort, time, responsibility, ability, experience and commitment of each individual and their applicable role(s) as well as internal pay equity and relevant market data. In establishing the dollar value of the overall amount of equity awards to be granted to each NEO other than the CEO, reference is made to the recommendations made by the CEO and their respective total compensation opportunity.</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NEOs received long-term cash and equity incentive awards of Options and RSUs for the annual grant with the following fair market values on April 1, 2025:</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 Long-Term</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2025 Long-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Value of 2025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Value of 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Cash Award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Option Award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RSU Award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Term Incentives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40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Benjamin Kovler</w:t>
            </w:r>
          </w:p>
        </w:tc>
        <w:tc>
          <w:tcPr>
            <w:tcW w:w="104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80" w:type="dxa"/>
            <w:vAlign w:val="bottom"/>
            <w:gridSpan w:val="2"/>
            <w:shd w:val="clear" w:color="auto" w:fill="FCEAB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299,998</w:t>
            </w:r>
          </w:p>
        </w:tc>
        <w:tc>
          <w:tcPr>
            <w:tcW w:w="32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299,995</w:t>
            </w:r>
          </w:p>
        </w:tc>
        <w:tc>
          <w:tcPr>
            <w:tcW w:w="28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799,993</w:t>
            </w:r>
          </w:p>
        </w:tc>
        <w:tc>
          <w:tcPr>
            <w:tcW w:w="80" w:type="dxa"/>
            <w:vAlign w:val="bottom"/>
            <w:shd w:val="clear" w:color="auto" w:fill="FCEAB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Georgiadis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Matt Faulkner</w:t>
            </w:r>
          </w:p>
        </w:tc>
        <w:tc>
          <w:tcPr>
            <w:tcW w:w="104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162,500</w:t>
            </w:r>
          </w:p>
        </w:tc>
        <w:tc>
          <w:tcPr>
            <w:tcW w:w="280" w:type="dxa"/>
            <w:vAlign w:val="bottom"/>
            <w:gridSpan w:val="2"/>
            <w:shd w:val="clear" w:color="auto" w:fill="FCEAB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487,498</w:t>
            </w:r>
          </w:p>
        </w:tc>
        <w:tc>
          <w:tcPr>
            <w:tcW w:w="28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649,998</w:t>
            </w:r>
          </w:p>
        </w:tc>
        <w:tc>
          <w:tcPr>
            <w:tcW w:w="80" w:type="dxa"/>
            <w:vAlign w:val="bottom"/>
            <w:shd w:val="clear" w:color="auto" w:fill="FCEAB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Bret Kravitz</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224,998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RYTHM, Inc. Equity Awards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Following the Company’s acquisition of ownership interests in RYM in November 2024, certain members of the Company’s leadership team, including the NEOs other than Mr. Kovler, and other Company employees began providing support to RYM under a Shared Services Agreement between RYM and a Company subsidiary (the “</w:t>
      </w:r>
      <w:r>
        <w:rPr>
          <w:rFonts w:ascii="Times New Roman" w:cs="Times New Roman" w:eastAsia="Times New Roman" w:hAnsi="Times New Roman"/>
          <w:sz w:val="18"/>
          <w:szCs w:val="18"/>
          <w:b w:val="1"/>
          <w:bCs w:val="1"/>
          <w:color w:val="auto"/>
        </w:rPr>
        <w:t>Services Agreement</w:t>
      </w:r>
      <w:r>
        <w:rPr>
          <w:rFonts w:ascii="Times New Roman" w:cs="Times New Roman" w:eastAsia="Times New Roman" w:hAnsi="Times New Roman"/>
          <w:sz w:val="18"/>
          <w:szCs w:val="18"/>
          <w:color w:val="auto"/>
        </w:rPr>
        <w:t>”), whereby the Company (or its applicable subsidiary) is reimbursed for the applicable share of such employee’s time that was dedicated to providing services under the Services Agreement. Mr. Kovler, who is also the Interim Chief Executive Officer of RYM, does not perform services pursuant to the Services Agreement, but provides services directly to RYM. In October 2025, Mr. Kovler informed the Committee that the RYM compensation committee intended to make awards of restricted stock units in RYM under its incentive plan to Mr. Georgiadis, Mr. Faulkner and Mr. Kravitz in recognition for their services to RYM under the Services Agreement, which restricted stock units would vest in 50% increments on March 15, 2027 and June 1, 2028, subject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54" w:name="page55"/>
    <w:bookmarkEnd w:id="54"/>
    <w:p>
      <w:pPr>
        <w:ind w:right="360"/>
        <w:spacing w:after="0" w:line="282" w:lineRule="auto"/>
        <w:rPr>
          <w:sz w:val="20"/>
          <w:szCs w:val="20"/>
          <w:color w:val="auto"/>
        </w:rPr>
      </w:pPr>
      <w:r>
        <w:rPr>
          <w:rFonts w:ascii="Times New Roman" w:cs="Times New Roman" w:eastAsia="Times New Roman" w:hAnsi="Times New Roman"/>
          <w:sz w:val="18"/>
          <w:szCs w:val="18"/>
          <w:color w:val="auto"/>
        </w:rPr>
        <w:t>to each recipient’s continuation as a service provider to RYM on each applicable vesting date, and other standard vesting conditions, as follows, with a grant date of November 3, 2025:</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16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Number of RYM</w:t>
            </w:r>
          </w:p>
        </w:tc>
        <w:tc>
          <w:tcPr>
            <w:tcW w:w="260" w:type="dxa"/>
            <w:vAlign w:val="bottom"/>
          </w:tcPr>
          <w:p>
            <w:pPr>
              <w:spacing w:after="0"/>
              <w:rPr>
                <w:sz w:val="13"/>
                <w:szCs w:val="13"/>
                <w:color w:val="auto"/>
              </w:rPr>
            </w:pPr>
          </w:p>
        </w:tc>
        <w:tc>
          <w:tcPr>
            <w:tcW w:w="16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FMV of Grant on Date</w:t>
            </w:r>
          </w:p>
        </w:tc>
      </w:tr>
      <w:tr>
        <w:trPr>
          <w:trHeight w:val="173"/>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Restricted Share Units</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 Grant</w:t>
            </w:r>
          </w:p>
        </w:tc>
      </w:tr>
      <w:tr>
        <w:trPr>
          <w:trHeight w:val="20"/>
        </w:trPr>
        <w:tc>
          <w:tcPr>
            <w:tcW w:w="36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0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Mr. Georgiadis</w:t>
            </w:r>
          </w:p>
        </w:tc>
        <w:tc>
          <w:tcPr>
            <w:tcW w:w="16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560" w:type="dxa"/>
            <w:vAlign w:val="bottom"/>
            <w:gridSpan w:val="2"/>
            <w:shd w:val="clear" w:color="auto" w:fill="FCEAB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488,971</w:t>
            </w:r>
          </w:p>
        </w:tc>
        <w:tc>
          <w:tcPr>
            <w:tcW w:w="120" w:type="dxa"/>
            <w:vAlign w:val="bottom"/>
            <w:shd w:val="clear" w:color="auto" w:fill="FCEABC"/>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Faulkner</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5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308,850</w:t>
            </w: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Mr. Kravitz</w:t>
            </w:r>
          </w:p>
        </w:tc>
        <w:tc>
          <w:tcPr>
            <w:tcW w:w="16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560" w:type="dxa"/>
            <w:vAlign w:val="bottom"/>
            <w:gridSpan w:val="2"/>
            <w:shd w:val="clear" w:color="auto" w:fill="FCEAB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350,030</w:t>
            </w:r>
          </w:p>
        </w:tc>
        <w:tc>
          <w:tcPr>
            <w:tcW w:w="120" w:type="dxa"/>
            <w:vAlign w:val="bottom"/>
            <w:shd w:val="clear" w:color="auto" w:fill="FCEABC"/>
          </w:tcPr>
          <w:p>
            <w:pPr>
              <w:spacing w:after="0"/>
              <w:rPr>
                <w:sz w:val="18"/>
                <w:szCs w:val="18"/>
                <w:color w:val="auto"/>
              </w:rPr>
            </w:pPr>
          </w:p>
        </w:tc>
      </w:tr>
    </w:tbl>
    <w:p>
      <w:pPr>
        <w:spacing w:after="0" w:line="90" w:lineRule="exact"/>
        <w:rPr>
          <w:sz w:val="20"/>
          <w:szCs w:val="20"/>
          <w:color w:val="auto"/>
        </w:rPr>
      </w:pPr>
    </w:p>
    <w:p>
      <w:pPr>
        <w:jc w:val="both"/>
        <w:ind w:right="640"/>
        <w:spacing w:after="0" w:line="282" w:lineRule="auto"/>
        <w:rPr>
          <w:sz w:val="20"/>
          <w:szCs w:val="20"/>
          <w:color w:val="auto"/>
        </w:rPr>
      </w:pPr>
      <w:r>
        <w:rPr>
          <w:rFonts w:ascii="Times New Roman" w:cs="Times New Roman" w:eastAsia="Times New Roman" w:hAnsi="Times New Roman"/>
          <w:sz w:val="18"/>
          <w:szCs w:val="18"/>
          <w:color w:val="auto"/>
        </w:rPr>
        <w:t>The Compensation Committee took the amounts of these RYM grants to the NEOs into consideration when determining each of the NEO’s overall compensation packages and long-term incentive awards for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policy on insider trading prohibits all of our employees who meet the criteria of “insiders,” including our NEOs, from engaging in short selling, hedging or offsetting transactions with respect to our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 and Other Personal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in providing only very limited perquisites and personal benefits to our NEOs. For 2025, none of our NEOs received perks in excess of $10,000.</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NEOs are also eligible to participate, at their election, in the broad-based benefit and welfare plans as well as discounts on Company products and at Company dispensaries that are available to the Company’s employees generally.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All of our NEOs are employed at-will, and we have not entered into agreements with them that provide for minimum base salaries or other compensation arrangements. We have entered into a written agreement with each NEO titled “Confidentiality, Non-Compete, Non-Solicitation, Non-Disparagement and Invention Assignment Agreement” pursuant to which the NEOs provide the Company with certain protections, including with respect to the Company’s confidential information learned by the individuals in the course of their employment; rights to any intellectual property or inventions developed in the course of their employment; covenants not to compete with the Company or solicit its employees for one year following termination of their employment; and requiring disputes to be settled through arbitration.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 Plans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Each NEO is eligible to participate in the Vision Management Services, LLC 401(k) Plan, a tax-qualified, defined contribution retirement plan. The Vision Management Services, LLC 401(k) Plan is generally available to eligible employees of our operating subsidiary, Vision Management Services, LLC, and other subsidiaries that have elected to participate in the Vision Management Services, LLC 401(k) Plan. Participants in the Vision Management Services, LLC 401(k) Plan are eligible to make before-tax contributions and Roth contributions and, if Vision Management Services, LLC elects, to receive discretionary matching and/or profit-sharing contributions. To date, Vision Management Services, LLC has not elected to provide discretionary matching or profit-sharing.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and Change in Control Benefits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Except as described below, the Company does not have any contract, agreement, plan or arrangement that provides for payments to a NEO at, following or in connection with a termination (whether voluntary, involuntary or constructive), resignation, retirement, a change in control or a change in a NEO’s responsibilities. Each NEO provides services to the Company on an at-will basis.</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RSU and Option awards granted pursuant to the Stock and Incentive Plan provide for full vesting in the event of the awardee’s death or if the awardee’s service is terminated without cause (as defined in the applicable award agreements) within 12 months following a change in control (as defined in the applicable award agreements). Options that are vested due to such a termination are exercisable for the duration of the Option’s original term. Further, acting through the Board, the Compensation Committee has broad discretion in how to treat awards under the Stock and Incentive Plan in the event of a change in control. Such discretion includes the ability to fully vest and cash-out awards, arrange for awards to be assumed by a buyer, provide for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55" w:name="page56"/>
    <w:bookmarkEnd w:id="55"/>
    <w:p>
      <w:pPr>
        <w:spacing w:after="0" w:line="258" w:lineRule="auto"/>
        <w:rPr>
          <w:sz w:val="20"/>
          <w:szCs w:val="20"/>
          <w:color w:val="auto"/>
        </w:rPr>
      </w:pPr>
      <w:r>
        <w:rPr>
          <w:rFonts w:ascii="Times New Roman" w:cs="Times New Roman" w:eastAsia="Times New Roman" w:hAnsi="Times New Roman"/>
          <w:sz w:val="18"/>
          <w:szCs w:val="18"/>
          <w:color w:val="auto"/>
        </w:rPr>
        <w:t>economically equivalent replacement awards or eliminate future vesting or exercisability as of, or following, a change in control. The Compensation Committee believes that these arrangements are an important part of our overall executive compensation program, as they help ensure the continued focus and dedication of our NEOs, notwithstanding any concern that they may have at any given time regarding their continued employment prior to or following a change in control transaction. The Company does not offer any other benefits in the event of an employee’s death. The Compensation Committee also believes that offering these limited severance benefits is an important recruiting and retention tool.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56" w:name="page57"/>
    <w:bookmarkEnd w:id="5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the foregoing Compensation Discussion and Analysis, required by Item 402(b) of Regulation S-K, with management of the Company. Based on this review and discussion, the Compensation Committee recommends to the Board that the Compensation Discussion and Analysis be included in this Proxy Statement, the Company’s Annual Report on Form 10-K for the year ended December 31, 2025 and such other filings with the SEC as may be appropriate.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Goldman, Chair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Ethan Nadelmann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Hannah (Buchan) Ross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57" w:name="page58"/>
    <w:bookmarkEnd w:id="5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COMPENSATION TABLES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compensation paid to or earned by the NEOs of the Company in the last three (3) fiscal years (or, if less, the number of years that individual has been an NEO).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8"/>
              </w:rPr>
              <w:t>Change in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11"/>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Nonqualified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51"/>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Non-Equity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ind w:right="31"/>
              <w:spacing w:after="0" w:line="135" w:lineRule="exact"/>
              <w:rPr>
                <w:sz w:val="20"/>
                <w:szCs w:val="20"/>
                <w:color w:val="auto"/>
              </w:rPr>
            </w:pPr>
            <w:r>
              <w:rPr>
                <w:rFonts w:ascii="Times New Roman" w:cs="Times New Roman" w:eastAsia="Times New Roman" w:hAnsi="Times New Roman"/>
                <w:sz w:val="13"/>
                <w:szCs w:val="13"/>
                <w:b w:val="1"/>
                <w:bCs w:val="1"/>
                <w:color w:val="auto"/>
                <w:w w:val="96"/>
              </w:rPr>
              <w:t>Deferred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11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90"/>
              <w:spacing w:after="0" w:line="128"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51"/>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220" w:type="dxa"/>
            <w:vAlign w:val="bottom"/>
          </w:tcPr>
          <w:p>
            <w:pPr>
              <w:spacing w:after="0"/>
              <w:rPr>
                <w:sz w:val="11"/>
                <w:szCs w:val="11"/>
                <w:color w:val="auto"/>
              </w:rPr>
            </w:pPr>
          </w:p>
        </w:tc>
        <w:tc>
          <w:tcPr>
            <w:tcW w:w="90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200" w:type="dxa"/>
            <w:vAlign w:val="bottom"/>
          </w:tcPr>
          <w:p>
            <w:pPr>
              <w:spacing w:after="0"/>
              <w:rPr>
                <w:sz w:val="11"/>
                <w:szCs w:val="11"/>
                <w:color w:val="auto"/>
              </w:rPr>
            </w:pPr>
          </w:p>
        </w:tc>
        <w:tc>
          <w:tcPr>
            <w:tcW w:w="78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Compensatio</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6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Name and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10"/>
              <w:spacing w:after="0" w:line="141" w:lineRule="exact"/>
              <w:rPr>
                <w:sz w:val="20"/>
                <w:szCs w:val="20"/>
                <w:color w:val="auto"/>
              </w:rPr>
            </w:pPr>
            <w:r>
              <w:rPr>
                <w:rFonts w:ascii="Times New Roman" w:cs="Times New Roman" w:eastAsia="Times New Roman" w:hAnsi="Times New Roman"/>
                <w:sz w:val="13"/>
                <w:szCs w:val="13"/>
                <w:b w:val="1"/>
                <w:bCs w:val="1"/>
                <w:color w:val="auto"/>
              </w:rPr>
              <w:t>Salary</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50"/>
              <w:spacing w:after="0" w:line="141" w:lineRule="exact"/>
              <w:rPr>
                <w:sz w:val="20"/>
                <w:szCs w:val="20"/>
                <w:color w:val="auto"/>
              </w:rPr>
            </w:pPr>
            <w:r>
              <w:rPr>
                <w:rFonts w:ascii="Times New Roman" w:cs="Times New Roman" w:eastAsia="Times New Roman" w:hAnsi="Times New Roman"/>
                <w:sz w:val="13"/>
                <w:szCs w:val="13"/>
                <w:b w:val="1"/>
                <w:bCs w:val="1"/>
                <w:color w:val="auto"/>
              </w:rPr>
              <w:t>Bonus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110"/>
              <w:spacing w:after="0" w:line="141"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90"/>
              <w:spacing w:after="0" w:line="141"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1"/>
              <w:spacing w:after="0" w:line="141" w:lineRule="exact"/>
              <w:rPr>
                <w:sz w:val="20"/>
                <w:szCs w:val="20"/>
                <w:color w:val="auto"/>
              </w:rPr>
            </w:pPr>
            <w:r>
              <w:rPr>
                <w:rFonts w:ascii="Times New Roman" w:cs="Times New Roman" w:eastAsia="Times New Roman" w:hAnsi="Times New Roman"/>
                <w:sz w:val="11"/>
                <w:szCs w:val="11"/>
                <w:b w:val="1"/>
                <w:bCs w:val="1"/>
                <w:color w:val="auto"/>
              </w:rPr>
              <w:t>Compensation</w:t>
            </w:r>
            <w:r>
              <w:rPr>
                <w:rFonts w:ascii="Times New Roman" w:cs="Times New Roman" w:eastAsia="Times New Roman" w:hAnsi="Times New Roman"/>
                <w:sz w:val="16"/>
                <w:szCs w:val="16"/>
                <w:b w:val="1"/>
                <w:bCs w:val="1"/>
                <w:color w:val="auto"/>
                <w:vertAlign w:val="superscript"/>
              </w:rPr>
              <w:t>(3)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31"/>
              <w:spacing w:after="0" w:line="141"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0"/>
              <w:spacing w:after="0" w:line="141" w:lineRule="exact"/>
              <w:rPr>
                <w:sz w:val="20"/>
                <w:szCs w:val="20"/>
                <w:color w:val="auto"/>
              </w:rPr>
            </w:pPr>
            <w:r>
              <w:rPr>
                <w:rFonts w:ascii="Times New Roman" w:cs="Times New Roman" w:eastAsia="Times New Roman" w:hAnsi="Times New Roman"/>
                <w:sz w:val="13"/>
                <w:szCs w:val="13"/>
                <w:b w:val="1"/>
                <w:bCs w:val="1"/>
                <w:color w:val="auto"/>
                <w:w w:val="82"/>
              </w:rPr>
              <w:t>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140"/>
              <w:spacing w:after="0" w:line="141"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1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Principal Position</w:t>
            </w:r>
          </w:p>
        </w:tc>
        <w:tc>
          <w:tcPr>
            <w:tcW w:w="120" w:type="dxa"/>
            <w:vAlign w:val="bottom"/>
          </w:tcPr>
          <w:p>
            <w:pPr>
              <w:spacing w:after="0"/>
              <w:rPr>
                <w:sz w:val="13"/>
                <w:szCs w:val="13"/>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7"/>
                <w:szCs w:val="7"/>
                <w:b w:val="1"/>
                <w:bCs w:val="1"/>
                <w:color w:val="auto"/>
              </w:rPr>
              <w:t>(1)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90"/>
              <w:spacing w:after="0" w:line="156"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90"/>
              <w:spacing w:after="0" w:line="156" w:lineRule="exact"/>
              <w:rPr>
                <w:sz w:val="20"/>
                <w:szCs w:val="20"/>
                <w:color w:val="auto"/>
              </w:rPr>
            </w:pPr>
            <w:r>
              <w:rPr>
                <w:rFonts w:ascii="Times New Roman" w:cs="Times New Roman" w:eastAsia="Times New Roman" w:hAnsi="Times New Roman"/>
                <w:sz w:val="13"/>
                <w:szCs w:val="13"/>
                <w:b w:val="1"/>
                <w:bCs w:val="1"/>
                <w:color w:val="auto"/>
                <w:w w:val="94"/>
              </w:rPr>
              <w:t>($)</w:t>
            </w:r>
            <w:r>
              <w:rPr>
                <w:rFonts w:ascii="Times New Roman" w:cs="Times New Roman" w:eastAsia="Times New Roman" w:hAnsi="Times New Roman"/>
                <w:sz w:val="16"/>
                <w:szCs w:val="16"/>
                <w:b w:val="1"/>
                <w:bCs w:val="1"/>
                <w:color w:val="auto"/>
                <w:w w:val="94"/>
                <w:vertAlign w:val="superscript"/>
              </w:rPr>
              <w:t>(2)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50"/>
              <w:spacing w:after="0" w:line="156" w:lineRule="exact"/>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560" w:type="dxa"/>
            <w:vAlign w:val="bottom"/>
            <w:gridSpan w:val="2"/>
            <w:shd w:val="clear" w:color="auto" w:fill="FCEABC"/>
          </w:tcPr>
          <w:p>
            <w:pPr>
              <w:spacing w:after="0" w:line="118" w:lineRule="exact"/>
              <w:rPr>
                <w:sz w:val="20"/>
                <w:szCs w:val="20"/>
                <w:color w:val="auto"/>
              </w:rPr>
            </w:pPr>
            <w:r>
              <w:rPr>
                <w:rFonts w:ascii="Times New Roman" w:cs="Times New Roman" w:eastAsia="Times New Roman" w:hAnsi="Times New Roman"/>
                <w:sz w:val="13"/>
                <w:szCs w:val="13"/>
                <w:color w:val="auto"/>
              </w:rPr>
              <w:t>Benjamin Kovler,</w:t>
            </w:r>
          </w:p>
        </w:tc>
        <w:tc>
          <w:tcPr>
            <w:tcW w:w="680" w:type="dxa"/>
            <w:vAlign w:val="bottom"/>
            <w:gridSpan w:val="2"/>
            <w:shd w:val="clear" w:color="auto" w:fill="FCEABC"/>
          </w:tcPr>
          <w:p>
            <w:pPr>
              <w:ind w:left="260"/>
              <w:spacing w:after="0" w:line="118" w:lineRule="exact"/>
              <w:rPr>
                <w:sz w:val="20"/>
                <w:szCs w:val="20"/>
                <w:color w:val="auto"/>
              </w:rPr>
            </w:pPr>
            <w:r>
              <w:rPr>
                <w:rFonts w:ascii="Times New Roman" w:cs="Times New Roman" w:eastAsia="Times New Roman" w:hAnsi="Times New Roman"/>
                <w:sz w:val="13"/>
                <w:szCs w:val="13"/>
                <w:color w:val="auto"/>
              </w:rPr>
              <w:t>2025</w:t>
            </w:r>
          </w:p>
        </w:tc>
        <w:tc>
          <w:tcPr>
            <w:tcW w:w="300" w:type="dxa"/>
            <w:vAlign w:val="bottom"/>
            <w:gridSpan w:val="2"/>
            <w:shd w:val="clear" w:color="auto" w:fill="FCEABC"/>
          </w:tcPr>
          <w:p>
            <w:pPr>
              <w:jc w:val="right"/>
              <w:ind w:right="100"/>
              <w:spacing w:after="0" w:line="118"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FCEABC"/>
          </w:tcPr>
          <w:p>
            <w:pPr>
              <w:jc w:val="right"/>
              <w:spacing w:after="0" w:line="118" w:lineRule="exact"/>
              <w:rPr>
                <w:sz w:val="20"/>
                <w:szCs w:val="20"/>
                <w:color w:val="auto"/>
              </w:rPr>
            </w:pPr>
            <w:r>
              <w:rPr>
                <w:rFonts w:ascii="Times New Roman" w:cs="Times New Roman" w:eastAsia="Times New Roman" w:hAnsi="Times New Roman"/>
                <w:sz w:val="13"/>
                <w:szCs w:val="13"/>
                <w:color w:val="auto"/>
              </w:rPr>
              <w:t>335,721</w:t>
            </w:r>
          </w:p>
        </w:tc>
        <w:tc>
          <w:tcPr>
            <w:tcW w:w="400" w:type="dxa"/>
            <w:vAlign w:val="bottom"/>
            <w:gridSpan w:val="2"/>
            <w:shd w:val="clear" w:color="auto" w:fill="FCEABC"/>
          </w:tcPr>
          <w:p>
            <w:pPr>
              <w:jc w:val="right"/>
              <w:ind w:righ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FCEABC"/>
          </w:tcPr>
          <w:p>
            <w:pPr>
              <w:jc w:val="right"/>
              <w:spacing w:after="0" w:line="118" w:lineRule="exact"/>
              <w:rPr>
                <w:sz w:val="20"/>
                <w:szCs w:val="20"/>
                <w:color w:val="auto"/>
              </w:rPr>
            </w:pPr>
            <w:r>
              <w:rPr>
                <w:rFonts w:ascii="Times New Roman" w:cs="Times New Roman" w:eastAsia="Times New Roman" w:hAnsi="Times New Roman"/>
                <w:sz w:val="13"/>
                <w:szCs w:val="13"/>
                <w:color w:val="auto"/>
              </w:rPr>
              <w:t>200,000</w:t>
            </w:r>
          </w:p>
        </w:tc>
        <w:tc>
          <w:tcPr>
            <w:tcW w:w="400" w:type="dxa"/>
            <w:vAlign w:val="bottom"/>
            <w:gridSpan w:val="2"/>
            <w:shd w:val="clear" w:color="auto" w:fill="FCEABC"/>
          </w:tcPr>
          <w:p>
            <w:pPr>
              <w:jc w:val="right"/>
              <w:ind w:righ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FCEABC"/>
          </w:tcPr>
          <w:p>
            <w:pPr>
              <w:jc w:val="right"/>
              <w:spacing w:after="0" w:line="118" w:lineRule="exact"/>
              <w:rPr>
                <w:sz w:val="20"/>
                <w:szCs w:val="20"/>
                <w:color w:val="auto"/>
              </w:rPr>
            </w:pPr>
            <w:r>
              <w:rPr>
                <w:rFonts w:ascii="Times New Roman" w:cs="Times New Roman" w:eastAsia="Times New Roman" w:hAnsi="Times New Roman"/>
                <w:sz w:val="13"/>
                <w:szCs w:val="13"/>
                <w:color w:val="auto"/>
              </w:rPr>
              <w:t>299,995</w:t>
            </w:r>
          </w:p>
        </w:tc>
        <w:tc>
          <w:tcPr>
            <w:tcW w:w="360" w:type="dxa"/>
            <w:vAlign w:val="bottom"/>
            <w:gridSpan w:val="2"/>
            <w:shd w:val="clear" w:color="auto" w:fill="FCEABC"/>
          </w:tcPr>
          <w:p>
            <w:pPr>
              <w:jc w:val="right"/>
              <w:ind w:right="80"/>
              <w:spacing w:after="0" w:line="118"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FCEABC"/>
          </w:tcPr>
          <w:p>
            <w:pPr>
              <w:jc w:val="right"/>
              <w:spacing w:after="0" w:line="118" w:lineRule="exact"/>
              <w:rPr>
                <w:sz w:val="20"/>
                <w:szCs w:val="20"/>
                <w:color w:val="auto"/>
              </w:rPr>
            </w:pPr>
            <w:r>
              <w:rPr>
                <w:rFonts w:ascii="Times New Roman" w:cs="Times New Roman" w:eastAsia="Times New Roman" w:hAnsi="Times New Roman"/>
                <w:sz w:val="13"/>
                <w:szCs w:val="13"/>
                <w:color w:val="auto"/>
              </w:rPr>
              <w:t>299,998</w:t>
            </w:r>
          </w:p>
        </w:tc>
        <w:tc>
          <w:tcPr>
            <w:tcW w:w="300" w:type="dxa"/>
            <w:vAlign w:val="bottom"/>
            <w:gridSpan w:val="2"/>
            <w:shd w:val="clear" w:color="auto" w:fill="FCEABC"/>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FCEABC"/>
          </w:tcPr>
          <w:p>
            <w:pPr>
              <w:jc w:val="right"/>
              <w:spacing w:after="0" w:line="118" w:lineRule="exact"/>
              <w:rPr>
                <w:sz w:val="20"/>
                <w:szCs w:val="20"/>
                <w:color w:val="auto"/>
              </w:rPr>
            </w:pPr>
            <w:r>
              <w:rPr>
                <w:rFonts w:ascii="Times New Roman" w:cs="Times New Roman" w:eastAsia="Times New Roman" w:hAnsi="Times New Roman"/>
                <w:sz w:val="13"/>
                <w:szCs w:val="13"/>
                <w:color w:val="auto"/>
              </w:rPr>
              <w:t>1,612,000</w:t>
            </w:r>
          </w:p>
        </w:tc>
        <w:tc>
          <w:tcPr>
            <w:tcW w:w="300" w:type="dxa"/>
            <w:vAlign w:val="bottom"/>
            <w:gridSpan w:val="2"/>
            <w:shd w:val="clear" w:color="auto" w:fill="FCEABC"/>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FCEABC"/>
          </w:tcPr>
          <w:p>
            <w:pPr>
              <w:ind w:left="660"/>
              <w:spacing w:after="0" w:line="118"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FCEABC"/>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FCEABC"/>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FCEABC"/>
          </w:tcPr>
          <w:p>
            <w:pPr>
              <w:jc w:val="right"/>
              <w:ind w:right="100"/>
              <w:spacing w:after="0" w:line="118"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FCEABC"/>
          </w:tcPr>
          <w:p>
            <w:pPr>
              <w:jc w:val="right"/>
              <w:spacing w:after="0" w:line="118" w:lineRule="exact"/>
              <w:rPr>
                <w:sz w:val="20"/>
                <w:szCs w:val="20"/>
                <w:color w:val="auto"/>
              </w:rPr>
            </w:pPr>
            <w:r>
              <w:rPr>
                <w:rFonts w:ascii="Times New Roman" w:cs="Times New Roman" w:eastAsia="Times New Roman" w:hAnsi="Times New Roman"/>
                <w:sz w:val="13"/>
                <w:szCs w:val="13"/>
                <w:color w:val="auto"/>
              </w:rPr>
              <w:t>2,747,714</w:t>
            </w:r>
          </w:p>
        </w:tc>
        <w:tc>
          <w:tcPr>
            <w:tcW w:w="100" w:type="dxa"/>
            <w:vAlign w:val="bottom"/>
            <w:shd w:val="clear" w:color="auto" w:fill="FCEAB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gridSpan w:val="2"/>
            <w:shd w:val="clear" w:color="auto" w:fill="FCEABC"/>
          </w:tcPr>
          <w:p>
            <w:pPr>
              <w:ind w:left="40"/>
              <w:spacing w:after="0" w:line="149" w:lineRule="exact"/>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20" w:type="dxa"/>
            <w:vAlign w:val="bottom"/>
            <w:shd w:val="clear" w:color="auto" w:fill="FCEABC"/>
          </w:tcPr>
          <w:p>
            <w:pPr>
              <w:spacing w:after="0"/>
              <w:rPr>
                <w:sz w:val="12"/>
                <w:szCs w:val="12"/>
                <w:color w:val="auto"/>
              </w:rPr>
            </w:pPr>
          </w:p>
        </w:tc>
        <w:tc>
          <w:tcPr>
            <w:tcW w:w="560" w:type="dxa"/>
            <w:vAlign w:val="bottom"/>
            <w:shd w:val="clear" w:color="auto" w:fill="FCEABC"/>
          </w:tcPr>
          <w:p>
            <w:pPr>
              <w:ind w:left="14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300" w:type="dxa"/>
            <w:vAlign w:val="bottom"/>
            <w:gridSpan w:val="2"/>
            <w:shd w:val="clear" w:color="auto" w:fill="FCEAB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345,013</w:t>
            </w:r>
          </w:p>
        </w:tc>
        <w:tc>
          <w:tcPr>
            <w:tcW w:w="400" w:type="dxa"/>
            <w:vAlign w:val="bottom"/>
            <w:gridSpan w:val="2"/>
            <w:shd w:val="clear" w:color="auto" w:fill="FCEAB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w:t>
            </w:r>
          </w:p>
        </w:tc>
        <w:tc>
          <w:tcPr>
            <w:tcW w:w="400" w:type="dxa"/>
            <w:vAlign w:val="bottom"/>
            <w:gridSpan w:val="2"/>
            <w:shd w:val="clear" w:color="auto" w:fill="FCEAB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7,877,497</w:t>
            </w:r>
          </w:p>
        </w:tc>
        <w:tc>
          <w:tcPr>
            <w:tcW w:w="360" w:type="dxa"/>
            <w:vAlign w:val="bottom"/>
            <w:gridSpan w:val="2"/>
            <w:shd w:val="clear" w:color="auto" w:fill="FCEAB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639,998</w:t>
            </w:r>
          </w:p>
        </w:tc>
        <w:tc>
          <w:tcPr>
            <w:tcW w:w="300" w:type="dxa"/>
            <w:vAlign w:val="bottom"/>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1,225,569</w:t>
            </w:r>
          </w:p>
        </w:tc>
        <w:tc>
          <w:tcPr>
            <w:tcW w:w="300" w:type="dxa"/>
            <w:vAlign w:val="bottom"/>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FCEABC"/>
          </w:tcPr>
          <w:p>
            <w:pPr>
              <w:ind w:left="6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FCEAB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10,388,077</w:t>
            </w:r>
          </w:p>
        </w:tc>
        <w:tc>
          <w:tcPr>
            <w:tcW w:w="100" w:type="dxa"/>
            <w:vAlign w:val="bottom"/>
            <w:shd w:val="clear" w:color="auto" w:fill="FCEAB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60" w:type="dxa"/>
            <w:vAlign w:val="bottom"/>
            <w:gridSpan w:val="2"/>
            <w:shd w:val="clear" w:color="auto" w:fill="FCEABC"/>
          </w:tcPr>
          <w:p>
            <w:pPr>
              <w:ind w:left="40"/>
              <w:spacing w:after="0"/>
              <w:rPr>
                <w:sz w:val="20"/>
                <w:szCs w:val="20"/>
                <w:color w:val="auto"/>
              </w:rPr>
            </w:pPr>
            <w:r>
              <w:rPr>
                <w:rFonts w:ascii="Times New Roman" w:cs="Times New Roman" w:eastAsia="Times New Roman" w:hAnsi="Times New Roman"/>
                <w:sz w:val="14"/>
                <w:szCs w:val="14"/>
                <w:i w:val="1"/>
                <w:iCs w:val="1"/>
                <w:color w:val="auto"/>
              </w:rPr>
              <w:t>and Chairman</w:t>
            </w:r>
          </w:p>
        </w:tc>
        <w:tc>
          <w:tcPr>
            <w:tcW w:w="120" w:type="dxa"/>
            <w:vAlign w:val="bottom"/>
            <w:shd w:val="clear" w:color="auto" w:fill="FCEABC"/>
          </w:tcPr>
          <w:p>
            <w:pPr>
              <w:spacing w:after="0"/>
              <w:rPr>
                <w:sz w:val="15"/>
                <w:szCs w:val="15"/>
                <w:color w:val="auto"/>
              </w:rPr>
            </w:pPr>
          </w:p>
        </w:tc>
        <w:tc>
          <w:tcPr>
            <w:tcW w:w="560" w:type="dxa"/>
            <w:vAlign w:val="bottom"/>
            <w:shd w:val="clear" w:color="auto" w:fill="FCEABC"/>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30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345,013</w:t>
            </w:r>
          </w:p>
        </w:tc>
        <w:tc>
          <w:tcPr>
            <w:tcW w:w="40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169,993</w:t>
            </w:r>
          </w:p>
        </w:tc>
        <w:tc>
          <w:tcPr>
            <w:tcW w:w="36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679,997</w:t>
            </w:r>
          </w:p>
        </w:tc>
        <w:tc>
          <w:tcPr>
            <w:tcW w:w="30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627,719</w:t>
            </w:r>
          </w:p>
        </w:tc>
        <w:tc>
          <w:tcPr>
            <w:tcW w:w="30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FCEABC"/>
          </w:tcPr>
          <w:p>
            <w:pPr>
              <w:ind w:left="66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1,822,722</w:t>
            </w:r>
          </w:p>
        </w:tc>
        <w:tc>
          <w:tcPr>
            <w:tcW w:w="100" w:type="dxa"/>
            <w:vAlign w:val="bottom"/>
            <w:shd w:val="clear" w:color="auto" w:fill="FCEAB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56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color w:val="auto"/>
              </w:rPr>
              <w:t>Anthony Georgiadis,</w:t>
            </w:r>
          </w:p>
        </w:tc>
        <w:tc>
          <w:tcPr>
            <w:tcW w:w="120" w:type="dxa"/>
            <w:vAlign w:val="bottom"/>
          </w:tcPr>
          <w:p>
            <w:pPr>
              <w:spacing w:after="0"/>
              <w:rPr>
                <w:sz w:val="10"/>
                <w:szCs w:val="10"/>
                <w:color w:val="auto"/>
              </w:rPr>
            </w:pPr>
          </w:p>
        </w:tc>
        <w:tc>
          <w:tcPr>
            <w:tcW w:w="560" w:type="dxa"/>
            <w:vAlign w:val="bottom"/>
          </w:tcPr>
          <w:p>
            <w:pPr>
              <w:ind w:left="140"/>
              <w:spacing w:after="0" w:line="124" w:lineRule="exact"/>
              <w:rPr>
                <w:sz w:val="20"/>
                <w:szCs w:val="20"/>
                <w:color w:val="auto"/>
              </w:rPr>
            </w:pPr>
            <w:r>
              <w:rPr>
                <w:rFonts w:ascii="Times New Roman" w:cs="Times New Roman" w:eastAsia="Times New Roman" w:hAnsi="Times New Roman"/>
                <w:sz w:val="14"/>
                <w:szCs w:val="14"/>
                <w:color w:val="auto"/>
              </w:rPr>
              <w:t>2025</w:t>
            </w:r>
          </w:p>
        </w:tc>
        <w:tc>
          <w:tcPr>
            <w:tcW w:w="30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350,318</w:t>
            </w:r>
          </w:p>
        </w:tc>
        <w:tc>
          <w:tcPr>
            <w:tcW w:w="40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187,500</w:t>
            </w:r>
          </w:p>
        </w:tc>
        <w:tc>
          <w:tcPr>
            <w:tcW w:w="40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562,497</w:t>
            </w:r>
          </w:p>
        </w:tc>
        <w:tc>
          <w:tcPr>
            <w:tcW w:w="3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1,341,684</w:t>
            </w:r>
          </w:p>
        </w:tc>
        <w:tc>
          <w:tcPr>
            <w:tcW w:w="3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660"/>
              <w:spacing w:after="0" w:line="124"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488,971</w:t>
            </w:r>
          </w:p>
        </w:tc>
        <w:tc>
          <w:tcPr>
            <w:tcW w:w="3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2,930,970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56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i w:val="1"/>
                <w:iCs w:val="1"/>
                <w:color w:val="auto"/>
              </w:rPr>
              <w:t>President and Director</w:t>
            </w:r>
          </w:p>
        </w:tc>
        <w:tc>
          <w:tcPr>
            <w:tcW w:w="680" w:type="dxa"/>
            <w:vAlign w:val="bottom"/>
            <w:gridSpan w:val="2"/>
          </w:tcPr>
          <w:p>
            <w:pPr>
              <w:ind w:left="260"/>
              <w:spacing w:after="0" w:line="151" w:lineRule="exact"/>
              <w:rPr>
                <w:sz w:val="20"/>
                <w:szCs w:val="20"/>
                <w:color w:val="auto"/>
              </w:rPr>
            </w:pPr>
            <w:r>
              <w:rPr>
                <w:rFonts w:ascii="Times New Roman" w:cs="Times New Roman" w:eastAsia="Times New Roman" w:hAnsi="Times New Roman"/>
                <w:sz w:val="14"/>
                <w:szCs w:val="14"/>
                <w:color w:val="auto"/>
              </w:rPr>
              <w:t>2024</w:t>
            </w:r>
          </w:p>
        </w:tc>
        <w:tc>
          <w:tcPr>
            <w:tcW w:w="30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360,014</w:t>
            </w:r>
          </w:p>
        </w:tc>
        <w:tc>
          <w:tcPr>
            <w:tcW w:w="40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300,000</w:t>
            </w:r>
          </w:p>
        </w:tc>
        <w:tc>
          <w:tcPr>
            <w:tcW w:w="40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7,717,500</w:t>
            </w:r>
          </w:p>
        </w:tc>
        <w:tc>
          <w:tcPr>
            <w:tcW w:w="36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749,995</w:t>
            </w:r>
          </w:p>
        </w:tc>
        <w:tc>
          <w:tcPr>
            <w:tcW w:w="30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1,250,910</w:t>
            </w:r>
          </w:p>
        </w:tc>
        <w:tc>
          <w:tcPr>
            <w:tcW w:w="30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66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10,378,419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2023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360,014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374,999</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374,997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668,257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1,778,267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560" w:type="dxa"/>
            <w:vAlign w:val="bottom"/>
            <w:gridSpan w:val="2"/>
            <w:shd w:val="clear" w:color="auto" w:fill="FCEABC"/>
          </w:tcPr>
          <w:p>
            <w:pPr>
              <w:spacing w:after="0" w:line="124" w:lineRule="exact"/>
              <w:rPr>
                <w:sz w:val="20"/>
                <w:szCs w:val="20"/>
                <w:color w:val="auto"/>
              </w:rPr>
            </w:pPr>
            <w:r>
              <w:rPr>
                <w:rFonts w:ascii="Times New Roman" w:cs="Times New Roman" w:eastAsia="Times New Roman" w:hAnsi="Times New Roman"/>
                <w:sz w:val="14"/>
                <w:szCs w:val="14"/>
                <w:color w:val="auto"/>
              </w:rPr>
              <w:t>Matt Faulkner</w:t>
            </w:r>
          </w:p>
        </w:tc>
        <w:tc>
          <w:tcPr>
            <w:tcW w:w="680" w:type="dxa"/>
            <w:vAlign w:val="bottom"/>
            <w:gridSpan w:val="2"/>
            <w:shd w:val="clear" w:color="auto" w:fill="FCEABC"/>
          </w:tcPr>
          <w:p>
            <w:pPr>
              <w:ind w:left="260"/>
              <w:spacing w:after="0" w:line="124" w:lineRule="exact"/>
              <w:rPr>
                <w:sz w:val="20"/>
                <w:szCs w:val="20"/>
                <w:color w:val="auto"/>
              </w:rPr>
            </w:pPr>
            <w:r>
              <w:rPr>
                <w:rFonts w:ascii="Times New Roman" w:cs="Times New Roman" w:eastAsia="Times New Roman" w:hAnsi="Times New Roman"/>
                <w:sz w:val="14"/>
                <w:szCs w:val="14"/>
                <w:color w:val="auto"/>
              </w:rPr>
              <w:t>2025</w:t>
            </w:r>
          </w:p>
        </w:tc>
        <w:tc>
          <w:tcPr>
            <w:tcW w:w="300" w:type="dxa"/>
            <w:vAlign w:val="bottom"/>
            <w:gridSpan w:val="2"/>
            <w:shd w:val="clear" w:color="auto" w:fill="FCEABC"/>
          </w:tcPr>
          <w:p>
            <w:pPr>
              <w:jc w:val="right"/>
              <w:ind w:right="100"/>
              <w:spacing w:after="0" w:line="124"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FCEABC"/>
          </w:tcPr>
          <w:p>
            <w:pPr>
              <w:jc w:val="right"/>
              <w:spacing w:after="0" w:line="124" w:lineRule="exact"/>
              <w:rPr>
                <w:sz w:val="20"/>
                <w:szCs w:val="20"/>
                <w:color w:val="auto"/>
              </w:rPr>
            </w:pPr>
            <w:r>
              <w:rPr>
                <w:rFonts w:ascii="Times New Roman" w:cs="Times New Roman" w:eastAsia="Times New Roman" w:hAnsi="Times New Roman"/>
                <w:sz w:val="14"/>
                <w:szCs w:val="14"/>
                <w:color w:val="auto"/>
              </w:rPr>
              <w:t>335,721</w:t>
            </w:r>
          </w:p>
        </w:tc>
        <w:tc>
          <w:tcPr>
            <w:tcW w:w="400" w:type="dxa"/>
            <w:vAlign w:val="bottom"/>
            <w:gridSpan w:val="2"/>
            <w:shd w:val="clear" w:color="auto" w:fill="FCEABC"/>
          </w:tcPr>
          <w:p>
            <w:pPr>
              <w:jc w:val="right"/>
              <w:ind w:right="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FCEABC"/>
          </w:tcPr>
          <w:p>
            <w:pPr>
              <w:jc w:val="right"/>
              <w:spacing w:after="0" w:line="124" w:lineRule="exact"/>
              <w:rPr>
                <w:sz w:val="20"/>
                <w:szCs w:val="20"/>
                <w:color w:val="auto"/>
              </w:rPr>
            </w:pPr>
            <w:r>
              <w:rPr>
                <w:rFonts w:ascii="Times New Roman" w:cs="Times New Roman" w:eastAsia="Times New Roman" w:hAnsi="Times New Roman"/>
                <w:sz w:val="14"/>
                <w:szCs w:val="14"/>
                <w:color w:val="auto"/>
              </w:rPr>
              <w:t>162,500</w:t>
            </w:r>
          </w:p>
        </w:tc>
        <w:tc>
          <w:tcPr>
            <w:tcW w:w="400" w:type="dxa"/>
            <w:vAlign w:val="bottom"/>
            <w:gridSpan w:val="2"/>
            <w:shd w:val="clear" w:color="auto" w:fill="FCEABC"/>
          </w:tcPr>
          <w:p>
            <w:pPr>
              <w:jc w:val="right"/>
              <w:ind w:right="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FCEABC"/>
          </w:tcPr>
          <w:p>
            <w:pPr>
              <w:jc w:val="right"/>
              <w:spacing w:after="0" w:line="124" w:lineRule="exact"/>
              <w:rPr>
                <w:sz w:val="20"/>
                <w:szCs w:val="20"/>
                <w:color w:val="auto"/>
              </w:rPr>
            </w:pPr>
            <w:r>
              <w:rPr>
                <w:rFonts w:ascii="Times New Roman" w:cs="Times New Roman" w:eastAsia="Times New Roman" w:hAnsi="Times New Roman"/>
                <w:sz w:val="14"/>
                <w:szCs w:val="14"/>
                <w:color w:val="auto"/>
              </w:rPr>
              <w:t>487,498</w:t>
            </w:r>
          </w:p>
        </w:tc>
        <w:tc>
          <w:tcPr>
            <w:tcW w:w="360" w:type="dxa"/>
            <w:vAlign w:val="bottom"/>
            <w:gridSpan w:val="2"/>
            <w:shd w:val="clear" w:color="auto" w:fill="FCEABC"/>
          </w:tcPr>
          <w:p>
            <w:pPr>
              <w:jc w:val="right"/>
              <w:ind w:right="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FCEABC"/>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FCEABC"/>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FCEABC"/>
          </w:tcPr>
          <w:p>
            <w:pPr>
              <w:jc w:val="right"/>
              <w:spacing w:after="0" w:line="124" w:lineRule="exact"/>
              <w:rPr>
                <w:sz w:val="20"/>
                <w:szCs w:val="20"/>
                <w:color w:val="auto"/>
              </w:rPr>
            </w:pPr>
            <w:r>
              <w:rPr>
                <w:rFonts w:ascii="Times New Roman" w:cs="Times New Roman" w:eastAsia="Times New Roman" w:hAnsi="Times New Roman"/>
                <w:sz w:val="14"/>
                <w:szCs w:val="14"/>
                <w:color w:val="auto"/>
              </w:rPr>
              <w:t>463,863</w:t>
            </w:r>
          </w:p>
        </w:tc>
        <w:tc>
          <w:tcPr>
            <w:tcW w:w="300" w:type="dxa"/>
            <w:vAlign w:val="bottom"/>
            <w:gridSpan w:val="2"/>
            <w:shd w:val="clear" w:color="auto" w:fill="FCEABC"/>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FCEABC"/>
          </w:tcPr>
          <w:p>
            <w:pPr>
              <w:ind w:left="660"/>
              <w:spacing w:after="0" w:line="124"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shd w:val="clear" w:color="auto" w:fill="FCEABC"/>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FCEABC"/>
          </w:tcPr>
          <w:p>
            <w:pPr>
              <w:jc w:val="right"/>
              <w:spacing w:after="0" w:line="124" w:lineRule="exact"/>
              <w:rPr>
                <w:sz w:val="20"/>
                <w:szCs w:val="20"/>
                <w:color w:val="auto"/>
              </w:rPr>
            </w:pPr>
            <w:r>
              <w:rPr>
                <w:rFonts w:ascii="Times New Roman" w:cs="Times New Roman" w:eastAsia="Times New Roman" w:hAnsi="Times New Roman"/>
                <w:sz w:val="14"/>
                <w:szCs w:val="14"/>
                <w:color w:val="auto"/>
              </w:rPr>
              <w:t>308,850</w:t>
            </w:r>
          </w:p>
        </w:tc>
        <w:tc>
          <w:tcPr>
            <w:tcW w:w="380" w:type="dxa"/>
            <w:vAlign w:val="bottom"/>
            <w:gridSpan w:val="2"/>
            <w:shd w:val="clear" w:color="auto" w:fill="FCEABC"/>
          </w:tcPr>
          <w:p>
            <w:pPr>
              <w:jc w:val="right"/>
              <w:ind w:right="100"/>
              <w:spacing w:after="0" w:line="12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FCEABC"/>
          </w:tcPr>
          <w:p>
            <w:pPr>
              <w:jc w:val="right"/>
              <w:spacing w:after="0" w:line="124" w:lineRule="exact"/>
              <w:rPr>
                <w:sz w:val="20"/>
                <w:szCs w:val="20"/>
                <w:color w:val="auto"/>
              </w:rPr>
            </w:pPr>
            <w:r>
              <w:rPr>
                <w:rFonts w:ascii="Times New Roman" w:cs="Times New Roman" w:eastAsia="Times New Roman" w:hAnsi="Times New Roman"/>
                <w:sz w:val="14"/>
                <w:szCs w:val="14"/>
                <w:color w:val="auto"/>
              </w:rPr>
              <w:t>1,758,432</w:t>
            </w:r>
          </w:p>
        </w:tc>
        <w:tc>
          <w:tcPr>
            <w:tcW w:w="100" w:type="dxa"/>
            <w:vAlign w:val="bottom"/>
            <w:shd w:val="clear" w:color="auto" w:fill="FCEABC"/>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560" w:type="dxa"/>
            <w:vAlign w:val="bottom"/>
            <w:gridSpan w:val="2"/>
            <w:shd w:val="clear" w:color="auto" w:fill="FCEABC"/>
          </w:tcPr>
          <w:p>
            <w:pPr>
              <w:ind w:left="40"/>
              <w:spacing w:after="0" w:line="151" w:lineRule="exact"/>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120" w:type="dxa"/>
            <w:vAlign w:val="bottom"/>
            <w:shd w:val="clear" w:color="auto" w:fill="FCEABC"/>
          </w:tcPr>
          <w:p>
            <w:pPr>
              <w:spacing w:after="0"/>
              <w:rPr>
                <w:sz w:val="13"/>
                <w:szCs w:val="13"/>
                <w:color w:val="auto"/>
              </w:rPr>
            </w:pPr>
          </w:p>
        </w:tc>
        <w:tc>
          <w:tcPr>
            <w:tcW w:w="560" w:type="dxa"/>
            <w:vAlign w:val="bottom"/>
            <w:shd w:val="clear" w:color="auto" w:fill="FCEABC"/>
          </w:tcPr>
          <w:p>
            <w:pPr>
              <w:ind w:left="140"/>
              <w:spacing w:after="0" w:line="151" w:lineRule="exact"/>
              <w:rPr>
                <w:sz w:val="20"/>
                <w:szCs w:val="20"/>
                <w:color w:val="auto"/>
              </w:rPr>
            </w:pPr>
            <w:r>
              <w:rPr>
                <w:rFonts w:ascii="Times New Roman" w:cs="Times New Roman" w:eastAsia="Times New Roman" w:hAnsi="Times New Roman"/>
                <w:sz w:val="14"/>
                <w:szCs w:val="14"/>
                <w:color w:val="auto"/>
              </w:rPr>
              <w:t>2024</w:t>
            </w:r>
          </w:p>
        </w:tc>
        <w:tc>
          <w:tcPr>
            <w:tcW w:w="300" w:type="dxa"/>
            <w:vAlign w:val="bottom"/>
            <w:gridSpan w:val="2"/>
            <w:shd w:val="clear" w:color="auto" w:fill="FCEABC"/>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FCEABC"/>
          </w:tcPr>
          <w:p>
            <w:pPr>
              <w:jc w:val="right"/>
              <w:spacing w:after="0" w:line="151" w:lineRule="exact"/>
              <w:rPr>
                <w:sz w:val="20"/>
                <w:szCs w:val="20"/>
                <w:color w:val="auto"/>
              </w:rPr>
            </w:pPr>
            <w:r>
              <w:rPr>
                <w:rFonts w:ascii="Times New Roman" w:cs="Times New Roman" w:eastAsia="Times New Roman" w:hAnsi="Times New Roman"/>
                <w:sz w:val="14"/>
                <w:szCs w:val="14"/>
                <w:color w:val="auto"/>
              </w:rPr>
              <w:t>345,013</w:t>
            </w:r>
          </w:p>
        </w:tc>
        <w:tc>
          <w:tcPr>
            <w:tcW w:w="400" w:type="dxa"/>
            <w:vAlign w:val="bottom"/>
            <w:gridSpan w:val="2"/>
            <w:shd w:val="clear" w:color="auto" w:fill="FCEABC"/>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FCEABC"/>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FCEABC"/>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FCEABC"/>
          </w:tcPr>
          <w:p>
            <w:pPr>
              <w:jc w:val="right"/>
              <w:spacing w:after="0" w:line="151" w:lineRule="exact"/>
              <w:rPr>
                <w:sz w:val="20"/>
                <w:szCs w:val="20"/>
                <w:color w:val="auto"/>
              </w:rPr>
            </w:pPr>
            <w:r>
              <w:rPr>
                <w:rFonts w:ascii="Times New Roman" w:cs="Times New Roman" w:eastAsia="Times New Roman" w:hAnsi="Times New Roman"/>
                <w:sz w:val="14"/>
                <w:szCs w:val="14"/>
                <w:color w:val="auto"/>
              </w:rPr>
              <w:t>3,476,992</w:t>
            </w:r>
          </w:p>
        </w:tc>
        <w:tc>
          <w:tcPr>
            <w:tcW w:w="360" w:type="dxa"/>
            <w:vAlign w:val="bottom"/>
            <w:gridSpan w:val="2"/>
            <w:shd w:val="clear" w:color="auto" w:fill="FCEABC"/>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FCEABC"/>
          </w:tcPr>
          <w:p>
            <w:pPr>
              <w:jc w:val="right"/>
              <w:spacing w:after="0" w:line="151" w:lineRule="exact"/>
              <w:rPr>
                <w:sz w:val="20"/>
                <w:szCs w:val="20"/>
                <w:color w:val="auto"/>
              </w:rPr>
            </w:pPr>
            <w:r>
              <w:rPr>
                <w:rFonts w:ascii="Times New Roman" w:cs="Times New Roman" w:eastAsia="Times New Roman" w:hAnsi="Times New Roman"/>
                <w:sz w:val="14"/>
                <w:szCs w:val="14"/>
                <w:color w:val="auto"/>
              </w:rPr>
              <w:t>259,994</w:t>
            </w:r>
          </w:p>
        </w:tc>
        <w:tc>
          <w:tcPr>
            <w:tcW w:w="300" w:type="dxa"/>
            <w:vAlign w:val="bottom"/>
            <w:gridSpan w:val="2"/>
            <w:shd w:val="clear" w:color="auto" w:fill="FCEABC"/>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FCEABC"/>
          </w:tcPr>
          <w:p>
            <w:pPr>
              <w:jc w:val="right"/>
              <w:spacing w:after="0" w:line="151" w:lineRule="exact"/>
              <w:rPr>
                <w:sz w:val="20"/>
                <w:szCs w:val="20"/>
                <w:color w:val="auto"/>
              </w:rPr>
            </w:pPr>
            <w:r>
              <w:rPr>
                <w:rFonts w:ascii="Times New Roman" w:cs="Times New Roman" w:eastAsia="Times New Roman" w:hAnsi="Times New Roman"/>
                <w:sz w:val="14"/>
                <w:szCs w:val="14"/>
                <w:color w:val="auto"/>
              </w:rPr>
              <w:t>517,980</w:t>
            </w:r>
          </w:p>
        </w:tc>
        <w:tc>
          <w:tcPr>
            <w:tcW w:w="300" w:type="dxa"/>
            <w:vAlign w:val="bottom"/>
            <w:gridSpan w:val="2"/>
            <w:shd w:val="clear" w:color="auto" w:fill="FCEABC"/>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FCEABC"/>
          </w:tcPr>
          <w:p>
            <w:pPr>
              <w:ind w:left="66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shd w:val="clear" w:color="auto" w:fill="FCEABC"/>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FCEABC"/>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FCEABC"/>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FCEABC"/>
          </w:tcPr>
          <w:p>
            <w:pPr>
              <w:jc w:val="right"/>
              <w:spacing w:after="0" w:line="151" w:lineRule="exact"/>
              <w:rPr>
                <w:sz w:val="20"/>
                <w:szCs w:val="20"/>
                <w:color w:val="auto"/>
              </w:rPr>
            </w:pPr>
            <w:r>
              <w:rPr>
                <w:rFonts w:ascii="Times New Roman" w:cs="Times New Roman" w:eastAsia="Times New Roman" w:hAnsi="Times New Roman"/>
                <w:sz w:val="14"/>
                <w:szCs w:val="14"/>
                <w:color w:val="auto"/>
              </w:rPr>
              <w:t>4,599,979</w:t>
            </w:r>
          </w:p>
        </w:tc>
        <w:tc>
          <w:tcPr>
            <w:tcW w:w="100" w:type="dxa"/>
            <w:vAlign w:val="bottom"/>
            <w:shd w:val="clear" w:color="auto" w:fill="FCEAB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60" w:type="dxa"/>
            <w:vAlign w:val="bottom"/>
            <w:shd w:val="clear" w:color="auto" w:fill="FCEABC"/>
          </w:tcPr>
          <w:p>
            <w:pPr>
              <w:spacing w:after="0"/>
              <w:rPr>
                <w:sz w:val="14"/>
                <w:szCs w:val="14"/>
                <w:color w:val="auto"/>
              </w:rPr>
            </w:pPr>
          </w:p>
        </w:tc>
        <w:tc>
          <w:tcPr>
            <w:tcW w:w="600" w:type="dxa"/>
            <w:vAlign w:val="bottom"/>
            <w:shd w:val="clear" w:color="auto" w:fill="FCEABC"/>
          </w:tcPr>
          <w:p>
            <w:pPr>
              <w:spacing w:after="0"/>
              <w:rPr>
                <w:sz w:val="14"/>
                <w:szCs w:val="14"/>
                <w:color w:val="auto"/>
              </w:rPr>
            </w:pPr>
          </w:p>
        </w:tc>
        <w:tc>
          <w:tcPr>
            <w:tcW w:w="120" w:type="dxa"/>
            <w:vAlign w:val="bottom"/>
            <w:shd w:val="clear" w:color="auto" w:fill="FCEABC"/>
          </w:tcPr>
          <w:p>
            <w:pPr>
              <w:spacing w:after="0"/>
              <w:rPr>
                <w:sz w:val="14"/>
                <w:szCs w:val="14"/>
                <w:color w:val="auto"/>
              </w:rPr>
            </w:pPr>
          </w:p>
        </w:tc>
        <w:tc>
          <w:tcPr>
            <w:tcW w:w="560" w:type="dxa"/>
            <w:vAlign w:val="bottom"/>
            <w:shd w:val="clear" w:color="auto" w:fill="FCEABC"/>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30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345,013</w:t>
            </w:r>
          </w:p>
        </w:tc>
        <w:tc>
          <w:tcPr>
            <w:tcW w:w="40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549,990</w:t>
            </w:r>
          </w:p>
        </w:tc>
        <w:tc>
          <w:tcPr>
            <w:tcW w:w="36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549,998</w:t>
            </w:r>
          </w:p>
        </w:tc>
        <w:tc>
          <w:tcPr>
            <w:tcW w:w="30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288,186</w:t>
            </w:r>
          </w:p>
        </w:tc>
        <w:tc>
          <w:tcPr>
            <w:tcW w:w="30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FCEABC"/>
          </w:tcPr>
          <w:p>
            <w:pPr>
              <w:ind w:left="66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1,733,187</w:t>
            </w:r>
          </w:p>
        </w:tc>
        <w:tc>
          <w:tcPr>
            <w:tcW w:w="100" w:type="dxa"/>
            <w:vAlign w:val="bottom"/>
            <w:shd w:val="clear" w:color="auto" w:fill="FCEABC"/>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56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color w:val="auto"/>
              </w:rPr>
              <w:t>Bret Kravitz</w:t>
            </w:r>
          </w:p>
        </w:tc>
        <w:tc>
          <w:tcPr>
            <w:tcW w:w="120" w:type="dxa"/>
            <w:vAlign w:val="bottom"/>
          </w:tcPr>
          <w:p>
            <w:pPr>
              <w:spacing w:after="0"/>
              <w:rPr>
                <w:sz w:val="10"/>
                <w:szCs w:val="10"/>
                <w:color w:val="auto"/>
              </w:rPr>
            </w:pPr>
          </w:p>
        </w:tc>
        <w:tc>
          <w:tcPr>
            <w:tcW w:w="560" w:type="dxa"/>
            <w:vAlign w:val="bottom"/>
          </w:tcPr>
          <w:p>
            <w:pPr>
              <w:ind w:left="140"/>
              <w:spacing w:after="0" w:line="124" w:lineRule="exact"/>
              <w:rPr>
                <w:sz w:val="20"/>
                <w:szCs w:val="20"/>
                <w:color w:val="auto"/>
              </w:rPr>
            </w:pPr>
            <w:r>
              <w:rPr>
                <w:rFonts w:ascii="Times New Roman" w:cs="Times New Roman" w:eastAsia="Times New Roman" w:hAnsi="Times New Roman"/>
                <w:sz w:val="14"/>
                <w:szCs w:val="14"/>
                <w:color w:val="auto"/>
              </w:rPr>
              <w:t>2025</w:t>
            </w:r>
          </w:p>
        </w:tc>
        <w:tc>
          <w:tcPr>
            <w:tcW w:w="30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325,990</w:t>
            </w:r>
          </w:p>
        </w:tc>
        <w:tc>
          <w:tcPr>
            <w:tcW w:w="40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150,000</w:t>
            </w:r>
          </w:p>
        </w:tc>
        <w:tc>
          <w:tcPr>
            <w:tcW w:w="40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224,997</w:t>
            </w:r>
          </w:p>
        </w:tc>
        <w:tc>
          <w:tcPr>
            <w:tcW w:w="3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224,998</w:t>
            </w:r>
          </w:p>
        </w:tc>
        <w:tc>
          <w:tcPr>
            <w:tcW w:w="3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451,339</w:t>
            </w:r>
          </w:p>
        </w:tc>
        <w:tc>
          <w:tcPr>
            <w:tcW w:w="3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660"/>
              <w:spacing w:after="0" w:line="124" w:lineRule="exact"/>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350,030</w:t>
            </w:r>
          </w:p>
        </w:tc>
        <w:tc>
          <w:tcPr>
            <w:tcW w:w="3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1,727,354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i w:val="1"/>
                <w:iCs w:val="1"/>
                <w:color w:val="auto"/>
              </w:rPr>
              <w:t>General Counsel</w:t>
            </w:r>
          </w:p>
        </w:tc>
        <w:tc>
          <w:tcPr>
            <w:tcW w:w="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2024</w:t>
            </w: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309,589</w:t>
            </w: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3,236,989</w:t>
            </w: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599,997</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365,316</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ind w:left="66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4,511,891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56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i w:val="1"/>
                <w:iCs w:val="1"/>
                <w:color w:val="auto"/>
              </w:rPr>
              <w:t>and Secretary</w:t>
            </w:r>
          </w:p>
        </w:tc>
        <w:tc>
          <w:tcPr>
            <w:tcW w:w="680" w:type="dxa"/>
            <w:vAlign w:val="bottom"/>
            <w:gridSpan w:val="2"/>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2023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287,511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474,993</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474,994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1,452,066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w:t>
      </w:r>
    </w:p>
    <w:p>
      <w:pPr>
        <w:spacing w:after="0" w:line="6" w:lineRule="exact"/>
        <w:rPr>
          <w:sz w:val="20"/>
          <w:szCs w:val="20"/>
          <w:color w:val="auto"/>
        </w:rPr>
      </w:pPr>
    </w:p>
    <w:p>
      <w:pPr>
        <w:ind w:left="380" w:right="20" w:hanging="372"/>
        <w:spacing w:after="0" w:line="221" w:lineRule="auto"/>
        <w:tabs>
          <w:tab w:leader="none" w:pos="3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2025, this reflects the cash element of each NEO’s long-term incentive package. The amounts reflected vested one half on October 1, 2025, and the remainder will vest on October 1, 2026, subject to the applicable NEO’s continued employment on the vesting date. For 2024, the amounts reported for Mr. Kovler and Mr. Georgiadis reflect the special recognition bonuses paid on November 1, 2024.</w:t>
      </w:r>
    </w:p>
    <w:p>
      <w:pPr>
        <w:ind w:left="380" w:right="20" w:hanging="372"/>
        <w:spacing w:after="0" w:line="221" w:lineRule="auto"/>
        <w:tabs>
          <w:tab w:leader="none" w:pos="3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Stock Awards and the Option Awards columns reflect aggregate grant date fair value computed in accordance with Accounting Standards Codification Topic 718, Compensation—Stock Compensation (“</w:t>
      </w:r>
      <w:r>
        <w:rPr>
          <w:rFonts w:ascii="Times New Roman" w:cs="Times New Roman" w:eastAsia="Times New Roman" w:hAnsi="Times New Roman"/>
          <w:sz w:val="14"/>
          <w:szCs w:val="14"/>
          <w:b w:val="1"/>
          <w:bCs w:val="1"/>
          <w:color w:val="auto"/>
        </w:rPr>
        <w:t>ASC Topic 718</w:t>
      </w:r>
      <w:r>
        <w:rPr>
          <w:rFonts w:ascii="Times New Roman" w:cs="Times New Roman" w:eastAsia="Times New Roman" w:hAnsi="Times New Roman"/>
          <w:sz w:val="14"/>
          <w:szCs w:val="14"/>
          <w:color w:val="auto"/>
        </w:rPr>
        <w:t>”). These amounts reflect our calculation of the value of these awards at the grant date and do not necessarily correspond to the actual value that may ultimately be realized by the NEO. Assumptions used in the calculation of these amounts are included in Note 10—Share Capital to our audited consolidated financial statements for the fiscal year ended December 31, 2025, which are included in the 2025 Form 10-K.</w:t>
      </w:r>
    </w:p>
    <w:p>
      <w:pPr>
        <w:spacing w:after="0" w:line="1"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annual bonus payment actually received pursuant to the 2025 Annual Bonus.</w:t>
      </w:r>
    </w:p>
    <w:p>
      <w:pPr>
        <w:ind w:left="380" w:right="300" w:hanging="372"/>
        <w:spacing w:after="0" w:line="233" w:lineRule="auto"/>
        <w:tabs>
          <w:tab w:leader="none" w:pos="3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our executive officers received perquisites in excess of $10,000 in 2025. For 2025, the amounts reported reflect the fair market value of RYM restricted stock units awarded to each applicable NEO by RYM in connection with services provided to RYM by such NEO under the Services Agreement. These awards were not made by the Company nor did the Company reimburse RYM for any portion of those awards.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each grant of an equity or non-equity award made to the NEOs during fiscal 2025 under our incentive plans.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All</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All other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awards;</w:t>
            </w:r>
          </w:p>
        </w:tc>
        <w:tc>
          <w:tcPr>
            <w:tcW w:w="2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2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awards;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56"/>
              <w:spacing w:after="0" w:line="135" w:lineRule="exact"/>
              <w:rPr>
                <w:sz w:val="20"/>
                <w:szCs w:val="20"/>
                <w:color w:val="auto"/>
              </w:rPr>
            </w:pPr>
            <w:r>
              <w:rPr>
                <w:rFonts w:ascii="Times New Roman" w:cs="Times New Roman" w:eastAsia="Times New Roman" w:hAnsi="Times New Roman"/>
                <w:sz w:val="13"/>
                <w:szCs w:val="13"/>
                <w:b w:val="1"/>
                <w:bCs w:val="1"/>
                <w:color w:val="auto"/>
                <w:w w:val="93"/>
              </w:rPr>
              <w:t>Exercise</w:t>
            </w:r>
          </w:p>
        </w:tc>
        <w:tc>
          <w:tcPr>
            <w:tcW w:w="220" w:type="dxa"/>
            <w:vAlign w:val="bottom"/>
          </w:tcPr>
          <w:p>
            <w:pPr>
              <w:spacing w:after="0"/>
              <w:rPr>
                <w:sz w:val="11"/>
                <w:szCs w:val="11"/>
                <w:color w:val="auto"/>
              </w:rPr>
            </w:pPr>
          </w:p>
        </w:tc>
        <w:tc>
          <w:tcPr>
            <w:tcW w:w="8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Grant date</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60" w:type="dxa"/>
            <w:vAlign w:val="bottom"/>
            <w:gridSpan w:val="6"/>
            <w:vMerge w:val="restart"/>
          </w:tcPr>
          <w:p>
            <w:pPr>
              <w:jc w:val="center"/>
              <w:ind w:left="454"/>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2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56"/>
              <w:spacing w:after="0" w:line="135" w:lineRule="exact"/>
              <w:rPr>
                <w:sz w:val="20"/>
                <w:szCs w:val="20"/>
                <w:color w:val="auto"/>
              </w:rPr>
            </w:pPr>
            <w:r>
              <w:rPr>
                <w:rFonts w:ascii="Times New Roman" w:cs="Times New Roman" w:eastAsia="Times New Roman" w:hAnsi="Times New Roman"/>
                <w:sz w:val="13"/>
                <w:szCs w:val="13"/>
                <w:b w:val="1"/>
                <w:bCs w:val="1"/>
                <w:color w:val="auto"/>
                <w:w w:val="99"/>
              </w:rPr>
              <w:t>or base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60" w:type="dxa"/>
            <w:vAlign w:val="bottom"/>
            <w:gridSpan w:val="6"/>
            <w:vMerge w:val="continue"/>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1"/>
                <w:szCs w:val="11"/>
                <w:color w:val="auto"/>
              </w:rPr>
            </w:pPr>
          </w:p>
        </w:tc>
        <w:tc>
          <w:tcPr>
            <w:tcW w:w="8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securities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56"/>
              <w:spacing w:after="0" w:line="128" w:lineRule="exact"/>
              <w:rPr>
                <w:sz w:val="20"/>
                <w:szCs w:val="20"/>
                <w:color w:val="auto"/>
              </w:rPr>
            </w:pPr>
            <w:r>
              <w:rPr>
                <w:rFonts w:ascii="Times New Roman" w:cs="Times New Roman" w:eastAsia="Times New Roman" w:hAnsi="Times New Roman"/>
                <w:sz w:val="13"/>
                <w:szCs w:val="13"/>
                <w:b w:val="1"/>
                <w:bCs w:val="1"/>
                <w:color w:val="auto"/>
                <w:w w:val="94"/>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2"/>
              </w:rPr>
              <w:t>of stock</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6"/>
          </w:tcPr>
          <w:p>
            <w:pPr>
              <w:jc w:val="center"/>
              <w:ind w:left="454"/>
              <w:spacing w:after="0"/>
              <w:rPr>
                <w:sz w:val="20"/>
                <w:szCs w:val="20"/>
                <w:color w:val="auto"/>
              </w:rPr>
            </w:pPr>
            <w:r>
              <w:rPr>
                <w:rFonts w:ascii="Times New Roman" w:cs="Times New Roman" w:eastAsia="Times New Roman" w:hAnsi="Times New Roman"/>
                <w:sz w:val="13"/>
                <w:szCs w:val="13"/>
                <w:b w:val="1"/>
                <w:bCs w:val="1"/>
                <w:color w:val="auto"/>
                <w:w w:val="97"/>
              </w:rPr>
              <w:t>non-equity incentive plan awards</w:t>
            </w: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of stock</w:t>
            </w:r>
          </w:p>
        </w:tc>
        <w:tc>
          <w:tcPr>
            <w:tcW w:w="2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underlying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5"/>
              </w:rPr>
              <w:t>option</w:t>
            </w:r>
          </w:p>
        </w:tc>
        <w:tc>
          <w:tcPr>
            <w:tcW w:w="220" w:type="dxa"/>
            <w:vAlign w:val="bottom"/>
          </w:tcPr>
          <w:p>
            <w:pPr>
              <w:spacing w:after="0"/>
              <w:rPr>
                <w:sz w:val="12"/>
                <w:szCs w:val="12"/>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and option</w:t>
            </w:r>
          </w:p>
        </w:tc>
        <w:tc>
          <w:tcPr>
            <w:tcW w:w="0" w:type="dxa"/>
            <w:vAlign w:val="bottom"/>
          </w:tcPr>
          <w:p>
            <w:pPr>
              <w:spacing w:after="0"/>
              <w:rPr>
                <w:sz w:val="1"/>
                <w:szCs w:val="1"/>
                <w:color w:val="auto"/>
              </w:rPr>
            </w:pPr>
          </w:p>
        </w:tc>
      </w:tr>
      <w:tr>
        <w:trPr>
          <w:trHeight w:val="102"/>
        </w:trPr>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jc w:val="right"/>
              <w:ind w:right="178"/>
              <w:spacing w:after="0" w:line="102" w:lineRule="exact"/>
              <w:rPr>
                <w:sz w:val="20"/>
                <w:szCs w:val="20"/>
                <w:color w:val="auto"/>
              </w:rPr>
            </w:pPr>
            <w:r>
              <w:rPr>
                <w:rFonts w:ascii="Times New Roman" w:cs="Times New Roman" w:eastAsia="Times New Roman" w:hAnsi="Times New Roman"/>
                <w:sz w:val="10"/>
                <w:szCs w:val="10"/>
                <w:b w:val="1"/>
                <w:bCs w:val="1"/>
                <w:color w:val="auto"/>
              </w:rPr>
              <w:t>Grant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Threshold</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jc w:val="right"/>
              <w:ind w:right="213"/>
              <w:spacing w:after="0" w:line="102" w:lineRule="exact"/>
              <w:rPr>
                <w:sz w:val="20"/>
                <w:szCs w:val="20"/>
                <w:color w:val="auto"/>
              </w:rPr>
            </w:pPr>
            <w:r>
              <w:rPr>
                <w:rFonts w:ascii="Times New Roman" w:cs="Times New Roman" w:eastAsia="Times New Roman" w:hAnsi="Times New Roman"/>
                <w:sz w:val="10"/>
                <w:szCs w:val="10"/>
                <w:b w:val="1"/>
                <w:bCs w:val="1"/>
                <w:color w:val="auto"/>
              </w:rPr>
              <w:t>Target</w:t>
            </w:r>
          </w:p>
        </w:tc>
        <w:tc>
          <w:tcPr>
            <w:tcW w:w="220" w:type="dxa"/>
            <w:vAlign w:val="bottom"/>
          </w:tcPr>
          <w:p>
            <w:pPr>
              <w:spacing w:after="0"/>
              <w:rPr>
                <w:sz w:val="8"/>
                <w:szCs w:val="8"/>
                <w:color w:val="auto"/>
              </w:rPr>
            </w:pPr>
          </w:p>
        </w:tc>
        <w:tc>
          <w:tcPr>
            <w:tcW w:w="900" w:type="dxa"/>
            <w:vAlign w:val="bottom"/>
            <w:gridSpan w:val="2"/>
          </w:tcPr>
          <w:p>
            <w:pPr>
              <w:jc w:val="right"/>
              <w:ind w:right="110"/>
              <w:spacing w:after="0" w:line="102" w:lineRule="exact"/>
              <w:rPr>
                <w:sz w:val="20"/>
                <w:szCs w:val="20"/>
                <w:color w:val="auto"/>
              </w:rPr>
            </w:pPr>
            <w:r>
              <w:rPr>
                <w:rFonts w:ascii="Times New Roman" w:cs="Times New Roman" w:eastAsia="Times New Roman" w:hAnsi="Times New Roman"/>
                <w:sz w:val="10"/>
                <w:szCs w:val="10"/>
                <w:b w:val="1"/>
                <w:bCs w:val="1"/>
                <w:color w:val="auto"/>
              </w:rPr>
              <w:t>Maximum</w:t>
            </w:r>
          </w:p>
        </w:tc>
        <w:tc>
          <w:tcPr>
            <w:tcW w:w="220" w:type="dxa"/>
            <w:vAlign w:val="bottom"/>
          </w:tcPr>
          <w:p>
            <w:pPr>
              <w:spacing w:after="0"/>
              <w:rPr>
                <w:sz w:val="8"/>
                <w:szCs w:val="8"/>
                <w:color w:val="auto"/>
              </w:rPr>
            </w:pPr>
          </w:p>
        </w:tc>
        <w:tc>
          <w:tcPr>
            <w:tcW w:w="840" w:type="dxa"/>
            <w:vAlign w:val="bottom"/>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auto"/>
              </w:rPr>
              <w:t>or units</w:t>
            </w:r>
          </w:p>
        </w:tc>
        <w:tc>
          <w:tcPr>
            <w:tcW w:w="220" w:type="dxa"/>
            <w:vAlign w:val="bottom"/>
          </w:tcPr>
          <w:p>
            <w:pPr>
              <w:spacing w:after="0"/>
              <w:rPr>
                <w:sz w:val="8"/>
                <w:szCs w:val="8"/>
                <w:color w:val="auto"/>
              </w:rPr>
            </w:pPr>
          </w:p>
        </w:tc>
        <w:tc>
          <w:tcPr>
            <w:tcW w:w="840" w:type="dxa"/>
            <w:vAlign w:val="bottom"/>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auto"/>
              </w:rPr>
              <w:t>option</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center"/>
              <w:ind w:right="56"/>
              <w:spacing w:after="0" w:line="102" w:lineRule="exact"/>
              <w:rPr>
                <w:sz w:val="20"/>
                <w:szCs w:val="20"/>
                <w:color w:val="auto"/>
              </w:rPr>
            </w:pPr>
            <w:r>
              <w:rPr>
                <w:rFonts w:ascii="Times New Roman" w:cs="Times New Roman" w:eastAsia="Times New Roman" w:hAnsi="Times New Roman"/>
                <w:sz w:val="10"/>
                <w:szCs w:val="10"/>
                <w:b w:val="1"/>
                <w:bCs w:val="1"/>
                <w:color w:val="auto"/>
              </w:rPr>
              <w:t>awards</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200"/>
              <w:spacing w:after="0" w:line="102" w:lineRule="exact"/>
              <w:rPr>
                <w:sz w:val="20"/>
                <w:szCs w:val="20"/>
                <w:color w:val="auto"/>
              </w:rPr>
            </w:pPr>
            <w:r>
              <w:rPr>
                <w:rFonts w:ascii="Times New Roman" w:cs="Times New Roman" w:eastAsia="Times New Roman" w:hAnsi="Times New Roman"/>
                <w:sz w:val="10"/>
                <w:szCs w:val="10"/>
                <w:b w:val="1"/>
                <w:bCs w:val="1"/>
                <w:color w:val="auto"/>
              </w:rPr>
              <w:t>awards</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b w:val="1"/>
                <w:bCs w:val="1"/>
                <w:color w:val="auto"/>
              </w:rPr>
              <w:t>Type of Award</w:t>
            </w:r>
          </w:p>
        </w:tc>
        <w:tc>
          <w:tcPr>
            <w:tcW w:w="120" w:type="dxa"/>
            <w:vAlign w:val="bottom"/>
          </w:tcPr>
          <w:p>
            <w:pPr>
              <w:spacing w:after="0"/>
              <w:rPr>
                <w:sz w:val="11"/>
                <w:szCs w:val="11"/>
                <w:color w:val="auto"/>
              </w:rPr>
            </w:pPr>
          </w:p>
        </w:tc>
        <w:tc>
          <w:tcPr>
            <w:tcW w:w="780" w:type="dxa"/>
            <w:vAlign w:val="bottom"/>
          </w:tcPr>
          <w:p>
            <w:pPr>
              <w:jc w:val="right"/>
              <w:ind w:right="198"/>
              <w:spacing w:after="0" w:line="135" w:lineRule="exact"/>
              <w:rPr>
                <w:sz w:val="20"/>
                <w:szCs w:val="20"/>
                <w:color w:val="auto"/>
              </w:rPr>
            </w:pPr>
            <w:r>
              <w:rPr>
                <w:rFonts w:ascii="Times New Roman" w:cs="Times New Roman" w:eastAsia="Times New Roman" w:hAnsi="Times New Roman"/>
                <w:sz w:val="13"/>
                <w:szCs w:val="13"/>
                <w:b w:val="1"/>
                <w:bCs w:val="1"/>
                <w:color w:val="auto"/>
              </w:rPr>
              <w:t>Date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333"/>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ind w:right="31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2"/>
          </w:tcPr>
          <w:p>
            <w:pPr>
              <w:jc w:val="center"/>
              <w:ind w:left="130"/>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060" w:type="dxa"/>
            <w:vAlign w:val="bottom"/>
            <w:gridSpan w:val="2"/>
          </w:tcPr>
          <w:p>
            <w:pPr>
              <w:jc w:val="center"/>
              <w:ind w:left="131"/>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56"/>
              <w:spacing w:after="0" w:line="135"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5"/>
                <w:szCs w:val="15"/>
                <w:b w:val="1"/>
                <w:bCs w:val="1"/>
                <w:color w:val="auto"/>
                <w:vertAlign w:val="superscript"/>
              </w:rPr>
              <w:t>(3)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vMerge w:val="restart"/>
          </w:tcPr>
          <w:p>
            <w:pPr>
              <w:spacing w:after="0" w:line="183" w:lineRule="exact"/>
              <w:rPr>
                <w:sz w:val="20"/>
                <w:szCs w:val="20"/>
                <w:color w:val="auto"/>
              </w:rPr>
            </w:pPr>
            <w:r>
              <w:rPr>
                <w:rFonts w:ascii="Times New Roman" w:cs="Times New Roman" w:eastAsia="Times New Roman" w:hAnsi="Times New Roman"/>
                <w:sz w:val="14"/>
                <w:szCs w:val="14"/>
                <w:color w:val="auto"/>
              </w:rPr>
              <w:t>2025 Annual Bonus</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9"/>
                <w:szCs w:val="19"/>
                <w:color w:val="auto"/>
                <w:vertAlign w:val="subscript"/>
              </w:rPr>
              <w:t>(2)</w:t>
            </w:r>
          </w:p>
        </w:tc>
        <w:tc>
          <w:tcPr>
            <w:tcW w:w="12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FCEABC"/>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Benjamin Kovler</w:t>
            </w:r>
          </w:p>
        </w:tc>
        <w:tc>
          <w:tcPr>
            <w:tcW w:w="12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3/18/2025</w:t>
            </w:r>
          </w:p>
        </w:tc>
        <w:tc>
          <w:tcPr>
            <w:tcW w:w="140" w:type="dxa"/>
            <w:vAlign w:val="bottom"/>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560,625</w:t>
            </w:r>
          </w:p>
        </w:tc>
        <w:tc>
          <w:tcPr>
            <w:tcW w:w="240" w:type="dxa"/>
            <w:vAlign w:val="bottom"/>
            <w:vMerge w:val="continue"/>
          </w:tcPr>
          <w:p>
            <w:pPr>
              <w:spacing w:after="0"/>
              <w:rPr>
                <w:sz w:val="11"/>
                <w:szCs w:val="11"/>
                <w:color w:val="auto"/>
              </w:rPr>
            </w:pPr>
          </w:p>
        </w:tc>
        <w:tc>
          <w:tcPr>
            <w:tcW w:w="180" w:type="dxa"/>
            <w:vAlign w:val="bottom"/>
          </w:tcPr>
          <w:p>
            <w:pPr>
              <w:jc w:val="right"/>
              <w:ind w:right="28"/>
              <w:spacing w:after="0" w:line="13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1,121,250</w:t>
            </w:r>
          </w:p>
        </w:tc>
        <w:tc>
          <w:tcPr>
            <w:tcW w:w="220" w:type="dxa"/>
            <w:vAlign w:val="bottom"/>
            <w:vMerge w:val="continue"/>
          </w:tcPr>
          <w:p>
            <w:pPr>
              <w:spacing w:after="0"/>
              <w:rPr>
                <w:sz w:val="11"/>
                <w:szCs w:val="11"/>
                <w:color w:val="auto"/>
              </w:rPr>
            </w:pP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2,242,500</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40" w:type="dxa"/>
            <w:vAlign w:val="bottom"/>
            <w:shd w:val="clear" w:color="auto" w:fill="FCEABC"/>
          </w:tcPr>
          <w:p>
            <w:pPr>
              <w:spacing w:after="0"/>
              <w:rPr>
                <w:sz w:val="11"/>
                <w:szCs w:val="11"/>
                <w:color w:val="auto"/>
              </w:rPr>
            </w:pPr>
          </w:p>
        </w:tc>
        <w:tc>
          <w:tcPr>
            <w:tcW w:w="120" w:type="dxa"/>
            <w:vAlign w:val="bottom"/>
            <w:shd w:val="clear" w:color="auto" w:fill="FCEABC"/>
          </w:tcPr>
          <w:p>
            <w:pPr>
              <w:spacing w:after="0"/>
              <w:rPr>
                <w:sz w:val="11"/>
                <w:szCs w:val="11"/>
                <w:color w:val="auto"/>
              </w:rPr>
            </w:pPr>
          </w:p>
        </w:tc>
        <w:tc>
          <w:tcPr>
            <w:tcW w:w="170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Stock Option Award</w:t>
            </w:r>
          </w:p>
        </w:tc>
        <w:tc>
          <w:tcPr>
            <w:tcW w:w="9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4/1/2025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94,339</w:t>
            </w:r>
          </w:p>
        </w:tc>
        <w:tc>
          <w:tcPr>
            <w:tcW w:w="3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5.74</w:t>
            </w:r>
          </w:p>
        </w:tc>
        <w:tc>
          <w:tcPr>
            <w:tcW w:w="3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180"/>
              <w:spacing w:after="0" w:line="129" w:lineRule="exact"/>
              <w:rPr>
                <w:sz w:val="20"/>
                <w:szCs w:val="20"/>
                <w:color w:val="auto"/>
              </w:rPr>
            </w:pPr>
            <w:r>
              <w:rPr>
                <w:rFonts w:ascii="Times New Roman" w:cs="Times New Roman" w:eastAsia="Times New Roman" w:hAnsi="Times New Roman"/>
                <w:sz w:val="14"/>
                <w:szCs w:val="14"/>
                <w:color w:val="auto"/>
              </w:rPr>
              <w:t>299,998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40" w:type="dxa"/>
            <w:vAlign w:val="bottom"/>
            <w:shd w:val="clear" w:color="auto" w:fill="FCEABC"/>
          </w:tcPr>
          <w:p>
            <w:pPr>
              <w:spacing w:after="0"/>
              <w:rPr>
                <w:sz w:val="15"/>
                <w:szCs w:val="15"/>
                <w:color w:val="auto"/>
              </w:rPr>
            </w:pPr>
          </w:p>
        </w:tc>
        <w:tc>
          <w:tcPr>
            <w:tcW w:w="120" w:type="dxa"/>
            <w:vAlign w:val="bottom"/>
            <w:shd w:val="clear" w:color="auto" w:fill="FCEABC"/>
          </w:tcPr>
          <w:p>
            <w:pPr>
              <w:spacing w:after="0"/>
              <w:rPr>
                <w:sz w:val="15"/>
                <w:szCs w:val="15"/>
                <w:color w:val="auto"/>
              </w:rPr>
            </w:pPr>
          </w:p>
        </w:tc>
        <w:tc>
          <w:tcPr>
            <w:tcW w:w="170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RSU Award</w:t>
            </w:r>
            <w:r>
              <w:rPr>
                <w:rFonts w:ascii="Times New Roman" w:cs="Times New Roman" w:eastAsia="Times New Roman" w:hAnsi="Times New Roman"/>
                <w:sz w:val="19"/>
                <w:szCs w:val="19"/>
                <w:color w:val="auto"/>
                <w:vertAlign w:val="superscript"/>
              </w:rPr>
              <w:t>(2)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52,264</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299,995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Anthony</w:t>
            </w:r>
          </w:p>
        </w:tc>
        <w:tc>
          <w:tcPr>
            <w:tcW w:w="1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2025 Annual Bonus</w:t>
            </w:r>
            <w:r>
              <w:rPr>
                <w:rFonts w:ascii="Times New Roman" w:cs="Times New Roman" w:eastAsia="Times New Roman" w:hAnsi="Times New Roman"/>
                <w:sz w:val="19"/>
                <w:szCs w:val="19"/>
                <w:color w:val="auto"/>
                <w:vertAlign w:val="superscript"/>
              </w:rPr>
              <w:t>(1)</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3/18/2025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540,000</w:t>
            </w:r>
          </w:p>
        </w:tc>
        <w:tc>
          <w:tcPr>
            <w:tcW w:w="4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1,080,000</w:t>
            </w:r>
          </w:p>
        </w:tc>
        <w:tc>
          <w:tcPr>
            <w:tcW w:w="500" w:type="dxa"/>
            <w:vAlign w:val="bottom"/>
            <w:gridSpan w:val="2"/>
            <w:vMerge w:val="restart"/>
          </w:tcPr>
          <w:p>
            <w:pPr>
              <w:jc w:val="right"/>
              <w:ind w:right="165"/>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2,160,000</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Georgiadis</w:t>
            </w:r>
          </w:p>
        </w:tc>
        <w:tc>
          <w:tcPr>
            <w:tcW w:w="18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97,996</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562,497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8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3"/>
                <w:szCs w:val="13"/>
                <w:color w:val="auto"/>
              </w:rPr>
              <w:t>RSU Award</w:t>
            </w:r>
            <w:r>
              <w:rPr>
                <w:rFonts w:ascii="Times New Roman" w:cs="Times New Roman" w:eastAsia="Times New Roman" w:hAnsi="Times New Roman"/>
                <w:sz w:val="17"/>
                <w:szCs w:val="17"/>
                <w:color w:val="auto"/>
                <w:vertAlign w:val="superscript"/>
              </w:rPr>
              <w:t>(2)</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18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3"/>
                <w:szCs w:val="13"/>
                <w:color w:val="auto"/>
              </w:rPr>
              <w:t>2025 Annual Bonus</w:t>
            </w:r>
            <w:r>
              <w:rPr>
                <w:rFonts w:ascii="Times New Roman" w:cs="Times New Roman" w:eastAsia="Times New Roman" w:hAnsi="Times New Roman"/>
                <w:sz w:val="17"/>
                <w:szCs w:val="17"/>
                <w:color w:val="auto"/>
                <w:vertAlign w:val="superscript"/>
              </w:rPr>
              <w:t>(1)</w:t>
            </w:r>
          </w:p>
        </w:tc>
        <w:tc>
          <w:tcPr>
            <w:tcW w:w="90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3/18/2025</w:t>
            </w:r>
          </w:p>
        </w:tc>
        <w:tc>
          <w:tcPr>
            <w:tcW w:w="22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color w:val="auto"/>
              </w:rPr>
              <w:t>189,750</w:t>
            </w:r>
          </w:p>
        </w:tc>
        <w:tc>
          <w:tcPr>
            <w:tcW w:w="420" w:type="dxa"/>
            <w:vAlign w:val="bottom"/>
            <w:gridSpan w:val="2"/>
            <w:vMerge w:val="restart"/>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379,500</w:t>
            </w:r>
          </w:p>
        </w:tc>
        <w:tc>
          <w:tcPr>
            <w:tcW w:w="500" w:type="dxa"/>
            <w:vAlign w:val="bottom"/>
            <w:gridSpan w:val="2"/>
            <w:vMerge w:val="restart"/>
          </w:tcPr>
          <w:p>
            <w:pPr>
              <w:jc w:val="right"/>
              <w:ind w:right="165"/>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759,000</w:t>
            </w: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140" w:type="dxa"/>
            <w:vAlign w:val="bottom"/>
            <w:shd w:val="clear" w:color="auto" w:fill="FCEABC"/>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Matt Faulkner</w:t>
            </w:r>
          </w:p>
        </w:tc>
        <w:tc>
          <w:tcPr>
            <w:tcW w:w="182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140" w:type="dxa"/>
            <w:vAlign w:val="bottom"/>
            <w:tcBorders>
              <w:bottom w:val="single" w:sz="8" w:color="FCEABC"/>
            </w:tcBorders>
            <w:shd w:val="clear" w:color="auto" w:fill="FCEABC"/>
          </w:tcPr>
          <w:p>
            <w:pPr>
              <w:spacing w:after="0"/>
              <w:rPr>
                <w:sz w:val="13"/>
                <w:szCs w:val="13"/>
                <w:color w:val="auto"/>
              </w:rPr>
            </w:pPr>
          </w:p>
        </w:tc>
        <w:tc>
          <w:tcPr>
            <w:tcW w:w="18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3"/>
                <w:szCs w:val="13"/>
                <w:color w:val="auto"/>
              </w:rPr>
              <w:t>RSU Award</w:t>
            </w:r>
            <w:r>
              <w:rPr>
                <w:rFonts w:ascii="Times New Roman" w:cs="Times New Roman" w:eastAsia="Times New Roman" w:hAnsi="Times New Roman"/>
                <w:sz w:val="17"/>
                <w:szCs w:val="17"/>
                <w:color w:val="auto"/>
                <w:vertAlign w:val="superscript"/>
              </w:rPr>
              <w:t>(2)</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4/1/2025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84,930</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487,498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Bret Kravitz</w:t>
            </w:r>
          </w:p>
        </w:tc>
        <w:tc>
          <w:tcPr>
            <w:tcW w:w="182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2"/>
                <w:szCs w:val="12"/>
                <w:color w:val="auto"/>
              </w:rPr>
              <w:t>2025 Annual Bonus</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6"/>
                <w:szCs w:val="16"/>
                <w:color w:val="auto"/>
                <w:vertAlign w:val="subscript"/>
              </w:rPr>
              <w:t>(2)</w:t>
            </w: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3/18/2025</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184,250</w:t>
            </w:r>
          </w:p>
        </w:tc>
        <w:tc>
          <w:tcPr>
            <w:tcW w:w="42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368,500</w:t>
            </w:r>
          </w:p>
        </w:tc>
        <w:tc>
          <w:tcPr>
            <w:tcW w:w="500" w:type="dxa"/>
            <w:vAlign w:val="bottom"/>
            <w:gridSpan w:val="2"/>
          </w:tcPr>
          <w:p>
            <w:pPr>
              <w:jc w:val="right"/>
              <w:ind w:right="165"/>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737,000</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70,754</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224,998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8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Stock Option Award</w:t>
            </w:r>
          </w:p>
        </w:tc>
        <w:tc>
          <w:tcPr>
            <w:tcW w:w="9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4/1/2025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1140" w:type="dxa"/>
            <w:vAlign w:val="bottom"/>
          </w:tcPr>
          <w:p>
            <w:pPr>
              <w:spacing w:after="0"/>
              <w:rPr>
                <w:sz w:val="21"/>
                <w:szCs w:val="21"/>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RSU Award</w:t>
            </w:r>
            <w:r>
              <w:rPr>
                <w:rFonts w:ascii="Times New Roman" w:cs="Times New Roman" w:eastAsia="Times New Roman" w:hAnsi="Times New Roman"/>
                <w:sz w:val="19"/>
                <w:szCs w:val="19"/>
                <w:color w:val="auto"/>
                <w:vertAlign w:val="superscript"/>
              </w:rPr>
              <w:t>(2)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4/1/2025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39,198</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224,997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-1094105</wp:posOffset>
            </wp:positionV>
            <wp:extent cx="7132320" cy="7632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76327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Notes</w:t>
      </w:r>
      <w:r>
        <w:rPr>
          <w:rFonts w:ascii="Times New Roman" w:cs="Times New Roman" w:eastAsia="Times New Roman" w:hAnsi="Times New Roman"/>
          <w:sz w:val="14"/>
          <w:szCs w:val="14"/>
          <w:b w:val="1"/>
          <w:bCs w:val="1"/>
          <w:color w:val="auto"/>
        </w:rPr>
        <w:t>:</w:t>
      </w:r>
    </w:p>
    <w:p>
      <w:pPr>
        <w:ind w:left="380" w:hanging="372"/>
        <w:spacing w:after="0" w:line="229" w:lineRule="auto"/>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2025 Annual Bonus as described under “Compensation Discussion and Analysis—Elements of Compensation—</w:t>
      </w:r>
      <w:r>
        <w:rPr>
          <w:rFonts w:ascii="Times New Roman" w:cs="Times New Roman" w:eastAsia="Times New Roman" w:hAnsi="Times New Roman"/>
          <w:sz w:val="14"/>
          <w:szCs w:val="14"/>
          <w:i w:val="1"/>
          <w:iCs w:val="1"/>
          <w:color w:val="auto"/>
        </w:rPr>
        <w:t>Short-Term Incentive Awards</w:t>
      </w:r>
      <w:r>
        <w:rPr>
          <w:rFonts w:ascii="Times New Roman" w:cs="Times New Roman" w:eastAsia="Times New Roman" w:hAnsi="Times New Roman"/>
          <w:sz w:val="14"/>
          <w:szCs w:val="14"/>
          <w:color w:val="auto"/>
        </w:rPr>
        <w:t>” above.</w:t>
      </w:r>
    </w:p>
    <w:p>
      <w:pPr>
        <w:ind w:left="380" w:right="60" w:hanging="372"/>
        <w:spacing w:after="0" w:line="221" w:lineRule="auto"/>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annual equity awards as described under “Compensation Discussion and Analysis—Elements of Compensation—</w:t>
      </w:r>
      <w:r>
        <w:rPr>
          <w:rFonts w:ascii="Times New Roman" w:cs="Times New Roman" w:eastAsia="Times New Roman" w:hAnsi="Times New Roman"/>
          <w:sz w:val="14"/>
          <w:szCs w:val="14"/>
          <w:i w:val="1"/>
          <w:iCs w:val="1"/>
          <w:color w:val="auto"/>
        </w:rPr>
        <w:t>Long-Term Equity Incentive Awards – 2025 Annual Awards</w:t>
      </w:r>
      <w:r>
        <w:rPr>
          <w:rFonts w:ascii="Times New Roman" w:cs="Times New Roman" w:eastAsia="Times New Roman" w:hAnsi="Times New Roman"/>
          <w:sz w:val="14"/>
          <w:szCs w:val="14"/>
          <w:color w:val="auto"/>
        </w:rPr>
        <w:t>” above.</w:t>
      </w:r>
    </w:p>
    <w:p>
      <w:pPr>
        <w:ind w:left="380" w:right="60" w:hanging="372"/>
        <w:spacing w:after="0"/>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grant date fair value of each 2025 equity award computed in accordance with ASC Topic 718, excluding the effect of estimated forfeitures. Assumptions made in computing the grant date fair value of these awards are described in Note 10—Share Capital in our consolidated financial statements included in the 2025 Form 10-K.</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Outstanding Equity Awards 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outstanding equity awards for the NEOs of the Company at fiscal 2025 year end.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220" w:type="dxa"/>
            <w:vAlign w:val="bottom"/>
          </w:tcPr>
          <w:p>
            <w:pPr>
              <w:spacing w:after="0"/>
              <w:rPr>
                <w:sz w:val="9"/>
                <w:szCs w:val="9"/>
                <w:color w:val="auto"/>
              </w:rPr>
            </w:pPr>
          </w:p>
        </w:tc>
        <w:tc>
          <w:tcPr>
            <w:tcW w:w="6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22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22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22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2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22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8"/>
              </w:rPr>
              <w:t>Value</w:t>
            </w:r>
          </w:p>
        </w:tc>
        <w:tc>
          <w:tcPr>
            <w:tcW w:w="2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22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or Payout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rPr>
              <w:t>of</w:t>
            </w:r>
          </w:p>
        </w:tc>
        <w:tc>
          <w:tcPr>
            <w:tcW w:w="2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22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Value of</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22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Units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2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22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rPr>
              <w:t>of</w:t>
            </w:r>
          </w:p>
        </w:tc>
        <w:tc>
          <w:tcPr>
            <w:tcW w:w="2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2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11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Rights</w:t>
            </w:r>
          </w:p>
        </w:tc>
        <w:tc>
          <w:tcPr>
            <w:tcW w:w="22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11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2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22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Rights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2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22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24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2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2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22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275"/>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2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2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22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0" w:type="dxa"/>
            <w:vAlign w:val="bottom"/>
          </w:tcPr>
          <w:p>
            <w:pPr>
              <w:spacing w:after="0"/>
              <w:rPr>
                <w:sz w:val="1"/>
                <w:szCs w:val="1"/>
                <w:color w:val="auto"/>
              </w:rPr>
            </w:pPr>
          </w:p>
        </w:tc>
      </w:tr>
      <w:tr>
        <w:trPr>
          <w:trHeight w:val="155"/>
        </w:trPr>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3"/>
                <w:szCs w:val="13"/>
                <w:color w:val="auto"/>
              </w:rPr>
            </w:pP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Exercisable</w:t>
            </w:r>
          </w:p>
        </w:tc>
        <w:tc>
          <w:tcPr>
            <w:tcW w:w="24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1040" w:type="dxa"/>
            <w:vAlign w:val="bottom"/>
            <w:gridSpan w:val="2"/>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4"/>
              </w:rPr>
              <w:t>(US$)</w:t>
            </w:r>
          </w:p>
        </w:tc>
        <w:tc>
          <w:tcPr>
            <w:tcW w:w="2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8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2"/>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40" w:type="dxa"/>
            <w:vAlign w:val="bottom"/>
            <w:gridSpan w:val="2"/>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20" w:type="dxa"/>
            <w:vAlign w:val="bottom"/>
            <w:gridSpan w:val="2"/>
            <w:shd w:val="clear" w:color="auto" w:fill="FCEABC"/>
          </w:tcPr>
          <w:p>
            <w:pPr>
              <w:spacing w:after="0" w:line="119" w:lineRule="exact"/>
              <w:rPr>
                <w:sz w:val="20"/>
                <w:szCs w:val="20"/>
                <w:color w:val="auto"/>
              </w:rPr>
            </w:pPr>
            <w:r>
              <w:rPr>
                <w:rFonts w:ascii="Times New Roman" w:cs="Times New Roman" w:eastAsia="Times New Roman" w:hAnsi="Times New Roman"/>
                <w:sz w:val="13"/>
                <w:szCs w:val="13"/>
                <w:color w:val="auto"/>
              </w:rPr>
              <w:t>Benjamin</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8/30/2018</w:t>
            </w:r>
            <w:r>
              <w:rPr>
                <w:rFonts w:ascii="Times New Roman" w:cs="Times New Roman" w:eastAsia="Times New Roman" w:hAnsi="Times New Roman"/>
                <w:sz w:val="19"/>
                <w:szCs w:val="19"/>
                <w:color w:val="auto"/>
                <w:vertAlign w:val="superscript"/>
              </w:rPr>
              <w:t>(1)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8/30/2028</w:t>
            </w: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0"/>
                <w:szCs w:val="10"/>
                <w:color w:val="auto"/>
              </w:rPr>
            </w:pPr>
          </w:p>
        </w:tc>
        <w:tc>
          <w:tcPr>
            <w:tcW w:w="7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920" w:type="dxa"/>
            <w:vAlign w:val="bottom"/>
            <w:gridSpan w:val="2"/>
            <w:shd w:val="clear" w:color="auto" w:fill="FCEABC"/>
          </w:tcPr>
          <w:p>
            <w:pPr>
              <w:spacing w:after="0" w:line="145" w:lineRule="exact"/>
              <w:rPr>
                <w:sz w:val="20"/>
                <w:szCs w:val="20"/>
                <w:color w:val="auto"/>
              </w:rPr>
            </w:pPr>
            <w:r>
              <w:rPr>
                <w:rFonts w:ascii="Times New Roman" w:cs="Times New Roman" w:eastAsia="Times New Roman" w:hAnsi="Times New Roman"/>
                <w:sz w:val="14"/>
                <w:szCs w:val="14"/>
                <w:color w:val="auto"/>
              </w:rPr>
              <w:t>Kovler</w:t>
            </w:r>
          </w:p>
        </w:tc>
        <w:tc>
          <w:tcPr>
            <w:tcW w:w="11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20" w:type="dxa"/>
            <w:vAlign w:val="bottom"/>
            <w:shd w:val="clear" w:color="auto" w:fill="FCEABC"/>
          </w:tcPr>
          <w:p>
            <w:pPr>
              <w:spacing w:after="0"/>
              <w:rPr>
                <w:sz w:val="2"/>
                <w:szCs w:val="2"/>
                <w:color w:val="auto"/>
              </w:rPr>
            </w:pPr>
          </w:p>
        </w:tc>
        <w:tc>
          <w:tcPr>
            <w:tcW w:w="600" w:type="dxa"/>
            <w:vAlign w:val="bottom"/>
            <w:shd w:val="clear" w:color="auto" w:fill="FCEABC"/>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4/1/2021</w:t>
            </w:r>
            <w:r>
              <w:rPr>
                <w:rFonts w:ascii="Times New Roman" w:cs="Times New Roman" w:eastAsia="Times New Roman" w:hAnsi="Times New Roman"/>
                <w:sz w:val="17"/>
                <w:szCs w:val="17"/>
                <w:color w:val="auto"/>
                <w:vertAlign w:val="superscript"/>
              </w:rPr>
              <w:t>(1)</w:t>
            </w:r>
          </w:p>
        </w:tc>
        <w:tc>
          <w:tcPr>
            <w:tcW w:w="108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34,153</w:t>
            </w:r>
          </w:p>
        </w:tc>
        <w:tc>
          <w:tcPr>
            <w:tcW w:w="24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7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spacing w:after="0"/>
              <w:rPr>
                <w:sz w:val="2"/>
                <w:szCs w:val="2"/>
                <w:color w:val="auto"/>
              </w:rPr>
            </w:pPr>
          </w:p>
        </w:tc>
        <w:tc>
          <w:tcPr>
            <w:tcW w:w="800" w:type="dxa"/>
            <w:vAlign w:val="bottom"/>
            <w:vMerge w:val="restart"/>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vMerge w:val="restart"/>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29.68</w:t>
            </w:r>
          </w:p>
        </w:tc>
        <w:tc>
          <w:tcPr>
            <w:tcW w:w="106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4/1/2026</w:t>
            </w:r>
          </w:p>
        </w:tc>
        <w:tc>
          <w:tcPr>
            <w:tcW w:w="220" w:type="dxa"/>
            <w:vAlign w:val="bottom"/>
            <w:vMerge w:val="restart"/>
          </w:tcPr>
          <w:p>
            <w:pPr>
              <w:spacing w:after="0"/>
              <w:rPr>
                <w:sz w:val="2"/>
                <w:szCs w:val="2"/>
                <w:color w:val="auto"/>
              </w:rPr>
            </w:pPr>
          </w:p>
        </w:tc>
        <w:tc>
          <w:tcPr>
            <w:tcW w:w="76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2"/>
                <w:szCs w:val="2"/>
                <w:color w:val="auto"/>
              </w:rPr>
            </w:pPr>
          </w:p>
        </w:tc>
        <w:tc>
          <w:tcPr>
            <w:tcW w:w="700" w:type="dxa"/>
            <w:vAlign w:val="bottom"/>
            <w:vMerge w:val="restart"/>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vMerge w:val="restart"/>
          </w:tcPr>
          <w:p>
            <w:pPr>
              <w:spacing w:after="0"/>
              <w:rPr>
                <w:sz w:val="2"/>
                <w:szCs w:val="2"/>
                <w:color w:val="auto"/>
              </w:rPr>
            </w:pPr>
          </w:p>
        </w:tc>
        <w:tc>
          <w:tcPr>
            <w:tcW w:w="720" w:type="dxa"/>
            <w:vAlign w:val="bottom"/>
            <w:gridSpan w:val="2"/>
            <w:vMerge w:val="restart"/>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2"/>
        </w:trPr>
        <w:tc>
          <w:tcPr>
            <w:tcW w:w="320" w:type="dxa"/>
            <w:vAlign w:val="bottom"/>
            <w:shd w:val="clear" w:color="auto" w:fill="FCEABC"/>
          </w:tcPr>
          <w:p>
            <w:pPr>
              <w:spacing w:after="0"/>
              <w:rPr>
                <w:sz w:val="10"/>
                <w:szCs w:val="10"/>
                <w:color w:val="auto"/>
              </w:rPr>
            </w:pPr>
          </w:p>
        </w:tc>
        <w:tc>
          <w:tcPr>
            <w:tcW w:w="600" w:type="dxa"/>
            <w:vAlign w:val="bottom"/>
            <w:shd w:val="clear" w:color="auto" w:fill="FCEABC"/>
          </w:tcPr>
          <w:p>
            <w:pPr>
              <w:spacing w:after="0"/>
              <w:rPr>
                <w:sz w:val="10"/>
                <w:szCs w:val="10"/>
                <w:color w:val="auto"/>
              </w:rPr>
            </w:pPr>
          </w:p>
        </w:tc>
        <w:tc>
          <w:tcPr>
            <w:tcW w:w="120" w:type="dxa"/>
            <w:vAlign w:val="bottom"/>
            <w:shd w:val="clear" w:color="auto" w:fill="FCEABC"/>
          </w:tcPr>
          <w:p>
            <w:pPr>
              <w:spacing w:after="0"/>
              <w:rPr>
                <w:sz w:val="10"/>
                <w:szCs w:val="10"/>
                <w:color w:val="auto"/>
              </w:rPr>
            </w:pPr>
          </w:p>
        </w:tc>
        <w:tc>
          <w:tcPr>
            <w:tcW w:w="100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 w:type="dxa"/>
            <w:vAlign w:val="bottom"/>
            <w:shd w:val="clear" w:color="auto" w:fill="FCEABC"/>
          </w:tcPr>
          <w:p>
            <w:pPr>
              <w:spacing w:after="0"/>
              <w:rPr>
                <w:sz w:val="12"/>
                <w:szCs w:val="12"/>
                <w:color w:val="auto"/>
              </w:rPr>
            </w:pPr>
          </w:p>
        </w:tc>
        <w:tc>
          <w:tcPr>
            <w:tcW w:w="600" w:type="dxa"/>
            <w:vAlign w:val="bottom"/>
            <w:shd w:val="clear" w:color="auto" w:fill="FCEABC"/>
          </w:tcPr>
          <w:p>
            <w:pPr>
              <w:spacing w:after="0"/>
              <w:rPr>
                <w:sz w:val="12"/>
                <w:szCs w:val="12"/>
                <w:color w:val="auto"/>
              </w:rPr>
            </w:pPr>
          </w:p>
        </w:tc>
        <w:tc>
          <w:tcPr>
            <w:tcW w:w="120" w:type="dxa"/>
            <w:vAlign w:val="bottom"/>
            <w:shd w:val="clear" w:color="auto" w:fill="FCEABC"/>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4/1/2022</w:t>
            </w:r>
            <w:r>
              <w:rPr>
                <w:rFonts w:ascii="Times New Roman" w:cs="Times New Roman" w:eastAsia="Times New Roman" w:hAnsi="Times New Roman"/>
                <w:sz w:val="17"/>
                <w:szCs w:val="17"/>
                <w:color w:val="auto"/>
                <w:vertAlign w:val="superscript"/>
              </w:rPr>
              <w:t>(1)</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88,265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4/1/2029</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320" w:type="dxa"/>
            <w:vAlign w:val="bottom"/>
            <w:shd w:val="clear" w:color="auto" w:fill="FCEABC"/>
          </w:tcPr>
          <w:p>
            <w:pPr>
              <w:spacing w:after="0"/>
              <w:rPr>
                <w:sz w:val="2"/>
                <w:szCs w:val="2"/>
                <w:color w:val="auto"/>
              </w:rPr>
            </w:pPr>
          </w:p>
        </w:tc>
        <w:tc>
          <w:tcPr>
            <w:tcW w:w="600" w:type="dxa"/>
            <w:vAlign w:val="bottom"/>
            <w:shd w:val="clear" w:color="auto" w:fill="FCEABC"/>
          </w:tcPr>
          <w:p>
            <w:pPr>
              <w:spacing w:after="0"/>
              <w:rPr>
                <w:sz w:val="2"/>
                <w:szCs w:val="2"/>
                <w:color w:val="auto"/>
              </w:rPr>
            </w:pPr>
          </w:p>
        </w:tc>
        <w:tc>
          <w:tcPr>
            <w:tcW w:w="120" w:type="dxa"/>
            <w:vAlign w:val="bottom"/>
            <w:vMerge w:val="restart"/>
            <w:shd w:val="clear" w:color="auto" w:fill="FCEABC"/>
          </w:tcPr>
          <w:p>
            <w:pPr>
              <w:spacing w:after="0"/>
              <w:rPr>
                <w:sz w:val="2"/>
                <w:szCs w:val="2"/>
                <w:color w:val="auto"/>
              </w:rPr>
            </w:pPr>
          </w:p>
        </w:tc>
        <w:tc>
          <w:tcPr>
            <w:tcW w:w="100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3"/>
                <w:szCs w:val="13"/>
                <w:color w:val="auto"/>
              </w:rPr>
              <w:t>7/1/2022</w:t>
            </w:r>
            <w:r>
              <w:rPr>
                <w:rFonts w:ascii="Times New Roman" w:cs="Times New Roman" w:eastAsia="Times New Roman" w:hAnsi="Times New Roman"/>
                <w:sz w:val="17"/>
                <w:szCs w:val="17"/>
                <w:color w:val="auto"/>
                <w:vertAlign w:val="superscript"/>
              </w:rPr>
              <w:t>(2)</w:t>
            </w: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320" w:type="dxa"/>
            <w:vAlign w:val="bottom"/>
            <w:shd w:val="clear" w:color="auto" w:fill="FCEABC"/>
          </w:tcPr>
          <w:p>
            <w:pPr>
              <w:spacing w:after="0"/>
              <w:rPr>
                <w:sz w:val="10"/>
                <w:szCs w:val="10"/>
                <w:color w:val="auto"/>
              </w:rPr>
            </w:pPr>
          </w:p>
        </w:tc>
        <w:tc>
          <w:tcPr>
            <w:tcW w:w="600" w:type="dxa"/>
            <w:vAlign w:val="bottom"/>
            <w:shd w:val="clear" w:color="auto" w:fill="FCEABC"/>
          </w:tcPr>
          <w:p>
            <w:pPr>
              <w:spacing w:after="0"/>
              <w:rPr>
                <w:sz w:val="10"/>
                <w:szCs w:val="10"/>
                <w:color w:val="auto"/>
              </w:rPr>
            </w:pPr>
          </w:p>
        </w:tc>
        <w:tc>
          <w:tcPr>
            <w:tcW w:w="120" w:type="dxa"/>
            <w:vAlign w:val="bottom"/>
            <w:vMerge w:val="continue"/>
            <w:shd w:val="clear" w:color="auto" w:fill="FCEABC"/>
          </w:tcPr>
          <w:p>
            <w:pPr>
              <w:spacing w:after="0"/>
              <w:rPr>
                <w:sz w:val="10"/>
                <w:szCs w:val="10"/>
                <w:color w:val="auto"/>
              </w:rPr>
            </w:pPr>
          </w:p>
        </w:tc>
        <w:tc>
          <w:tcPr>
            <w:tcW w:w="1000" w:type="dxa"/>
            <w:vAlign w:val="bottom"/>
            <w:vMerge w:val="continue"/>
          </w:tcPr>
          <w:p>
            <w:pPr>
              <w:spacing w:after="0"/>
              <w:rPr>
                <w:sz w:val="10"/>
                <w:szCs w:val="10"/>
                <w:color w:val="auto"/>
              </w:rPr>
            </w:pPr>
          </w:p>
        </w:tc>
        <w:tc>
          <w:tcPr>
            <w:tcW w:w="120" w:type="dxa"/>
            <w:vAlign w:val="bottom"/>
            <w:shd w:val="clear" w:color="auto" w:fill="FCEABC"/>
          </w:tcPr>
          <w:p>
            <w:pPr>
              <w:spacing w:after="0"/>
              <w:rPr>
                <w:sz w:val="10"/>
                <w:szCs w:val="10"/>
                <w:color w:val="auto"/>
              </w:rPr>
            </w:pPr>
          </w:p>
        </w:tc>
        <w:tc>
          <w:tcPr>
            <w:tcW w:w="960" w:type="dxa"/>
            <w:vAlign w:val="bottom"/>
            <w:shd w:val="clear" w:color="auto" w:fill="FCEABC"/>
          </w:tcPr>
          <w:p>
            <w:pPr>
              <w:jc w:val="right"/>
              <w:spacing w:after="0" w:line="122" w:lineRule="exact"/>
              <w:rPr>
                <w:sz w:val="20"/>
                <w:szCs w:val="20"/>
                <w:color w:val="auto"/>
              </w:rPr>
            </w:pPr>
            <w:r>
              <w:rPr>
                <w:rFonts w:ascii="Times New Roman" w:cs="Times New Roman" w:eastAsia="Times New Roman" w:hAnsi="Times New Roman"/>
                <w:sz w:val="14"/>
                <w:szCs w:val="14"/>
                <w:color w:val="auto"/>
              </w:rPr>
              <w:t>38,759</w:t>
            </w:r>
          </w:p>
        </w:tc>
        <w:tc>
          <w:tcPr>
            <w:tcW w:w="240" w:type="dxa"/>
            <w:vAlign w:val="bottom"/>
            <w:shd w:val="clear" w:color="auto" w:fill="FCEABC"/>
          </w:tcPr>
          <w:p>
            <w:pPr>
              <w:spacing w:after="0"/>
              <w:rPr>
                <w:sz w:val="10"/>
                <w:szCs w:val="10"/>
                <w:color w:val="auto"/>
              </w:rPr>
            </w:pPr>
          </w:p>
        </w:tc>
        <w:tc>
          <w:tcPr>
            <w:tcW w:w="140" w:type="dxa"/>
            <w:vAlign w:val="bottom"/>
            <w:shd w:val="clear" w:color="auto" w:fill="FCEABC"/>
          </w:tcPr>
          <w:p>
            <w:pPr>
              <w:spacing w:after="0"/>
              <w:rPr>
                <w:sz w:val="10"/>
                <w:szCs w:val="10"/>
                <w:color w:val="auto"/>
              </w:rPr>
            </w:pPr>
          </w:p>
        </w:tc>
        <w:tc>
          <w:tcPr>
            <w:tcW w:w="740" w:type="dxa"/>
            <w:vAlign w:val="bottom"/>
            <w:shd w:val="clear" w:color="auto" w:fill="FCEABC"/>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CEABC"/>
          </w:tcPr>
          <w:p>
            <w:pPr>
              <w:spacing w:after="0"/>
              <w:rPr>
                <w:sz w:val="10"/>
                <w:szCs w:val="10"/>
                <w:color w:val="auto"/>
              </w:rPr>
            </w:pPr>
          </w:p>
        </w:tc>
        <w:tc>
          <w:tcPr>
            <w:tcW w:w="800" w:type="dxa"/>
            <w:vAlign w:val="bottom"/>
            <w:shd w:val="clear" w:color="auto" w:fill="FCEABC"/>
          </w:tcPr>
          <w:p>
            <w:pPr>
              <w:ind w:left="640"/>
              <w:spacing w:after="0" w:line="122"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FCEABC"/>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FCEABC"/>
          </w:tcPr>
          <w:p>
            <w:pPr>
              <w:jc w:val="right"/>
              <w:spacing w:after="0" w:line="122" w:lineRule="exact"/>
              <w:rPr>
                <w:sz w:val="20"/>
                <w:szCs w:val="20"/>
                <w:color w:val="auto"/>
              </w:rPr>
            </w:pPr>
            <w:r>
              <w:rPr>
                <w:rFonts w:ascii="Times New Roman" w:cs="Times New Roman" w:eastAsia="Times New Roman" w:hAnsi="Times New Roman"/>
                <w:sz w:val="14"/>
                <w:szCs w:val="14"/>
                <w:color w:val="auto"/>
              </w:rPr>
              <w:t>7.98</w:t>
            </w:r>
          </w:p>
        </w:tc>
        <w:tc>
          <w:tcPr>
            <w:tcW w:w="1060" w:type="dxa"/>
            <w:vAlign w:val="bottom"/>
            <w:gridSpan w:val="2"/>
            <w:shd w:val="clear" w:color="auto" w:fill="FCEABC"/>
          </w:tcPr>
          <w:p>
            <w:pPr>
              <w:jc w:val="right"/>
              <w:spacing w:after="0" w:line="122" w:lineRule="exact"/>
              <w:rPr>
                <w:sz w:val="20"/>
                <w:szCs w:val="20"/>
                <w:color w:val="auto"/>
              </w:rPr>
            </w:pPr>
            <w:r>
              <w:rPr>
                <w:rFonts w:ascii="Times New Roman" w:cs="Times New Roman" w:eastAsia="Times New Roman" w:hAnsi="Times New Roman"/>
                <w:sz w:val="14"/>
                <w:szCs w:val="14"/>
                <w:color w:val="auto"/>
              </w:rPr>
              <w:t>7/1/2029</w:t>
            </w:r>
          </w:p>
        </w:tc>
        <w:tc>
          <w:tcPr>
            <w:tcW w:w="220" w:type="dxa"/>
            <w:vAlign w:val="bottom"/>
            <w:shd w:val="clear" w:color="auto" w:fill="FCEABC"/>
          </w:tcPr>
          <w:p>
            <w:pPr>
              <w:spacing w:after="0"/>
              <w:rPr>
                <w:sz w:val="10"/>
                <w:szCs w:val="10"/>
                <w:color w:val="auto"/>
              </w:rPr>
            </w:pPr>
          </w:p>
        </w:tc>
        <w:tc>
          <w:tcPr>
            <w:tcW w:w="760" w:type="dxa"/>
            <w:vAlign w:val="bottom"/>
            <w:shd w:val="clear" w:color="auto" w:fill="FCEABC"/>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FCEABC"/>
          </w:tcPr>
          <w:p>
            <w:pPr>
              <w:jc w:val="right"/>
              <w:ind w:righ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FCEABC"/>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FCEABC"/>
          </w:tcPr>
          <w:p>
            <w:pPr>
              <w:spacing w:after="0"/>
              <w:rPr>
                <w:sz w:val="10"/>
                <w:szCs w:val="10"/>
                <w:color w:val="auto"/>
              </w:rPr>
            </w:pPr>
          </w:p>
        </w:tc>
        <w:tc>
          <w:tcPr>
            <w:tcW w:w="700" w:type="dxa"/>
            <w:vAlign w:val="bottom"/>
            <w:shd w:val="clear" w:color="auto" w:fill="FCEABC"/>
          </w:tcPr>
          <w:p>
            <w:pPr>
              <w:ind w:left="540"/>
              <w:spacing w:after="0" w:line="122"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FCEABC"/>
          </w:tcPr>
          <w:p>
            <w:pPr>
              <w:spacing w:after="0"/>
              <w:rPr>
                <w:sz w:val="10"/>
                <w:szCs w:val="10"/>
                <w:color w:val="auto"/>
              </w:rPr>
            </w:pPr>
          </w:p>
        </w:tc>
        <w:tc>
          <w:tcPr>
            <w:tcW w:w="720" w:type="dxa"/>
            <w:vAlign w:val="bottom"/>
            <w:gridSpan w:val="2"/>
            <w:shd w:val="clear" w:color="auto" w:fill="FCEABC"/>
          </w:tcPr>
          <w:p>
            <w:pPr>
              <w:ind w:left="4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shd w:val="clear" w:color="auto" w:fill="FCEABC"/>
          </w:tcPr>
          <w:p>
            <w:pPr>
              <w:spacing w:after="0"/>
              <w:rPr>
                <w:sz w:val="12"/>
                <w:szCs w:val="12"/>
                <w:color w:val="auto"/>
              </w:rPr>
            </w:pPr>
          </w:p>
        </w:tc>
        <w:tc>
          <w:tcPr>
            <w:tcW w:w="600" w:type="dxa"/>
            <w:vAlign w:val="bottom"/>
            <w:shd w:val="clear" w:color="auto" w:fill="FCEABC"/>
          </w:tcPr>
          <w:p>
            <w:pPr>
              <w:spacing w:after="0"/>
              <w:rPr>
                <w:sz w:val="12"/>
                <w:szCs w:val="12"/>
                <w:color w:val="auto"/>
              </w:rPr>
            </w:pPr>
          </w:p>
        </w:tc>
        <w:tc>
          <w:tcPr>
            <w:tcW w:w="120" w:type="dxa"/>
            <w:vAlign w:val="bottom"/>
            <w:shd w:val="clear" w:color="auto" w:fill="FCEABC"/>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4/1/2023</w:t>
            </w:r>
            <w:r>
              <w:rPr>
                <w:rFonts w:ascii="Times New Roman" w:cs="Times New Roman" w:eastAsia="Times New Roman" w:hAnsi="Times New Roman"/>
                <w:sz w:val="17"/>
                <w:szCs w:val="17"/>
                <w:color w:val="auto"/>
                <w:vertAlign w:val="superscript"/>
              </w:rPr>
              <w:t>(3)</w:t>
            </w:r>
          </w:p>
        </w:tc>
        <w:tc>
          <w:tcPr>
            <w:tcW w:w="120" w:type="dxa"/>
            <w:vAlign w:val="bottom"/>
            <w:shd w:val="clear" w:color="auto" w:fill="FCEABC"/>
          </w:tcPr>
          <w:p>
            <w:pPr>
              <w:spacing w:after="0"/>
              <w:rPr>
                <w:sz w:val="12"/>
                <w:szCs w:val="12"/>
                <w:color w:val="auto"/>
              </w:rPr>
            </w:pPr>
          </w:p>
        </w:tc>
        <w:tc>
          <w:tcPr>
            <w:tcW w:w="9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CEABC"/>
          </w:tcPr>
          <w:p>
            <w:pPr>
              <w:spacing w:after="0"/>
              <w:rPr>
                <w:sz w:val="12"/>
                <w:szCs w:val="12"/>
                <w:color w:val="auto"/>
              </w:rPr>
            </w:pPr>
          </w:p>
        </w:tc>
        <w:tc>
          <w:tcPr>
            <w:tcW w:w="140" w:type="dxa"/>
            <w:vAlign w:val="bottom"/>
            <w:shd w:val="clear" w:color="auto" w:fill="FCEABC"/>
          </w:tcPr>
          <w:p>
            <w:pPr>
              <w:spacing w:after="0"/>
              <w:rPr>
                <w:sz w:val="12"/>
                <w:szCs w:val="12"/>
                <w:color w:val="auto"/>
              </w:rPr>
            </w:pPr>
          </w:p>
        </w:tc>
        <w:tc>
          <w:tcPr>
            <w:tcW w:w="7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CEABC"/>
          </w:tcPr>
          <w:p>
            <w:pPr>
              <w:spacing w:after="0"/>
              <w:rPr>
                <w:sz w:val="12"/>
                <w:szCs w:val="12"/>
                <w:color w:val="auto"/>
              </w:rPr>
            </w:pPr>
          </w:p>
        </w:tc>
        <w:tc>
          <w:tcPr>
            <w:tcW w:w="800" w:type="dxa"/>
            <w:vAlign w:val="bottom"/>
            <w:shd w:val="clear" w:color="auto" w:fill="FCEABC"/>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FCEAB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CEABC"/>
          </w:tcPr>
          <w:p>
            <w:pPr>
              <w:spacing w:after="0"/>
              <w:rPr>
                <w:sz w:val="12"/>
                <w:szCs w:val="12"/>
                <w:color w:val="auto"/>
              </w:rPr>
            </w:pPr>
          </w:p>
        </w:tc>
        <w:tc>
          <w:tcPr>
            <w:tcW w:w="8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7,466</w:t>
            </w:r>
          </w:p>
        </w:tc>
        <w:tc>
          <w:tcPr>
            <w:tcW w:w="360" w:type="dxa"/>
            <w:vAlign w:val="bottom"/>
            <w:gridSpan w:val="2"/>
            <w:shd w:val="clear" w:color="auto" w:fill="FCEAB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60,027</w:t>
            </w:r>
          </w:p>
        </w:tc>
        <w:tc>
          <w:tcPr>
            <w:tcW w:w="200" w:type="dxa"/>
            <w:vAlign w:val="bottom"/>
            <w:shd w:val="clear" w:color="auto" w:fill="FCEABC"/>
          </w:tcPr>
          <w:p>
            <w:pPr>
              <w:spacing w:after="0"/>
              <w:rPr>
                <w:sz w:val="12"/>
                <w:szCs w:val="12"/>
                <w:color w:val="auto"/>
              </w:rPr>
            </w:pPr>
          </w:p>
        </w:tc>
        <w:tc>
          <w:tcPr>
            <w:tcW w:w="700" w:type="dxa"/>
            <w:vAlign w:val="bottom"/>
            <w:shd w:val="clear" w:color="auto" w:fill="FCEAB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FCEABC"/>
          </w:tcPr>
          <w:p>
            <w:pPr>
              <w:spacing w:after="0"/>
              <w:rPr>
                <w:sz w:val="12"/>
                <w:szCs w:val="12"/>
                <w:color w:val="auto"/>
              </w:rPr>
            </w:pPr>
          </w:p>
        </w:tc>
        <w:tc>
          <w:tcPr>
            <w:tcW w:w="720" w:type="dxa"/>
            <w:vAlign w:val="bottom"/>
            <w:gridSpan w:val="2"/>
            <w:shd w:val="clear" w:color="auto" w:fill="FCEABC"/>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shd w:val="clear" w:color="auto" w:fill="FCEABC"/>
          </w:tcPr>
          <w:p>
            <w:pPr>
              <w:spacing w:after="0"/>
              <w:rPr>
                <w:sz w:val="12"/>
                <w:szCs w:val="12"/>
                <w:color w:val="auto"/>
              </w:rPr>
            </w:pPr>
          </w:p>
        </w:tc>
        <w:tc>
          <w:tcPr>
            <w:tcW w:w="600" w:type="dxa"/>
            <w:vAlign w:val="bottom"/>
            <w:shd w:val="clear" w:color="auto" w:fill="FCEABC"/>
          </w:tcPr>
          <w:p>
            <w:pPr>
              <w:spacing w:after="0"/>
              <w:rPr>
                <w:sz w:val="12"/>
                <w:szCs w:val="12"/>
                <w:color w:val="auto"/>
              </w:rPr>
            </w:pPr>
          </w:p>
        </w:tc>
        <w:tc>
          <w:tcPr>
            <w:tcW w:w="120" w:type="dxa"/>
            <w:vAlign w:val="bottom"/>
            <w:shd w:val="clear" w:color="auto" w:fill="FCEABC"/>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4/1/2023</w:t>
            </w:r>
            <w:r>
              <w:rPr>
                <w:rFonts w:ascii="Times New Roman" w:cs="Times New Roman" w:eastAsia="Times New Roman" w:hAnsi="Times New Roman"/>
                <w:sz w:val="17"/>
                <w:szCs w:val="17"/>
                <w:color w:val="auto"/>
                <w:vertAlign w:val="superscript"/>
              </w:rPr>
              <w:t>(1)</w:t>
            </w:r>
          </w:p>
        </w:tc>
        <w:tc>
          <w:tcPr>
            <w:tcW w:w="120" w:type="dxa"/>
            <w:vAlign w:val="bottom"/>
            <w:shd w:val="clear" w:color="auto" w:fill="FCEABC"/>
          </w:tcPr>
          <w:p>
            <w:pPr>
              <w:spacing w:after="0"/>
              <w:rPr>
                <w:sz w:val="12"/>
                <w:szCs w:val="12"/>
                <w:color w:val="auto"/>
              </w:rPr>
            </w:pPr>
          </w:p>
        </w:tc>
        <w:tc>
          <w:tcPr>
            <w:tcW w:w="9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111,110</w:t>
            </w:r>
          </w:p>
        </w:tc>
        <w:tc>
          <w:tcPr>
            <w:tcW w:w="1120" w:type="dxa"/>
            <w:vAlign w:val="bottom"/>
            <w:gridSpan w:val="3"/>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55,556</w:t>
            </w:r>
          </w:p>
        </w:tc>
        <w:tc>
          <w:tcPr>
            <w:tcW w:w="240" w:type="dxa"/>
            <w:vAlign w:val="bottom"/>
            <w:shd w:val="clear" w:color="auto" w:fill="FCEABC"/>
          </w:tcPr>
          <w:p>
            <w:pPr>
              <w:spacing w:after="0"/>
              <w:rPr>
                <w:sz w:val="12"/>
                <w:szCs w:val="12"/>
                <w:color w:val="auto"/>
              </w:rPr>
            </w:pPr>
          </w:p>
        </w:tc>
        <w:tc>
          <w:tcPr>
            <w:tcW w:w="800" w:type="dxa"/>
            <w:vAlign w:val="bottom"/>
            <w:shd w:val="clear" w:color="auto" w:fill="FCEABC"/>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FCEAB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7.59</w:t>
            </w:r>
          </w:p>
        </w:tc>
        <w:tc>
          <w:tcPr>
            <w:tcW w:w="1060" w:type="dxa"/>
            <w:vAlign w:val="bottom"/>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4/1/2030</w:t>
            </w:r>
          </w:p>
        </w:tc>
        <w:tc>
          <w:tcPr>
            <w:tcW w:w="220" w:type="dxa"/>
            <w:vAlign w:val="bottom"/>
            <w:shd w:val="clear" w:color="auto" w:fill="FCEABC"/>
          </w:tcPr>
          <w:p>
            <w:pPr>
              <w:spacing w:after="0"/>
              <w:rPr>
                <w:sz w:val="12"/>
                <w:szCs w:val="12"/>
                <w:color w:val="auto"/>
              </w:rPr>
            </w:pPr>
          </w:p>
        </w:tc>
        <w:tc>
          <w:tcPr>
            <w:tcW w:w="7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FCEAB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FCEABC"/>
          </w:tcPr>
          <w:p>
            <w:pPr>
              <w:spacing w:after="0"/>
              <w:rPr>
                <w:sz w:val="12"/>
                <w:szCs w:val="12"/>
                <w:color w:val="auto"/>
              </w:rPr>
            </w:pPr>
          </w:p>
        </w:tc>
        <w:tc>
          <w:tcPr>
            <w:tcW w:w="700" w:type="dxa"/>
            <w:vAlign w:val="bottom"/>
            <w:shd w:val="clear" w:color="auto" w:fill="FCEAB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FCEABC"/>
          </w:tcPr>
          <w:p>
            <w:pPr>
              <w:spacing w:after="0"/>
              <w:rPr>
                <w:sz w:val="12"/>
                <w:szCs w:val="12"/>
                <w:color w:val="auto"/>
              </w:rPr>
            </w:pPr>
          </w:p>
        </w:tc>
        <w:tc>
          <w:tcPr>
            <w:tcW w:w="720" w:type="dxa"/>
            <w:vAlign w:val="bottom"/>
            <w:gridSpan w:val="2"/>
            <w:shd w:val="clear" w:color="auto" w:fill="FCEABC"/>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FCEABC"/>
          </w:tcPr>
          <w:p>
            <w:pPr>
              <w:spacing w:after="0"/>
              <w:rPr>
                <w:sz w:val="12"/>
                <w:szCs w:val="12"/>
                <w:color w:val="auto"/>
              </w:rPr>
            </w:pPr>
          </w:p>
        </w:tc>
        <w:tc>
          <w:tcPr>
            <w:tcW w:w="600" w:type="dxa"/>
            <w:vAlign w:val="bottom"/>
            <w:shd w:val="clear" w:color="auto" w:fill="FCEABC"/>
          </w:tcPr>
          <w:p>
            <w:pPr>
              <w:spacing w:after="0"/>
              <w:rPr>
                <w:sz w:val="12"/>
                <w:szCs w:val="12"/>
                <w:color w:val="auto"/>
              </w:rPr>
            </w:pPr>
          </w:p>
        </w:tc>
        <w:tc>
          <w:tcPr>
            <w:tcW w:w="120" w:type="dxa"/>
            <w:vAlign w:val="bottom"/>
            <w:shd w:val="clear" w:color="auto" w:fill="FCEABC"/>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4/1/2024</w:t>
            </w:r>
            <w:r>
              <w:rPr>
                <w:rFonts w:ascii="Times New Roman" w:cs="Times New Roman" w:eastAsia="Times New Roman" w:hAnsi="Times New Roman"/>
                <w:sz w:val="17"/>
                <w:szCs w:val="17"/>
                <w:color w:val="auto"/>
                <w:vertAlign w:val="superscript"/>
              </w:rPr>
              <w:t>(3)</w:t>
            </w:r>
          </w:p>
        </w:tc>
        <w:tc>
          <w:tcPr>
            <w:tcW w:w="120" w:type="dxa"/>
            <w:vAlign w:val="bottom"/>
            <w:shd w:val="clear" w:color="auto" w:fill="FCEABC"/>
          </w:tcPr>
          <w:p>
            <w:pPr>
              <w:spacing w:after="0"/>
              <w:rPr>
                <w:sz w:val="12"/>
                <w:szCs w:val="12"/>
                <w:color w:val="auto"/>
              </w:rPr>
            </w:pPr>
          </w:p>
        </w:tc>
        <w:tc>
          <w:tcPr>
            <w:tcW w:w="9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CEABC"/>
          </w:tcPr>
          <w:p>
            <w:pPr>
              <w:spacing w:after="0"/>
              <w:rPr>
                <w:sz w:val="12"/>
                <w:szCs w:val="12"/>
                <w:color w:val="auto"/>
              </w:rPr>
            </w:pPr>
          </w:p>
        </w:tc>
        <w:tc>
          <w:tcPr>
            <w:tcW w:w="140" w:type="dxa"/>
            <w:vAlign w:val="bottom"/>
            <w:shd w:val="clear" w:color="auto" w:fill="FCEABC"/>
          </w:tcPr>
          <w:p>
            <w:pPr>
              <w:spacing w:after="0"/>
              <w:rPr>
                <w:sz w:val="12"/>
                <w:szCs w:val="12"/>
                <w:color w:val="auto"/>
              </w:rPr>
            </w:pPr>
          </w:p>
        </w:tc>
        <w:tc>
          <w:tcPr>
            <w:tcW w:w="7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CEABC"/>
          </w:tcPr>
          <w:p>
            <w:pPr>
              <w:spacing w:after="0"/>
              <w:rPr>
                <w:sz w:val="12"/>
                <w:szCs w:val="12"/>
                <w:color w:val="auto"/>
              </w:rPr>
            </w:pPr>
          </w:p>
        </w:tc>
        <w:tc>
          <w:tcPr>
            <w:tcW w:w="800" w:type="dxa"/>
            <w:vAlign w:val="bottom"/>
            <w:shd w:val="clear" w:color="auto" w:fill="FCEABC"/>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FCEAB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CEABC"/>
          </w:tcPr>
          <w:p>
            <w:pPr>
              <w:spacing w:after="0"/>
              <w:rPr>
                <w:sz w:val="12"/>
                <w:szCs w:val="12"/>
                <w:color w:val="auto"/>
              </w:rPr>
            </w:pPr>
          </w:p>
        </w:tc>
        <w:tc>
          <w:tcPr>
            <w:tcW w:w="8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7,131</w:t>
            </w:r>
          </w:p>
        </w:tc>
        <w:tc>
          <w:tcPr>
            <w:tcW w:w="360" w:type="dxa"/>
            <w:vAlign w:val="bottom"/>
            <w:gridSpan w:val="2"/>
            <w:shd w:val="clear" w:color="auto" w:fill="FCEAB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57,333</w:t>
            </w:r>
          </w:p>
        </w:tc>
        <w:tc>
          <w:tcPr>
            <w:tcW w:w="200" w:type="dxa"/>
            <w:vAlign w:val="bottom"/>
            <w:shd w:val="clear" w:color="auto" w:fill="FCEABC"/>
          </w:tcPr>
          <w:p>
            <w:pPr>
              <w:spacing w:after="0"/>
              <w:rPr>
                <w:sz w:val="12"/>
                <w:szCs w:val="12"/>
                <w:color w:val="auto"/>
              </w:rPr>
            </w:pPr>
          </w:p>
        </w:tc>
        <w:tc>
          <w:tcPr>
            <w:tcW w:w="700" w:type="dxa"/>
            <w:vAlign w:val="bottom"/>
            <w:shd w:val="clear" w:color="auto" w:fill="FCEAB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FCEABC"/>
          </w:tcPr>
          <w:p>
            <w:pPr>
              <w:spacing w:after="0"/>
              <w:rPr>
                <w:sz w:val="12"/>
                <w:szCs w:val="12"/>
                <w:color w:val="auto"/>
              </w:rPr>
            </w:pPr>
          </w:p>
        </w:tc>
        <w:tc>
          <w:tcPr>
            <w:tcW w:w="720" w:type="dxa"/>
            <w:vAlign w:val="bottom"/>
            <w:gridSpan w:val="2"/>
            <w:shd w:val="clear" w:color="auto" w:fill="FCEABC"/>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shd w:val="clear" w:color="auto" w:fill="FCEABC"/>
          </w:tcPr>
          <w:p>
            <w:pPr>
              <w:spacing w:after="0"/>
              <w:rPr>
                <w:sz w:val="12"/>
                <w:szCs w:val="12"/>
                <w:color w:val="auto"/>
              </w:rPr>
            </w:pPr>
          </w:p>
        </w:tc>
        <w:tc>
          <w:tcPr>
            <w:tcW w:w="600" w:type="dxa"/>
            <w:vAlign w:val="bottom"/>
            <w:shd w:val="clear" w:color="auto" w:fill="FCEABC"/>
          </w:tcPr>
          <w:p>
            <w:pPr>
              <w:spacing w:after="0"/>
              <w:rPr>
                <w:sz w:val="12"/>
                <w:szCs w:val="12"/>
                <w:color w:val="auto"/>
              </w:rPr>
            </w:pPr>
          </w:p>
        </w:tc>
        <w:tc>
          <w:tcPr>
            <w:tcW w:w="120" w:type="dxa"/>
            <w:vAlign w:val="bottom"/>
            <w:shd w:val="clear" w:color="auto" w:fill="FCEABC"/>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4/1/2024</w:t>
            </w:r>
            <w:r>
              <w:rPr>
                <w:rFonts w:ascii="Times New Roman" w:cs="Times New Roman" w:eastAsia="Times New Roman" w:hAnsi="Times New Roman"/>
                <w:sz w:val="17"/>
                <w:szCs w:val="17"/>
                <w:color w:val="auto"/>
                <w:vertAlign w:val="superscript"/>
              </w:rPr>
              <w:t>(1)</w:t>
            </w:r>
          </w:p>
        </w:tc>
        <w:tc>
          <w:tcPr>
            <w:tcW w:w="120" w:type="dxa"/>
            <w:vAlign w:val="bottom"/>
            <w:shd w:val="clear" w:color="auto" w:fill="FCEABC"/>
          </w:tcPr>
          <w:p>
            <w:pPr>
              <w:spacing w:after="0"/>
              <w:rPr>
                <w:sz w:val="12"/>
                <w:szCs w:val="12"/>
                <w:color w:val="auto"/>
              </w:rPr>
            </w:pPr>
          </w:p>
        </w:tc>
        <w:tc>
          <w:tcPr>
            <w:tcW w:w="9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26,967</w:t>
            </w:r>
          </w:p>
        </w:tc>
        <w:tc>
          <w:tcPr>
            <w:tcW w:w="240" w:type="dxa"/>
            <w:vAlign w:val="bottom"/>
            <w:shd w:val="clear" w:color="auto" w:fill="FCEABC"/>
          </w:tcPr>
          <w:p>
            <w:pPr>
              <w:spacing w:after="0"/>
              <w:rPr>
                <w:sz w:val="12"/>
                <w:szCs w:val="12"/>
                <w:color w:val="auto"/>
              </w:rPr>
            </w:pPr>
          </w:p>
        </w:tc>
        <w:tc>
          <w:tcPr>
            <w:tcW w:w="880" w:type="dxa"/>
            <w:vAlign w:val="bottom"/>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53,934</w:t>
            </w:r>
          </w:p>
        </w:tc>
        <w:tc>
          <w:tcPr>
            <w:tcW w:w="240" w:type="dxa"/>
            <w:vAlign w:val="bottom"/>
            <w:shd w:val="clear" w:color="auto" w:fill="FCEABC"/>
          </w:tcPr>
          <w:p>
            <w:pPr>
              <w:spacing w:after="0"/>
              <w:rPr>
                <w:sz w:val="12"/>
                <w:szCs w:val="12"/>
                <w:color w:val="auto"/>
              </w:rPr>
            </w:pPr>
          </w:p>
        </w:tc>
        <w:tc>
          <w:tcPr>
            <w:tcW w:w="800" w:type="dxa"/>
            <w:vAlign w:val="bottom"/>
            <w:shd w:val="clear" w:color="auto" w:fill="FCEABC"/>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FCEAB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w:t>
            </w:r>
          </w:p>
        </w:tc>
        <w:tc>
          <w:tcPr>
            <w:tcW w:w="1060" w:type="dxa"/>
            <w:vAlign w:val="bottom"/>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4/1/2031</w:t>
            </w:r>
          </w:p>
        </w:tc>
        <w:tc>
          <w:tcPr>
            <w:tcW w:w="220" w:type="dxa"/>
            <w:vAlign w:val="bottom"/>
            <w:shd w:val="clear" w:color="auto" w:fill="FCEABC"/>
          </w:tcPr>
          <w:p>
            <w:pPr>
              <w:spacing w:after="0"/>
              <w:rPr>
                <w:sz w:val="12"/>
                <w:szCs w:val="12"/>
                <w:color w:val="auto"/>
              </w:rPr>
            </w:pPr>
          </w:p>
        </w:tc>
        <w:tc>
          <w:tcPr>
            <w:tcW w:w="7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FCEAB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FCEABC"/>
          </w:tcPr>
          <w:p>
            <w:pPr>
              <w:spacing w:after="0"/>
              <w:rPr>
                <w:sz w:val="12"/>
                <w:szCs w:val="12"/>
                <w:color w:val="auto"/>
              </w:rPr>
            </w:pPr>
          </w:p>
        </w:tc>
        <w:tc>
          <w:tcPr>
            <w:tcW w:w="700" w:type="dxa"/>
            <w:vAlign w:val="bottom"/>
            <w:shd w:val="clear" w:color="auto" w:fill="FCEAB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FCEABC"/>
          </w:tcPr>
          <w:p>
            <w:pPr>
              <w:spacing w:after="0"/>
              <w:rPr>
                <w:sz w:val="12"/>
                <w:szCs w:val="12"/>
                <w:color w:val="auto"/>
              </w:rPr>
            </w:pPr>
          </w:p>
        </w:tc>
        <w:tc>
          <w:tcPr>
            <w:tcW w:w="720" w:type="dxa"/>
            <w:vAlign w:val="bottom"/>
            <w:gridSpan w:val="2"/>
            <w:shd w:val="clear" w:color="auto" w:fill="FCEABC"/>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shd w:val="clear" w:color="auto" w:fill="FCEABC"/>
          </w:tcPr>
          <w:p>
            <w:pPr>
              <w:spacing w:after="0"/>
              <w:rPr>
                <w:sz w:val="12"/>
                <w:szCs w:val="12"/>
                <w:color w:val="auto"/>
              </w:rPr>
            </w:pPr>
          </w:p>
        </w:tc>
        <w:tc>
          <w:tcPr>
            <w:tcW w:w="600" w:type="dxa"/>
            <w:vAlign w:val="bottom"/>
            <w:shd w:val="clear" w:color="auto" w:fill="FCEABC"/>
          </w:tcPr>
          <w:p>
            <w:pPr>
              <w:spacing w:after="0"/>
              <w:rPr>
                <w:sz w:val="12"/>
                <w:szCs w:val="12"/>
                <w:color w:val="auto"/>
              </w:rPr>
            </w:pPr>
          </w:p>
        </w:tc>
        <w:tc>
          <w:tcPr>
            <w:tcW w:w="120" w:type="dxa"/>
            <w:vAlign w:val="bottom"/>
            <w:shd w:val="clear" w:color="auto" w:fill="FCEABC"/>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11/1/2024</w:t>
            </w:r>
            <w:r>
              <w:rPr>
                <w:rFonts w:ascii="Times New Roman" w:cs="Times New Roman" w:eastAsia="Times New Roman" w:hAnsi="Times New Roman"/>
                <w:sz w:val="17"/>
                <w:szCs w:val="17"/>
                <w:color w:val="auto"/>
                <w:vertAlign w:val="superscript"/>
              </w:rPr>
              <w:t>(3)</w:t>
            </w:r>
          </w:p>
        </w:tc>
        <w:tc>
          <w:tcPr>
            <w:tcW w:w="120" w:type="dxa"/>
            <w:vAlign w:val="bottom"/>
            <w:shd w:val="clear" w:color="auto" w:fill="FCEABC"/>
          </w:tcPr>
          <w:p>
            <w:pPr>
              <w:spacing w:after="0"/>
              <w:rPr>
                <w:sz w:val="12"/>
                <w:szCs w:val="12"/>
                <w:color w:val="auto"/>
              </w:rPr>
            </w:pPr>
          </w:p>
        </w:tc>
        <w:tc>
          <w:tcPr>
            <w:tcW w:w="9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CEABC"/>
          </w:tcPr>
          <w:p>
            <w:pPr>
              <w:spacing w:after="0"/>
              <w:rPr>
                <w:sz w:val="12"/>
                <w:szCs w:val="12"/>
                <w:color w:val="auto"/>
              </w:rPr>
            </w:pPr>
          </w:p>
        </w:tc>
        <w:tc>
          <w:tcPr>
            <w:tcW w:w="140" w:type="dxa"/>
            <w:vAlign w:val="bottom"/>
            <w:shd w:val="clear" w:color="auto" w:fill="FCEABC"/>
          </w:tcPr>
          <w:p>
            <w:pPr>
              <w:spacing w:after="0"/>
              <w:rPr>
                <w:sz w:val="12"/>
                <w:szCs w:val="12"/>
                <w:color w:val="auto"/>
              </w:rPr>
            </w:pPr>
          </w:p>
        </w:tc>
        <w:tc>
          <w:tcPr>
            <w:tcW w:w="7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CEABC"/>
          </w:tcPr>
          <w:p>
            <w:pPr>
              <w:spacing w:after="0"/>
              <w:rPr>
                <w:sz w:val="12"/>
                <w:szCs w:val="12"/>
                <w:color w:val="auto"/>
              </w:rPr>
            </w:pPr>
          </w:p>
        </w:tc>
        <w:tc>
          <w:tcPr>
            <w:tcW w:w="800" w:type="dxa"/>
            <w:vAlign w:val="bottom"/>
            <w:shd w:val="clear" w:color="auto" w:fill="FCEABC"/>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FCEAB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CEABC"/>
          </w:tcPr>
          <w:p>
            <w:pPr>
              <w:spacing w:after="0"/>
              <w:rPr>
                <w:sz w:val="12"/>
                <w:szCs w:val="12"/>
                <w:color w:val="auto"/>
              </w:rPr>
            </w:pPr>
          </w:p>
        </w:tc>
        <w:tc>
          <w:tcPr>
            <w:tcW w:w="8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360" w:type="dxa"/>
            <w:vAlign w:val="bottom"/>
            <w:gridSpan w:val="2"/>
            <w:shd w:val="clear" w:color="auto" w:fill="FCEAB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4,020,000</w:t>
            </w:r>
          </w:p>
        </w:tc>
        <w:tc>
          <w:tcPr>
            <w:tcW w:w="200" w:type="dxa"/>
            <w:vAlign w:val="bottom"/>
            <w:shd w:val="clear" w:color="auto" w:fill="FCEABC"/>
          </w:tcPr>
          <w:p>
            <w:pPr>
              <w:spacing w:after="0"/>
              <w:rPr>
                <w:sz w:val="12"/>
                <w:szCs w:val="12"/>
                <w:color w:val="auto"/>
              </w:rPr>
            </w:pPr>
          </w:p>
        </w:tc>
        <w:tc>
          <w:tcPr>
            <w:tcW w:w="700" w:type="dxa"/>
            <w:vAlign w:val="bottom"/>
            <w:shd w:val="clear" w:color="auto" w:fill="FCEAB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FCEABC"/>
          </w:tcPr>
          <w:p>
            <w:pPr>
              <w:spacing w:after="0"/>
              <w:rPr>
                <w:sz w:val="12"/>
                <w:szCs w:val="12"/>
                <w:color w:val="auto"/>
              </w:rPr>
            </w:pPr>
          </w:p>
        </w:tc>
        <w:tc>
          <w:tcPr>
            <w:tcW w:w="720" w:type="dxa"/>
            <w:vAlign w:val="bottom"/>
            <w:gridSpan w:val="2"/>
            <w:shd w:val="clear" w:color="auto" w:fill="FCEABC"/>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20" w:type="dxa"/>
            <w:vAlign w:val="bottom"/>
            <w:shd w:val="clear" w:color="auto" w:fill="FCEABC"/>
          </w:tcPr>
          <w:p>
            <w:pPr>
              <w:spacing w:after="0"/>
              <w:rPr>
                <w:sz w:val="15"/>
                <w:szCs w:val="15"/>
                <w:color w:val="auto"/>
              </w:rPr>
            </w:pPr>
          </w:p>
        </w:tc>
        <w:tc>
          <w:tcPr>
            <w:tcW w:w="600" w:type="dxa"/>
            <w:vAlign w:val="bottom"/>
            <w:shd w:val="clear" w:color="auto" w:fill="FCEABC"/>
          </w:tcPr>
          <w:p>
            <w:pPr>
              <w:spacing w:after="0"/>
              <w:rPr>
                <w:sz w:val="15"/>
                <w:szCs w:val="15"/>
                <w:color w:val="auto"/>
              </w:rPr>
            </w:pPr>
          </w:p>
        </w:tc>
        <w:tc>
          <w:tcPr>
            <w:tcW w:w="120" w:type="dxa"/>
            <w:vAlign w:val="bottom"/>
            <w:shd w:val="clear" w:color="auto" w:fill="FCEABC"/>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4"/>
                <w:szCs w:val="14"/>
                <w:color w:val="auto"/>
              </w:rPr>
              <w:t>4/1/2025</w:t>
            </w:r>
            <w:r>
              <w:rPr>
                <w:rFonts w:ascii="Times New Roman" w:cs="Times New Roman" w:eastAsia="Times New Roman" w:hAnsi="Times New Roman"/>
                <w:sz w:val="19"/>
                <w:szCs w:val="19"/>
                <w:color w:val="auto"/>
                <w:vertAlign w:val="superscript"/>
              </w:rPr>
              <w:t>(1)</w:t>
            </w:r>
          </w:p>
        </w:tc>
        <w:tc>
          <w:tcPr>
            <w:tcW w:w="120" w:type="dxa"/>
            <w:vAlign w:val="bottom"/>
            <w:shd w:val="clear" w:color="auto" w:fill="FCEABC"/>
          </w:tcPr>
          <w:p>
            <w:pPr>
              <w:spacing w:after="0"/>
              <w:rPr>
                <w:sz w:val="15"/>
                <w:szCs w:val="15"/>
                <w:color w:val="auto"/>
              </w:rPr>
            </w:pPr>
          </w:p>
        </w:tc>
        <w:tc>
          <w:tcPr>
            <w:tcW w:w="96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CEABC"/>
          </w:tcPr>
          <w:p>
            <w:pPr>
              <w:spacing w:after="0"/>
              <w:rPr>
                <w:sz w:val="15"/>
                <w:szCs w:val="15"/>
                <w:color w:val="auto"/>
              </w:rPr>
            </w:pPr>
          </w:p>
        </w:tc>
        <w:tc>
          <w:tcPr>
            <w:tcW w:w="140" w:type="dxa"/>
            <w:vAlign w:val="bottom"/>
            <w:shd w:val="clear" w:color="auto" w:fill="FCEABC"/>
          </w:tcPr>
          <w:p>
            <w:pPr>
              <w:spacing w:after="0"/>
              <w:rPr>
                <w:sz w:val="15"/>
                <w:szCs w:val="15"/>
                <w:color w:val="auto"/>
              </w:rPr>
            </w:pPr>
          </w:p>
        </w:tc>
        <w:tc>
          <w:tcPr>
            <w:tcW w:w="7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94,339</w:t>
            </w:r>
          </w:p>
        </w:tc>
        <w:tc>
          <w:tcPr>
            <w:tcW w:w="240" w:type="dxa"/>
            <w:vAlign w:val="bottom"/>
            <w:shd w:val="clear" w:color="auto" w:fill="FCEABC"/>
          </w:tcPr>
          <w:p>
            <w:pPr>
              <w:spacing w:after="0"/>
              <w:rPr>
                <w:sz w:val="15"/>
                <w:szCs w:val="15"/>
                <w:color w:val="auto"/>
              </w:rPr>
            </w:pPr>
          </w:p>
        </w:tc>
        <w:tc>
          <w:tcPr>
            <w:tcW w:w="800" w:type="dxa"/>
            <w:vAlign w:val="bottom"/>
            <w:shd w:val="clear" w:color="auto" w:fill="FCEABC"/>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FCEAB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6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4/1/2032</w:t>
            </w:r>
          </w:p>
        </w:tc>
        <w:tc>
          <w:tcPr>
            <w:tcW w:w="98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52,264</w:t>
            </w:r>
          </w:p>
        </w:tc>
        <w:tc>
          <w:tcPr>
            <w:tcW w:w="36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4"/>
                <w:szCs w:val="14"/>
                <w:color w:val="auto"/>
              </w:rPr>
              <w:t>420,014</w:t>
            </w:r>
          </w:p>
        </w:tc>
        <w:tc>
          <w:tcPr>
            <w:tcW w:w="200" w:type="dxa"/>
            <w:vAlign w:val="bottom"/>
            <w:shd w:val="clear" w:color="auto" w:fill="FCEABC"/>
          </w:tcPr>
          <w:p>
            <w:pPr>
              <w:spacing w:after="0"/>
              <w:rPr>
                <w:sz w:val="15"/>
                <w:szCs w:val="15"/>
                <w:color w:val="auto"/>
              </w:rPr>
            </w:pPr>
          </w:p>
        </w:tc>
        <w:tc>
          <w:tcPr>
            <w:tcW w:w="700" w:type="dxa"/>
            <w:vAlign w:val="bottom"/>
            <w:shd w:val="clear" w:color="auto" w:fill="FCEABC"/>
          </w:tcPr>
          <w:p>
            <w:pPr>
              <w:ind w:left="5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FCEABC"/>
          </w:tcPr>
          <w:p>
            <w:pPr>
              <w:spacing w:after="0"/>
              <w:rPr>
                <w:sz w:val="15"/>
                <w:szCs w:val="15"/>
                <w:color w:val="auto"/>
              </w:rPr>
            </w:pPr>
          </w:p>
        </w:tc>
        <w:tc>
          <w:tcPr>
            <w:tcW w:w="720" w:type="dxa"/>
            <w:vAlign w:val="bottom"/>
            <w:gridSpan w:val="2"/>
            <w:shd w:val="clear" w:color="auto" w:fill="FCEABC"/>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9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Anthony</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8/30/2018</w:t>
            </w:r>
            <w:r>
              <w:rPr>
                <w:rFonts w:ascii="Times New Roman" w:cs="Times New Roman" w:eastAsia="Times New Roman" w:hAnsi="Times New Roman"/>
                <w:sz w:val="19"/>
                <w:szCs w:val="19"/>
                <w:color w:val="auto"/>
                <w:vertAlign w:val="superscript"/>
              </w:rPr>
              <w:t>(1)</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8/30/2028</w:t>
            </w: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0"/>
                <w:szCs w:val="10"/>
                <w:color w:val="auto"/>
              </w:rPr>
            </w:pPr>
          </w:p>
        </w:tc>
        <w:tc>
          <w:tcPr>
            <w:tcW w:w="7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9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Georgiadis</w:t>
            </w:r>
          </w:p>
        </w:tc>
        <w:tc>
          <w:tcPr>
            <w:tcW w:w="11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4/1/2021</w:t>
            </w:r>
            <w:r>
              <w:rPr>
                <w:rFonts w:ascii="Times New Roman" w:cs="Times New Roman" w:eastAsia="Times New Roman" w:hAnsi="Times New Roman"/>
                <w:sz w:val="17"/>
                <w:szCs w:val="17"/>
                <w:color w:val="auto"/>
                <w:vertAlign w:val="superscript"/>
              </w:rPr>
              <w:t>(1)</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23,907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29.68</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4/1/2026</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4/1/2022</w:t>
            </w:r>
            <w:r>
              <w:rPr>
                <w:rFonts w:ascii="Times New Roman" w:cs="Times New Roman" w:eastAsia="Times New Roman" w:hAnsi="Times New Roman"/>
                <w:sz w:val="17"/>
                <w:szCs w:val="17"/>
                <w:color w:val="auto"/>
                <w:vertAlign w:val="superscript"/>
              </w:rPr>
              <w:t>(3)</w:t>
            </w: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4/1/2022</w:t>
            </w:r>
            <w:r>
              <w:rPr>
                <w:rFonts w:ascii="Times New Roman" w:cs="Times New Roman" w:eastAsia="Times New Roman" w:hAnsi="Times New Roman"/>
                <w:sz w:val="17"/>
                <w:szCs w:val="17"/>
                <w:color w:val="auto"/>
                <w:vertAlign w:val="superscript"/>
              </w:rPr>
              <w:t>(1)</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31,152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4/1/2029</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7/1/2022</w:t>
            </w:r>
            <w:r>
              <w:rPr>
                <w:rFonts w:ascii="Times New Roman" w:cs="Times New Roman" w:eastAsia="Times New Roman" w:hAnsi="Times New Roman"/>
                <w:sz w:val="17"/>
                <w:szCs w:val="17"/>
                <w:color w:val="auto"/>
                <w:vertAlign w:val="superscript"/>
              </w:rPr>
              <w:t>(2)</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38,759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7/1/2029</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9/1/2022</w:t>
            </w:r>
            <w:r>
              <w:rPr>
                <w:rFonts w:ascii="Times New Roman" w:cs="Times New Roman" w:eastAsia="Times New Roman" w:hAnsi="Times New Roman"/>
                <w:sz w:val="17"/>
                <w:szCs w:val="17"/>
                <w:color w:val="auto"/>
                <w:vertAlign w:val="superscript"/>
              </w:rPr>
              <w:t>(1)</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76,219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9/1/2029</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4/1/2023</w:t>
            </w:r>
            <w:r>
              <w:rPr>
                <w:rFonts w:ascii="Times New Roman" w:cs="Times New Roman" w:eastAsia="Times New Roman" w:hAnsi="Times New Roman"/>
                <w:sz w:val="17"/>
                <w:szCs w:val="17"/>
                <w:color w:val="auto"/>
                <w:vertAlign w:val="superscript"/>
              </w:rPr>
              <w:t>(3)</w:t>
            </w: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16,469</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132,411</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4/1/2023</w:t>
            </w:r>
            <w:r>
              <w:rPr>
                <w:rFonts w:ascii="Times New Roman" w:cs="Times New Roman" w:eastAsia="Times New Roman" w:hAnsi="Times New Roman"/>
                <w:sz w:val="17"/>
                <w:szCs w:val="17"/>
                <w:color w:val="auto"/>
                <w:vertAlign w:val="superscript"/>
              </w:rPr>
              <w:t>(1)</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61,274</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30,637</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7.59</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4/1/2030</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4/1/2024</w:t>
            </w:r>
            <w:r>
              <w:rPr>
                <w:rFonts w:ascii="Times New Roman" w:cs="Times New Roman" w:eastAsia="Times New Roman" w:hAnsi="Times New Roman"/>
                <w:sz w:val="17"/>
                <w:szCs w:val="17"/>
                <w:color w:val="auto"/>
                <w:vertAlign w:val="superscript"/>
              </w:rPr>
              <w:t>(1)</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31,602</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63,214</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4/1/2031</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11/1/2024</w:t>
            </w:r>
            <w:r>
              <w:rPr>
                <w:rFonts w:ascii="Times New Roman" w:cs="Times New Roman" w:eastAsia="Times New Roman" w:hAnsi="Times New Roman"/>
                <w:sz w:val="17"/>
                <w:szCs w:val="17"/>
                <w:color w:val="auto"/>
                <w:vertAlign w:val="superscript"/>
              </w:rPr>
              <w:t>(3)</w:t>
            </w: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4,020,000</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4/1/2025</w:t>
            </w:r>
            <w:r>
              <w:rPr>
                <w:rFonts w:ascii="Times New Roman" w:cs="Times New Roman" w:eastAsia="Times New Roman" w:hAnsi="Times New Roman"/>
                <w:sz w:val="17"/>
                <w:szCs w:val="17"/>
                <w:color w:val="auto"/>
                <w:vertAlign w:val="superscript"/>
              </w:rPr>
              <w:t>(3)</w:t>
            </w: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97,996</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787,535</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4/1/2021</w:t>
            </w:r>
            <w:r>
              <w:rPr>
                <w:rFonts w:ascii="Times New Roman" w:cs="Times New Roman" w:eastAsia="Times New Roman" w:hAnsi="Times New Roman"/>
                <w:sz w:val="17"/>
                <w:szCs w:val="17"/>
                <w:color w:val="auto"/>
                <w:vertAlign w:val="superscript"/>
              </w:rPr>
              <w:t>(1)</w:t>
            </w:r>
          </w:p>
        </w:tc>
        <w:tc>
          <w:tcPr>
            <w:tcW w:w="108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11,953</w:t>
            </w: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spacing w:after="0"/>
              <w:rPr>
                <w:sz w:val="2"/>
                <w:szCs w:val="2"/>
                <w:color w:val="auto"/>
              </w:rPr>
            </w:pPr>
          </w:p>
        </w:tc>
        <w:tc>
          <w:tcPr>
            <w:tcW w:w="800" w:type="dxa"/>
            <w:vAlign w:val="bottom"/>
            <w:vMerge w:val="restart"/>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vMerge w:val="restart"/>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29.68</w:t>
            </w:r>
          </w:p>
        </w:tc>
        <w:tc>
          <w:tcPr>
            <w:tcW w:w="106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4/1/2026</w:t>
            </w:r>
          </w:p>
        </w:tc>
        <w:tc>
          <w:tcPr>
            <w:tcW w:w="220" w:type="dxa"/>
            <w:vAlign w:val="bottom"/>
            <w:vMerge w:val="restart"/>
          </w:tcPr>
          <w:p>
            <w:pPr>
              <w:spacing w:after="0"/>
              <w:rPr>
                <w:sz w:val="2"/>
                <w:szCs w:val="2"/>
                <w:color w:val="auto"/>
              </w:rPr>
            </w:pPr>
          </w:p>
        </w:tc>
        <w:tc>
          <w:tcPr>
            <w:tcW w:w="76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2"/>
                <w:szCs w:val="2"/>
                <w:color w:val="auto"/>
              </w:rPr>
            </w:pPr>
          </w:p>
        </w:tc>
        <w:tc>
          <w:tcPr>
            <w:tcW w:w="700" w:type="dxa"/>
            <w:vAlign w:val="bottom"/>
            <w:vMerge w:val="restart"/>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vMerge w:val="restart"/>
          </w:tcPr>
          <w:p>
            <w:pPr>
              <w:spacing w:after="0"/>
              <w:rPr>
                <w:sz w:val="2"/>
                <w:szCs w:val="2"/>
                <w:color w:val="auto"/>
              </w:rPr>
            </w:pPr>
          </w:p>
        </w:tc>
        <w:tc>
          <w:tcPr>
            <w:tcW w:w="720" w:type="dxa"/>
            <w:vAlign w:val="bottom"/>
            <w:gridSpan w:val="2"/>
            <w:vMerge w:val="restart"/>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2"/>
        </w:trPr>
        <w:tc>
          <w:tcPr>
            <w:tcW w:w="920" w:type="dxa"/>
            <w:vAlign w:val="bottom"/>
            <w:gridSpan w:val="2"/>
            <w:shd w:val="clear" w:color="auto" w:fill="FCEABC"/>
          </w:tcPr>
          <w:p>
            <w:pPr>
              <w:spacing w:after="0" w:line="122" w:lineRule="exact"/>
              <w:rPr>
                <w:sz w:val="20"/>
                <w:szCs w:val="20"/>
                <w:color w:val="auto"/>
              </w:rPr>
            </w:pPr>
            <w:r>
              <w:rPr>
                <w:rFonts w:ascii="Times New Roman" w:cs="Times New Roman" w:eastAsia="Times New Roman" w:hAnsi="Times New Roman"/>
                <w:sz w:val="14"/>
                <w:szCs w:val="14"/>
                <w:color w:val="auto"/>
              </w:rPr>
              <w:t>Matt Faulkner</w:t>
            </w:r>
          </w:p>
        </w:tc>
        <w:tc>
          <w:tcPr>
            <w:tcW w:w="112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20" w:type="dxa"/>
            <w:vAlign w:val="bottom"/>
            <w:shd w:val="clear" w:color="auto" w:fill="FCEABC"/>
          </w:tcPr>
          <w:p>
            <w:pPr>
              <w:spacing w:after="0"/>
              <w:rPr>
                <w:sz w:val="2"/>
                <w:szCs w:val="2"/>
                <w:color w:val="auto"/>
              </w:rPr>
            </w:pPr>
          </w:p>
        </w:tc>
        <w:tc>
          <w:tcPr>
            <w:tcW w:w="600" w:type="dxa"/>
            <w:vAlign w:val="bottom"/>
            <w:shd w:val="clear" w:color="auto" w:fill="FCEABC"/>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3"/>
                <w:szCs w:val="13"/>
                <w:color w:val="auto"/>
              </w:rPr>
              <w:t>12/10/2021</w:t>
            </w:r>
            <w:r>
              <w:rPr>
                <w:rFonts w:ascii="Times New Roman" w:cs="Times New Roman" w:eastAsia="Times New Roman" w:hAnsi="Times New Roman"/>
                <w:sz w:val="17"/>
                <w:szCs w:val="17"/>
                <w:color w:val="auto"/>
                <w:vertAlign w:val="superscript"/>
              </w:rPr>
              <w:t>(1)</w:t>
            </w:r>
          </w:p>
        </w:tc>
        <w:tc>
          <w:tcPr>
            <w:tcW w:w="108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6,619</w:t>
            </w: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spacing w:after="0"/>
              <w:rPr>
                <w:sz w:val="2"/>
                <w:szCs w:val="2"/>
                <w:color w:val="auto"/>
              </w:rPr>
            </w:pPr>
          </w:p>
        </w:tc>
        <w:tc>
          <w:tcPr>
            <w:tcW w:w="800" w:type="dxa"/>
            <w:vAlign w:val="bottom"/>
            <w:vMerge w:val="restart"/>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vMerge w:val="restart"/>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21.95</w:t>
            </w:r>
          </w:p>
        </w:tc>
        <w:tc>
          <w:tcPr>
            <w:tcW w:w="106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12/10/2026</w:t>
            </w:r>
          </w:p>
        </w:tc>
        <w:tc>
          <w:tcPr>
            <w:tcW w:w="220" w:type="dxa"/>
            <w:vAlign w:val="bottom"/>
            <w:vMerge w:val="restart"/>
          </w:tcPr>
          <w:p>
            <w:pPr>
              <w:spacing w:after="0"/>
              <w:rPr>
                <w:sz w:val="2"/>
                <w:szCs w:val="2"/>
                <w:color w:val="auto"/>
              </w:rPr>
            </w:pPr>
          </w:p>
        </w:tc>
        <w:tc>
          <w:tcPr>
            <w:tcW w:w="76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2"/>
                <w:szCs w:val="2"/>
                <w:color w:val="auto"/>
              </w:rPr>
            </w:pPr>
          </w:p>
        </w:tc>
        <w:tc>
          <w:tcPr>
            <w:tcW w:w="700" w:type="dxa"/>
            <w:vAlign w:val="bottom"/>
            <w:vMerge w:val="restart"/>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vMerge w:val="restart"/>
          </w:tcPr>
          <w:p>
            <w:pPr>
              <w:spacing w:after="0"/>
              <w:rPr>
                <w:sz w:val="2"/>
                <w:szCs w:val="2"/>
                <w:color w:val="auto"/>
              </w:rPr>
            </w:pPr>
          </w:p>
        </w:tc>
        <w:tc>
          <w:tcPr>
            <w:tcW w:w="720" w:type="dxa"/>
            <w:vAlign w:val="bottom"/>
            <w:gridSpan w:val="2"/>
            <w:vMerge w:val="restart"/>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1"/>
        </w:trPr>
        <w:tc>
          <w:tcPr>
            <w:tcW w:w="320" w:type="dxa"/>
            <w:vAlign w:val="bottom"/>
            <w:shd w:val="clear" w:color="auto" w:fill="FCEABC"/>
          </w:tcPr>
          <w:p>
            <w:pPr>
              <w:spacing w:after="0"/>
              <w:rPr>
                <w:sz w:val="10"/>
                <w:szCs w:val="10"/>
                <w:color w:val="auto"/>
              </w:rPr>
            </w:pPr>
          </w:p>
        </w:tc>
        <w:tc>
          <w:tcPr>
            <w:tcW w:w="600" w:type="dxa"/>
            <w:vAlign w:val="bottom"/>
            <w:shd w:val="clear" w:color="auto" w:fill="FCEABC"/>
          </w:tcPr>
          <w:p>
            <w:pPr>
              <w:spacing w:after="0"/>
              <w:rPr>
                <w:sz w:val="10"/>
                <w:szCs w:val="10"/>
                <w:color w:val="auto"/>
              </w:rPr>
            </w:pPr>
          </w:p>
        </w:tc>
        <w:tc>
          <w:tcPr>
            <w:tcW w:w="120" w:type="dxa"/>
            <w:vAlign w:val="bottom"/>
            <w:shd w:val="clear" w:color="auto" w:fill="FCEABC"/>
          </w:tcPr>
          <w:p>
            <w:pPr>
              <w:spacing w:after="0"/>
              <w:rPr>
                <w:sz w:val="10"/>
                <w:szCs w:val="10"/>
                <w:color w:val="auto"/>
              </w:rPr>
            </w:pPr>
          </w:p>
        </w:tc>
        <w:tc>
          <w:tcPr>
            <w:tcW w:w="100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FCEABC"/>
          </w:tcPr>
          <w:p>
            <w:pPr>
              <w:spacing w:after="0"/>
              <w:rPr>
                <w:sz w:val="12"/>
                <w:szCs w:val="12"/>
                <w:color w:val="auto"/>
              </w:rPr>
            </w:pPr>
          </w:p>
        </w:tc>
        <w:tc>
          <w:tcPr>
            <w:tcW w:w="600" w:type="dxa"/>
            <w:vAlign w:val="bottom"/>
            <w:shd w:val="clear" w:color="auto" w:fill="FCEABC"/>
          </w:tcPr>
          <w:p>
            <w:pPr>
              <w:spacing w:after="0"/>
              <w:rPr>
                <w:sz w:val="12"/>
                <w:szCs w:val="12"/>
                <w:color w:val="auto"/>
              </w:rPr>
            </w:pPr>
          </w:p>
        </w:tc>
        <w:tc>
          <w:tcPr>
            <w:tcW w:w="120" w:type="dxa"/>
            <w:vAlign w:val="bottom"/>
            <w:shd w:val="clear" w:color="auto" w:fill="FCEABC"/>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4/1/2022</w:t>
            </w:r>
            <w:r>
              <w:rPr>
                <w:rFonts w:ascii="Times New Roman" w:cs="Times New Roman" w:eastAsia="Times New Roman" w:hAnsi="Times New Roman"/>
                <w:sz w:val="17"/>
                <w:szCs w:val="17"/>
                <w:color w:val="auto"/>
                <w:vertAlign w:val="superscript"/>
              </w:rPr>
              <w:t>(1)</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20,249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4/1/2029</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320" w:type="dxa"/>
            <w:vAlign w:val="bottom"/>
            <w:shd w:val="clear" w:color="auto" w:fill="FCEABC"/>
          </w:tcPr>
          <w:p>
            <w:pPr>
              <w:spacing w:after="0"/>
              <w:rPr>
                <w:sz w:val="2"/>
                <w:szCs w:val="2"/>
                <w:color w:val="auto"/>
              </w:rPr>
            </w:pPr>
          </w:p>
        </w:tc>
        <w:tc>
          <w:tcPr>
            <w:tcW w:w="600" w:type="dxa"/>
            <w:vAlign w:val="bottom"/>
            <w:shd w:val="clear" w:color="auto" w:fill="FCEABC"/>
          </w:tcPr>
          <w:p>
            <w:pPr>
              <w:spacing w:after="0"/>
              <w:rPr>
                <w:sz w:val="2"/>
                <w:szCs w:val="2"/>
                <w:color w:val="auto"/>
              </w:rPr>
            </w:pPr>
          </w:p>
        </w:tc>
        <w:tc>
          <w:tcPr>
            <w:tcW w:w="120" w:type="dxa"/>
            <w:vAlign w:val="bottom"/>
            <w:vMerge w:val="restart"/>
            <w:shd w:val="clear" w:color="auto" w:fill="FCEABC"/>
          </w:tcPr>
          <w:p>
            <w:pPr>
              <w:spacing w:after="0"/>
              <w:rPr>
                <w:sz w:val="2"/>
                <w:szCs w:val="2"/>
                <w:color w:val="auto"/>
              </w:rPr>
            </w:pPr>
          </w:p>
        </w:tc>
        <w:tc>
          <w:tcPr>
            <w:tcW w:w="100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3"/>
                <w:szCs w:val="13"/>
                <w:color w:val="auto"/>
              </w:rPr>
              <w:t>7/1/2022</w:t>
            </w:r>
            <w:r>
              <w:rPr>
                <w:rFonts w:ascii="Times New Roman" w:cs="Times New Roman" w:eastAsia="Times New Roman" w:hAnsi="Times New Roman"/>
                <w:sz w:val="17"/>
                <w:szCs w:val="17"/>
                <w:color w:val="auto"/>
                <w:vertAlign w:val="superscript"/>
              </w:rPr>
              <w:t>(2)</w:t>
            </w: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320" w:type="dxa"/>
            <w:vAlign w:val="bottom"/>
            <w:shd w:val="clear" w:color="auto" w:fill="FCEABC"/>
          </w:tcPr>
          <w:p>
            <w:pPr>
              <w:spacing w:after="0"/>
              <w:rPr>
                <w:sz w:val="10"/>
                <w:szCs w:val="10"/>
                <w:color w:val="auto"/>
              </w:rPr>
            </w:pPr>
          </w:p>
        </w:tc>
        <w:tc>
          <w:tcPr>
            <w:tcW w:w="600" w:type="dxa"/>
            <w:vAlign w:val="bottom"/>
            <w:shd w:val="clear" w:color="auto" w:fill="FCEABC"/>
          </w:tcPr>
          <w:p>
            <w:pPr>
              <w:spacing w:after="0"/>
              <w:rPr>
                <w:sz w:val="10"/>
                <w:szCs w:val="10"/>
                <w:color w:val="auto"/>
              </w:rPr>
            </w:pPr>
          </w:p>
        </w:tc>
        <w:tc>
          <w:tcPr>
            <w:tcW w:w="120" w:type="dxa"/>
            <w:vAlign w:val="bottom"/>
            <w:vMerge w:val="continue"/>
            <w:shd w:val="clear" w:color="auto" w:fill="FCEABC"/>
          </w:tcPr>
          <w:p>
            <w:pPr>
              <w:spacing w:after="0"/>
              <w:rPr>
                <w:sz w:val="10"/>
                <w:szCs w:val="10"/>
                <w:color w:val="auto"/>
              </w:rPr>
            </w:pPr>
          </w:p>
        </w:tc>
        <w:tc>
          <w:tcPr>
            <w:tcW w:w="1000" w:type="dxa"/>
            <w:vAlign w:val="bottom"/>
            <w:vMerge w:val="continue"/>
          </w:tcPr>
          <w:p>
            <w:pPr>
              <w:spacing w:after="0"/>
              <w:rPr>
                <w:sz w:val="10"/>
                <w:szCs w:val="10"/>
                <w:color w:val="auto"/>
              </w:rPr>
            </w:pPr>
          </w:p>
        </w:tc>
        <w:tc>
          <w:tcPr>
            <w:tcW w:w="120" w:type="dxa"/>
            <w:vAlign w:val="bottom"/>
            <w:shd w:val="clear" w:color="auto" w:fill="FCEABC"/>
          </w:tcPr>
          <w:p>
            <w:pPr>
              <w:spacing w:after="0"/>
              <w:rPr>
                <w:sz w:val="10"/>
                <w:szCs w:val="10"/>
                <w:color w:val="auto"/>
              </w:rPr>
            </w:pPr>
          </w:p>
        </w:tc>
        <w:tc>
          <w:tcPr>
            <w:tcW w:w="960" w:type="dxa"/>
            <w:vAlign w:val="bottom"/>
            <w:shd w:val="clear" w:color="auto" w:fill="FCEABC"/>
          </w:tcPr>
          <w:p>
            <w:pPr>
              <w:jc w:val="right"/>
              <w:spacing w:after="0" w:line="122" w:lineRule="exact"/>
              <w:rPr>
                <w:sz w:val="20"/>
                <w:szCs w:val="20"/>
                <w:color w:val="auto"/>
              </w:rPr>
            </w:pPr>
            <w:r>
              <w:rPr>
                <w:rFonts w:ascii="Times New Roman" w:cs="Times New Roman" w:eastAsia="Times New Roman" w:hAnsi="Times New Roman"/>
                <w:sz w:val="14"/>
                <w:szCs w:val="14"/>
                <w:color w:val="auto"/>
              </w:rPr>
              <w:t>38,759</w:t>
            </w:r>
          </w:p>
        </w:tc>
        <w:tc>
          <w:tcPr>
            <w:tcW w:w="240" w:type="dxa"/>
            <w:vAlign w:val="bottom"/>
            <w:shd w:val="clear" w:color="auto" w:fill="FCEABC"/>
          </w:tcPr>
          <w:p>
            <w:pPr>
              <w:spacing w:after="0"/>
              <w:rPr>
                <w:sz w:val="10"/>
                <w:szCs w:val="10"/>
                <w:color w:val="auto"/>
              </w:rPr>
            </w:pPr>
          </w:p>
        </w:tc>
        <w:tc>
          <w:tcPr>
            <w:tcW w:w="140" w:type="dxa"/>
            <w:vAlign w:val="bottom"/>
            <w:shd w:val="clear" w:color="auto" w:fill="FCEABC"/>
          </w:tcPr>
          <w:p>
            <w:pPr>
              <w:spacing w:after="0"/>
              <w:rPr>
                <w:sz w:val="10"/>
                <w:szCs w:val="10"/>
                <w:color w:val="auto"/>
              </w:rPr>
            </w:pPr>
          </w:p>
        </w:tc>
        <w:tc>
          <w:tcPr>
            <w:tcW w:w="740" w:type="dxa"/>
            <w:vAlign w:val="bottom"/>
            <w:shd w:val="clear" w:color="auto" w:fill="FCEABC"/>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CEABC"/>
          </w:tcPr>
          <w:p>
            <w:pPr>
              <w:spacing w:after="0"/>
              <w:rPr>
                <w:sz w:val="10"/>
                <w:szCs w:val="10"/>
                <w:color w:val="auto"/>
              </w:rPr>
            </w:pPr>
          </w:p>
        </w:tc>
        <w:tc>
          <w:tcPr>
            <w:tcW w:w="800" w:type="dxa"/>
            <w:vAlign w:val="bottom"/>
            <w:shd w:val="clear" w:color="auto" w:fill="FCEABC"/>
          </w:tcPr>
          <w:p>
            <w:pPr>
              <w:ind w:left="640"/>
              <w:spacing w:after="0" w:line="122"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FCEABC"/>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FCEABC"/>
          </w:tcPr>
          <w:p>
            <w:pPr>
              <w:jc w:val="right"/>
              <w:spacing w:after="0" w:line="122" w:lineRule="exact"/>
              <w:rPr>
                <w:sz w:val="20"/>
                <w:szCs w:val="20"/>
                <w:color w:val="auto"/>
              </w:rPr>
            </w:pPr>
            <w:r>
              <w:rPr>
                <w:rFonts w:ascii="Times New Roman" w:cs="Times New Roman" w:eastAsia="Times New Roman" w:hAnsi="Times New Roman"/>
                <w:sz w:val="14"/>
                <w:szCs w:val="14"/>
                <w:color w:val="auto"/>
              </w:rPr>
              <w:t>7.98</w:t>
            </w:r>
          </w:p>
        </w:tc>
        <w:tc>
          <w:tcPr>
            <w:tcW w:w="1060" w:type="dxa"/>
            <w:vAlign w:val="bottom"/>
            <w:gridSpan w:val="2"/>
            <w:shd w:val="clear" w:color="auto" w:fill="FCEABC"/>
          </w:tcPr>
          <w:p>
            <w:pPr>
              <w:jc w:val="right"/>
              <w:spacing w:after="0" w:line="122" w:lineRule="exact"/>
              <w:rPr>
                <w:sz w:val="20"/>
                <w:szCs w:val="20"/>
                <w:color w:val="auto"/>
              </w:rPr>
            </w:pPr>
            <w:r>
              <w:rPr>
                <w:rFonts w:ascii="Times New Roman" w:cs="Times New Roman" w:eastAsia="Times New Roman" w:hAnsi="Times New Roman"/>
                <w:sz w:val="14"/>
                <w:szCs w:val="14"/>
                <w:color w:val="auto"/>
              </w:rPr>
              <w:t>7/1/2029</w:t>
            </w:r>
          </w:p>
        </w:tc>
        <w:tc>
          <w:tcPr>
            <w:tcW w:w="220" w:type="dxa"/>
            <w:vAlign w:val="bottom"/>
            <w:shd w:val="clear" w:color="auto" w:fill="FCEABC"/>
          </w:tcPr>
          <w:p>
            <w:pPr>
              <w:spacing w:after="0"/>
              <w:rPr>
                <w:sz w:val="10"/>
                <w:szCs w:val="10"/>
                <w:color w:val="auto"/>
              </w:rPr>
            </w:pPr>
          </w:p>
        </w:tc>
        <w:tc>
          <w:tcPr>
            <w:tcW w:w="760" w:type="dxa"/>
            <w:vAlign w:val="bottom"/>
            <w:shd w:val="clear" w:color="auto" w:fill="FCEABC"/>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FCEABC"/>
          </w:tcPr>
          <w:p>
            <w:pPr>
              <w:jc w:val="right"/>
              <w:ind w:righ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FCEABC"/>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FCEABC"/>
          </w:tcPr>
          <w:p>
            <w:pPr>
              <w:spacing w:after="0"/>
              <w:rPr>
                <w:sz w:val="10"/>
                <w:szCs w:val="10"/>
                <w:color w:val="auto"/>
              </w:rPr>
            </w:pPr>
          </w:p>
        </w:tc>
        <w:tc>
          <w:tcPr>
            <w:tcW w:w="700" w:type="dxa"/>
            <w:vAlign w:val="bottom"/>
            <w:shd w:val="clear" w:color="auto" w:fill="FCEABC"/>
          </w:tcPr>
          <w:p>
            <w:pPr>
              <w:ind w:left="540"/>
              <w:spacing w:after="0" w:line="122"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FCEABC"/>
          </w:tcPr>
          <w:p>
            <w:pPr>
              <w:spacing w:after="0"/>
              <w:rPr>
                <w:sz w:val="10"/>
                <w:szCs w:val="10"/>
                <w:color w:val="auto"/>
              </w:rPr>
            </w:pPr>
          </w:p>
        </w:tc>
        <w:tc>
          <w:tcPr>
            <w:tcW w:w="720" w:type="dxa"/>
            <w:vAlign w:val="bottom"/>
            <w:gridSpan w:val="2"/>
            <w:shd w:val="clear" w:color="auto" w:fill="FCEABC"/>
          </w:tcPr>
          <w:p>
            <w:pPr>
              <w:ind w:left="4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FCEABC"/>
          </w:tcPr>
          <w:p>
            <w:pPr>
              <w:spacing w:after="0"/>
              <w:rPr>
                <w:sz w:val="12"/>
                <w:szCs w:val="12"/>
                <w:color w:val="auto"/>
              </w:rPr>
            </w:pPr>
          </w:p>
        </w:tc>
        <w:tc>
          <w:tcPr>
            <w:tcW w:w="600" w:type="dxa"/>
            <w:vAlign w:val="bottom"/>
            <w:shd w:val="clear" w:color="auto" w:fill="FCEABC"/>
          </w:tcPr>
          <w:p>
            <w:pPr>
              <w:spacing w:after="0"/>
              <w:rPr>
                <w:sz w:val="12"/>
                <w:szCs w:val="12"/>
                <w:color w:val="auto"/>
              </w:rPr>
            </w:pPr>
          </w:p>
        </w:tc>
        <w:tc>
          <w:tcPr>
            <w:tcW w:w="120" w:type="dxa"/>
            <w:vAlign w:val="bottom"/>
            <w:shd w:val="clear" w:color="auto" w:fill="FCEABC"/>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9/1/2022</w:t>
            </w:r>
            <w:r>
              <w:rPr>
                <w:rFonts w:ascii="Times New Roman" w:cs="Times New Roman" w:eastAsia="Times New Roman" w:hAnsi="Times New Roman"/>
                <w:sz w:val="17"/>
                <w:szCs w:val="17"/>
                <w:color w:val="auto"/>
                <w:vertAlign w:val="superscript"/>
              </w:rPr>
              <w:t>(1)</w:t>
            </w:r>
          </w:p>
        </w:tc>
        <w:tc>
          <w:tcPr>
            <w:tcW w:w="120" w:type="dxa"/>
            <w:vAlign w:val="bottom"/>
            <w:shd w:val="clear" w:color="auto" w:fill="FCEABC"/>
          </w:tcPr>
          <w:p>
            <w:pPr>
              <w:spacing w:after="0"/>
              <w:rPr>
                <w:sz w:val="12"/>
                <w:szCs w:val="12"/>
                <w:color w:val="auto"/>
              </w:rPr>
            </w:pPr>
          </w:p>
        </w:tc>
        <w:tc>
          <w:tcPr>
            <w:tcW w:w="9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41,920</w:t>
            </w:r>
          </w:p>
        </w:tc>
        <w:tc>
          <w:tcPr>
            <w:tcW w:w="240" w:type="dxa"/>
            <w:vAlign w:val="bottom"/>
            <w:shd w:val="clear" w:color="auto" w:fill="FCEABC"/>
          </w:tcPr>
          <w:p>
            <w:pPr>
              <w:spacing w:after="0"/>
              <w:rPr>
                <w:sz w:val="12"/>
                <w:szCs w:val="12"/>
                <w:color w:val="auto"/>
              </w:rPr>
            </w:pPr>
          </w:p>
        </w:tc>
        <w:tc>
          <w:tcPr>
            <w:tcW w:w="140" w:type="dxa"/>
            <w:vAlign w:val="bottom"/>
            <w:shd w:val="clear" w:color="auto" w:fill="FCEABC"/>
          </w:tcPr>
          <w:p>
            <w:pPr>
              <w:spacing w:after="0"/>
              <w:rPr>
                <w:sz w:val="12"/>
                <w:szCs w:val="12"/>
                <w:color w:val="auto"/>
              </w:rPr>
            </w:pPr>
          </w:p>
        </w:tc>
        <w:tc>
          <w:tcPr>
            <w:tcW w:w="7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CEABC"/>
          </w:tcPr>
          <w:p>
            <w:pPr>
              <w:spacing w:after="0"/>
              <w:rPr>
                <w:sz w:val="12"/>
                <w:szCs w:val="12"/>
                <w:color w:val="auto"/>
              </w:rPr>
            </w:pPr>
          </w:p>
        </w:tc>
        <w:tc>
          <w:tcPr>
            <w:tcW w:w="800" w:type="dxa"/>
            <w:vAlign w:val="bottom"/>
            <w:shd w:val="clear" w:color="auto" w:fill="FCEABC"/>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FCEAB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13.29</w:t>
            </w:r>
          </w:p>
        </w:tc>
        <w:tc>
          <w:tcPr>
            <w:tcW w:w="1060" w:type="dxa"/>
            <w:vAlign w:val="bottom"/>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9/1/2029</w:t>
            </w:r>
          </w:p>
        </w:tc>
        <w:tc>
          <w:tcPr>
            <w:tcW w:w="220" w:type="dxa"/>
            <w:vAlign w:val="bottom"/>
            <w:shd w:val="clear" w:color="auto" w:fill="FCEABC"/>
          </w:tcPr>
          <w:p>
            <w:pPr>
              <w:spacing w:after="0"/>
              <w:rPr>
                <w:sz w:val="12"/>
                <w:szCs w:val="12"/>
                <w:color w:val="auto"/>
              </w:rPr>
            </w:pPr>
          </w:p>
        </w:tc>
        <w:tc>
          <w:tcPr>
            <w:tcW w:w="7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FCEAB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FCEABC"/>
          </w:tcPr>
          <w:p>
            <w:pPr>
              <w:spacing w:after="0"/>
              <w:rPr>
                <w:sz w:val="12"/>
                <w:szCs w:val="12"/>
                <w:color w:val="auto"/>
              </w:rPr>
            </w:pPr>
          </w:p>
        </w:tc>
        <w:tc>
          <w:tcPr>
            <w:tcW w:w="700" w:type="dxa"/>
            <w:vAlign w:val="bottom"/>
            <w:shd w:val="clear" w:color="auto" w:fill="FCEAB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FCEABC"/>
          </w:tcPr>
          <w:p>
            <w:pPr>
              <w:spacing w:after="0"/>
              <w:rPr>
                <w:sz w:val="12"/>
                <w:szCs w:val="12"/>
                <w:color w:val="auto"/>
              </w:rPr>
            </w:pPr>
          </w:p>
        </w:tc>
        <w:tc>
          <w:tcPr>
            <w:tcW w:w="720" w:type="dxa"/>
            <w:vAlign w:val="bottom"/>
            <w:gridSpan w:val="2"/>
            <w:shd w:val="clear" w:color="auto" w:fill="FCEABC"/>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shd w:val="clear" w:color="auto" w:fill="FCEABC"/>
          </w:tcPr>
          <w:p>
            <w:pPr>
              <w:spacing w:after="0"/>
              <w:rPr>
                <w:sz w:val="12"/>
                <w:szCs w:val="12"/>
                <w:color w:val="auto"/>
              </w:rPr>
            </w:pPr>
          </w:p>
        </w:tc>
        <w:tc>
          <w:tcPr>
            <w:tcW w:w="600" w:type="dxa"/>
            <w:vAlign w:val="bottom"/>
            <w:shd w:val="clear" w:color="auto" w:fill="FCEABC"/>
          </w:tcPr>
          <w:p>
            <w:pPr>
              <w:spacing w:after="0"/>
              <w:rPr>
                <w:sz w:val="12"/>
                <w:szCs w:val="12"/>
                <w:color w:val="auto"/>
              </w:rPr>
            </w:pPr>
          </w:p>
        </w:tc>
        <w:tc>
          <w:tcPr>
            <w:tcW w:w="120" w:type="dxa"/>
            <w:vAlign w:val="bottom"/>
            <w:shd w:val="clear" w:color="auto" w:fill="FCEABC"/>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1/1/2023</w:t>
            </w:r>
            <w:r>
              <w:rPr>
                <w:rFonts w:ascii="Times New Roman" w:cs="Times New Roman" w:eastAsia="Times New Roman" w:hAnsi="Times New Roman"/>
                <w:sz w:val="17"/>
                <w:szCs w:val="17"/>
                <w:color w:val="auto"/>
                <w:vertAlign w:val="superscript"/>
              </w:rPr>
              <w:t>(3)</w:t>
            </w:r>
          </w:p>
        </w:tc>
        <w:tc>
          <w:tcPr>
            <w:tcW w:w="120" w:type="dxa"/>
            <w:vAlign w:val="bottom"/>
            <w:shd w:val="clear" w:color="auto" w:fill="FCEABC"/>
          </w:tcPr>
          <w:p>
            <w:pPr>
              <w:spacing w:after="0"/>
              <w:rPr>
                <w:sz w:val="12"/>
                <w:szCs w:val="12"/>
                <w:color w:val="auto"/>
              </w:rPr>
            </w:pPr>
          </w:p>
        </w:tc>
        <w:tc>
          <w:tcPr>
            <w:tcW w:w="9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CEABC"/>
          </w:tcPr>
          <w:p>
            <w:pPr>
              <w:spacing w:after="0"/>
              <w:rPr>
                <w:sz w:val="12"/>
                <w:szCs w:val="12"/>
                <w:color w:val="auto"/>
              </w:rPr>
            </w:pPr>
          </w:p>
        </w:tc>
        <w:tc>
          <w:tcPr>
            <w:tcW w:w="140" w:type="dxa"/>
            <w:vAlign w:val="bottom"/>
            <w:shd w:val="clear" w:color="auto" w:fill="FCEABC"/>
          </w:tcPr>
          <w:p>
            <w:pPr>
              <w:spacing w:after="0"/>
              <w:rPr>
                <w:sz w:val="12"/>
                <w:szCs w:val="12"/>
                <w:color w:val="auto"/>
              </w:rPr>
            </w:pPr>
          </w:p>
        </w:tc>
        <w:tc>
          <w:tcPr>
            <w:tcW w:w="7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CEABC"/>
          </w:tcPr>
          <w:p>
            <w:pPr>
              <w:spacing w:after="0"/>
              <w:rPr>
                <w:sz w:val="12"/>
                <w:szCs w:val="12"/>
                <w:color w:val="auto"/>
              </w:rPr>
            </w:pPr>
          </w:p>
        </w:tc>
        <w:tc>
          <w:tcPr>
            <w:tcW w:w="800" w:type="dxa"/>
            <w:vAlign w:val="bottom"/>
            <w:shd w:val="clear" w:color="auto" w:fill="FCEABC"/>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FCEAB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CEABC"/>
          </w:tcPr>
          <w:p>
            <w:pPr>
              <w:spacing w:after="0"/>
              <w:rPr>
                <w:sz w:val="12"/>
                <w:szCs w:val="12"/>
                <w:color w:val="auto"/>
              </w:rPr>
            </w:pPr>
          </w:p>
        </w:tc>
        <w:tc>
          <w:tcPr>
            <w:tcW w:w="8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9,416</w:t>
            </w:r>
          </w:p>
        </w:tc>
        <w:tc>
          <w:tcPr>
            <w:tcW w:w="360" w:type="dxa"/>
            <w:vAlign w:val="bottom"/>
            <w:gridSpan w:val="2"/>
            <w:shd w:val="clear" w:color="auto" w:fill="FCEAB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75,705</w:t>
            </w:r>
          </w:p>
        </w:tc>
        <w:tc>
          <w:tcPr>
            <w:tcW w:w="200" w:type="dxa"/>
            <w:vAlign w:val="bottom"/>
            <w:shd w:val="clear" w:color="auto" w:fill="FCEABC"/>
          </w:tcPr>
          <w:p>
            <w:pPr>
              <w:spacing w:after="0"/>
              <w:rPr>
                <w:sz w:val="12"/>
                <w:szCs w:val="12"/>
                <w:color w:val="auto"/>
              </w:rPr>
            </w:pPr>
          </w:p>
        </w:tc>
        <w:tc>
          <w:tcPr>
            <w:tcW w:w="700" w:type="dxa"/>
            <w:vAlign w:val="bottom"/>
            <w:shd w:val="clear" w:color="auto" w:fill="FCEAB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FCEABC"/>
          </w:tcPr>
          <w:p>
            <w:pPr>
              <w:spacing w:after="0"/>
              <w:rPr>
                <w:sz w:val="12"/>
                <w:szCs w:val="12"/>
                <w:color w:val="auto"/>
              </w:rPr>
            </w:pPr>
          </w:p>
        </w:tc>
        <w:tc>
          <w:tcPr>
            <w:tcW w:w="720" w:type="dxa"/>
            <w:vAlign w:val="bottom"/>
            <w:gridSpan w:val="2"/>
            <w:shd w:val="clear" w:color="auto" w:fill="FCEABC"/>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shd w:val="clear" w:color="auto" w:fill="FCEABC"/>
          </w:tcPr>
          <w:p>
            <w:pPr>
              <w:spacing w:after="0"/>
              <w:rPr>
                <w:sz w:val="12"/>
                <w:szCs w:val="12"/>
                <w:color w:val="auto"/>
              </w:rPr>
            </w:pPr>
          </w:p>
        </w:tc>
        <w:tc>
          <w:tcPr>
            <w:tcW w:w="600" w:type="dxa"/>
            <w:vAlign w:val="bottom"/>
            <w:shd w:val="clear" w:color="auto" w:fill="FCEABC"/>
          </w:tcPr>
          <w:p>
            <w:pPr>
              <w:spacing w:after="0"/>
              <w:rPr>
                <w:sz w:val="12"/>
                <w:szCs w:val="12"/>
                <w:color w:val="auto"/>
              </w:rPr>
            </w:pPr>
          </w:p>
        </w:tc>
        <w:tc>
          <w:tcPr>
            <w:tcW w:w="120" w:type="dxa"/>
            <w:vAlign w:val="bottom"/>
            <w:shd w:val="clear" w:color="auto" w:fill="FCEABC"/>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1/1/2023</w:t>
            </w:r>
            <w:r>
              <w:rPr>
                <w:rFonts w:ascii="Times New Roman" w:cs="Times New Roman" w:eastAsia="Times New Roman" w:hAnsi="Times New Roman"/>
                <w:sz w:val="17"/>
                <w:szCs w:val="17"/>
                <w:color w:val="auto"/>
                <w:vertAlign w:val="superscript"/>
              </w:rPr>
              <w:t>(1)</w:t>
            </w:r>
          </w:p>
        </w:tc>
        <w:tc>
          <w:tcPr>
            <w:tcW w:w="120" w:type="dxa"/>
            <w:vAlign w:val="bottom"/>
            <w:shd w:val="clear" w:color="auto" w:fill="FCEABC"/>
          </w:tcPr>
          <w:p>
            <w:pPr>
              <w:spacing w:after="0"/>
              <w:rPr>
                <w:sz w:val="12"/>
                <w:szCs w:val="12"/>
                <w:color w:val="auto"/>
              </w:rPr>
            </w:pPr>
          </w:p>
        </w:tc>
        <w:tc>
          <w:tcPr>
            <w:tcW w:w="9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34,794</w:t>
            </w:r>
          </w:p>
        </w:tc>
        <w:tc>
          <w:tcPr>
            <w:tcW w:w="1120" w:type="dxa"/>
            <w:vAlign w:val="bottom"/>
            <w:gridSpan w:val="3"/>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17,398</w:t>
            </w:r>
          </w:p>
        </w:tc>
        <w:tc>
          <w:tcPr>
            <w:tcW w:w="240" w:type="dxa"/>
            <w:vAlign w:val="bottom"/>
            <w:shd w:val="clear" w:color="auto" w:fill="FCEABC"/>
          </w:tcPr>
          <w:p>
            <w:pPr>
              <w:spacing w:after="0"/>
              <w:rPr>
                <w:sz w:val="12"/>
                <w:szCs w:val="12"/>
                <w:color w:val="auto"/>
              </w:rPr>
            </w:pPr>
          </w:p>
        </w:tc>
        <w:tc>
          <w:tcPr>
            <w:tcW w:w="800" w:type="dxa"/>
            <w:vAlign w:val="bottom"/>
            <w:shd w:val="clear" w:color="auto" w:fill="FCEABC"/>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FCEAB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8.85</w:t>
            </w:r>
          </w:p>
        </w:tc>
        <w:tc>
          <w:tcPr>
            <w:tcW w:w="1060" w:type="dxa"/>
            <w:vAlign w:val="bottom"/>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1/1/2030</w:t>
            </w:r>
          </w:p>
        </w:tc>
        <w:tc>
          <w:tcPr>
            <w:tcW w:w="220" w:type="dxa"/>
            <w:vAlign w:val="bottom"/>
            <w:shd w:val="clear" w:color="auto" w:fill="FCEABC"/>
          </w:tcPr>
          <w:p>
            <w:pPr>
              <w:spacing w:after="0"/>
              <w:rPr>
                <w:sz w:val="12"/>
                <w:szCs w:val="12"/>
                <w:color w:val="auto"/>
              </w:rPr>
            </w:pPr>
          </w:p>
        </w:tc>
        <w:tc>
          <w:tcPr>
            <w:tcW w:w="7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FCEAB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FCEABC"/>
          </w:tcPr>
          <w:p>
            <w:pPr>
              <w:spacing w:after="0"/>
              <w:rPr>
                <w:sz w:val="12"/>
                <w:szCs w:val="12"/>
                <w:color w:val="auto"/>
              </w:rPr>
            </w:pPr>
          </w:p>
        </w:tc>
        <w:tc>
          <w:tcPr>
            <w:tcW w:w="700" w:type="dxa"/>
            <w:vAlign w:val="bottom"/>
            <w:shd w:val="clear" w:color="auto" w:fill="FCEAB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FCEABC"/>
          </w:tcPr>
          <w:p>
            <w:pPr>
              <w:spacing w:after="0"/>
              <w:rPr>
                <w:sz w:val="12"/>
                <w:szCs w:val="12"/>
                <w:color w:val="auto"/>
              </w:rPr>
            </w:pPr>
          </w:p>
        </w:tc>
        <w:tc>
          <w:tcPr>
            <w:tcW w:w="720" w:type="dxa"/>
            <w:vAlign w:val="bottom"/>
            <w:gridSpan w:val="2"/>
            <w:shd w:val="clear" w:color="auto" w:fill="FCEABC"/>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FCEABC"/>
          </w:tcPr>
          <w:p>
            <w:pPr>
              <w:spacing w:after="0"/>
              <w:rPr>
                <w:sz w:val="12"/>
                <w:szCs w:val="12"/>
                <w:color w:val="auto"/>
              </w:rPr>
            </w:pPr>
          </w:p>
        </w:tc>
        <w:tc>
          <w:tcPr>
            <w:tcW w:w="600" w:type="dxa"/>
            <w:vAlign w:val="bottom"/>
            <w:shd w:val="clear" w:color="auto" w:fill="FCEABC"/>
          </w:tcPr>
          <w:p>
            <w:pPr>
              <w:spacing w:after="0"/>
              <w:rPr>
                <w:sz w:val="12"/>
                <w:szCs w:val="12"/>
                <w:color w:val="auto"/>
              </w:rPr>
            </w:pPr>
          </w:p>
        </w:tc>
        <w:tc>
          <w:tcPr>
            <w:tcW w:w="120" w:type="dxa"/>
            <w:vAlign w:val="bottom"/>
            <w:shd w:val="clear" w:color="auto" w:fill="FCEABC"/>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4/1/2023</w:t>
            </w:r>
            <w:r>
              <w:rPr>
                <w:rFonts w:ascii="Times New Roman" w:cs="Times New Roman" w:eastAsia="Times New Roman" w:hAnsi="Times New Roman"/>
                <w:sz w:val="17"/>
                <w:szCs w:val="17"/>
                <w:color w:val="auto"/>
                <w:vertAlign w:val="superscript"/>
              </w:rPr>
              <w:t>(3)</w:t>
            </w:r>
          </w:p>
        </w:tc>
        <w:tc>
          <w:tcPr>
            <w:tcW w:w="120" w:type="dxa"/>
            <w:vAlign w:val="bottom"/>
            <w:shd w:val="clear" w:color="auto" w:fill="FCEABC"/>
          </w:tcPr>
          <w:p>
            <w:pPr>
              <w:spacing w:after="0"/>
              <w:rPr>
                <w:sz w:val="12"/>
                <w:szCs w:val="12"/>
                <w:color w:val="auto"/>
              </w:rPr>
            </w:pPr>
          </w:p>
        </w:tc>
        <w:tc>
          <w:tcPr>
            <w:tcW w:w="9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CEABC"/>
          </w:tcPr>
          <w:p>
            <w:pPr>
              <w:spacing w:after="0"/>
              <w:rPr>
                <w:sz w:val="12"/>
                <w:szCs w:val="12"/>
                <w:color w:val="auto"/>
              </w:rPr>
            </w:pPr>
          </w:p>
        </w:tc>
        <w:tc>
          <w:tcPr>
            <w:tcW w:w="140" w:type="dxa"/>
            <w:vAlign w:val="bottom"/>
            <w:shd w:val="clear" w:color="auto" w:fill="FCEABC"/>
          </w:tcPr>
          <w:p>
            <w:pPr>
              <w:spacing w:after="0"/>
              <w:rPr>
                <w:sz w:val="12"/>
                <w:szCs w:val="12"/>
                <w:color w:val="auto"/>
              </w:rPr>
            </w:pPr>
          </w:p>
        </w:tc>
        <w:tc>
          <w:tcPr>
            <w:tcW w:w="7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CEABC"/>
          </w:tcPr>
          <w:p>
            <w:pPr>
              <w:spacing w:after="0"/>
              <w:rPr>
                <w:sz w:val="12"/>
                <w:szCs w:val="12"/>
                <w:color w:val="auto"/>
              </w:rPr>
            </w:pPr>
          </w:p>
        </w:tc>
        <w:tc>
          <w:tcPr>
            <w:tcW w:w="800" w:type="dxa"/>
            <w:vAlign w:val="bottom"/>
            <w:shd w:val="clear" w:color="auto" w:fill="FCEABC"/>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FCEAB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CEABC"/>
          </w:tcPr>
          <w:p>
            <w:pPr>
              <w:spacing w:after="0"/>
              <w:rPr>
                <w:sz w:val="12"/>
                <w:szCs w:val="12"/>
                <w:color w:val="auto"/>
              </w:rPr>
            </w:pPr>
          </w:p>
        </w:tc>
        <w:tc>
          <w:tcPr>
            <w:tcW w:w="8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13,175</w:t>
            </w:r>
          </w:p>
        </w:tc>
        <w:tc>
          <w:tcPr>
            <w:tcW w:w="360" w:type="dxa"/>
            <w:vAlign w:val="bottom"/>
            <w:gridSpan w:val="2"/>
            <w:shd w:val="clear" w:color="auto" w:fill="FCEAB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105,927</w:t>
            </w:r>
          </w:p>
        </w:tc>
        <w:tc>
          <w:tcPr>
            <w:tcW w:w="200" w:type="dxa"/>
            <w:vAlign w:val="bottom"/>
            <w:shd w:val="clear" w:color="auto" w:fill="FCEABC"/>
          </w:tcPr>
          <w:p>
            <w:pPr>
              <w:spacing w:after="0"/>
              <w:rPr>
                <w:sz w:val="12"/>
                <w:szCs w:val="12"/>
                <w:color w:val="auto"/>
              </w:rPr>
            </w:pPr>
          </w:p>
        </w:tc>
        <w:tc>
          <w:tcPr>
            <w:tcW w:w="700" w:type="dxa"/>
            <w:vAlign w:val="bottom"/>
            <w:shd w:val="clear" w:color="auto" w:fill="FCEAB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FCEABC"/>
          </w:tcPr>
          <w:p>
            <w:pPr>
              <w:spacing w:after="0"/>
              <w:rPr>
                <w:sz w:val="12"/>
                <w:szCs w:val="12"/>
                <w:color w:val="auto"/>
              </w:rPr>
            </w:pPr>
          </w:p>
        </w:tc>
        <w:tc>
          <w:tcPr>
            <w:tcW w:w="720" w:type="dxa"/>
            <w:vAlign w:val="bottom"/>
            <w:gridSpan w:val="2"/>
            <w:shd w:val="clear" w:color="auto" w:fill="FCEABC"/>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shd w:val="clear" w:color="auto" w:fill="FCEABC"/>
          </w:tcPr>
          <w:p>
            <w:pPr>
              <w:spacing w:after="0"/>
              <w:rPr>
                <w:sz w:val="12"/>
                <w:szCs w:val="12"/>
                <w:color w:val="auto"/>
              </w:rPr>
            </w:pPr>
          </w:p>
        </w:tc>
        <w:tc>
          <w:tcPr>
            <w:tcW w:w="600" w:type="dxa"/>
            <w:vAlign w:val="bottom"/>
            <w:shd w:val="clear" w:color="auto" w:fill="FCEABC"/>
          </w:tcPr>
          <w:p>
            <w:pPr>
              <w:spacing w:after="0"/>
              <w:rPr>
                <w:sz w:val="12"/>
                <w:szCs w:val="12"/>
                <w:color w:val="auto"/>
              </w:rPr>
            </w:pPr>
          </w:p>
        </w:tc>
        <w:tc>
          <w:tcPr>
            <w:tcW w:w="120" w:type="dxa"/>
            <w:vAlign w:val="bottom"/>
            <w:shd w:val="clear" w:color="auto" w:fill="FCEABC"/>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4/1/2023</w:t>
            </w:r>
            <w:r>
              <w:rPr>
                <w:rFonts w:ascii="Times New Roman" w:cs="Times New Roman" w:eastAsia="Times New Roman" w:hAnsi="Times New Roman"/>
                <w:sz w:val="17"/>
                <w:szCs w:val="17"/>
                <w:color w:val="auto"/>
                <w:vertAlign w:val="superscript"/>
              </w:rPr>
              <w:t>(1)</w:t>
            </w:r>
          </w:p>
        </w:tc>
        <w:tc>
          <w:tcPr>
            <w:tcW w:w="120" w:type="dxa"/>
            <w:vAlign w:val="bottom"/>
            <w:shd w:val="clear" w:color="auto" w:fill="FCEABC"/>
          </w:tcPr>
          <w:p>
            <w:pPr>
              <w:spacing w:after="0"/>
              <w:rPr>
                <w:sz w:val="12"/>
                <w:szCs w:val="12"/>
                <w:color w:val="auto"/>
              </w:rPr>
            </w:pPr>
          </w:p>
        </w:tc>
        <w:tc>
          <w:tcPr>
            <w:tcW w:w="9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49,019</w:t>
            </w:r>
          </w:p>
        </w:tc>
        <w:tc>
          <w:tcPr>
            <w:tcW w:w="240" w:type="dxa"/>
            <w:vAlign w:val="bottom"/>
            <w:shd w:val="clear" w:color="auto" w:fill="FCEABC"/>
          </w:tcPr>
          <w:p>
            <w:pPr>
              <w:spacing w:after="0"/>
              <w:rPr>
                <w:sz w:val="12"/>
                <w:szCs w:val="12"/>
                <w:color w:val="auto"/>
              </w:rPr>
            </w:pPr>
          </w:p>
        </w:tc>
        <w:tc>
          <w:tcPr>
            <w:tcW w:w="140" w:type="dxa"/>
            <w:vAlign w:val="bottom"/>
            <w:shd w:val="clear" w:color="auto" w:fill="FCEABC"/>
          </w:tcPr>
          <w:p>
            <w:pPr>
              <w:spacing w:after="0"/>
              <w:rPr>
                <w:sz w:val="12"/>
                <w:szCs w:val="12"/>
                <w:color w:val="auto"/>
              </w:rPr>
            </w:pPr>
          </w:p>
        </w:tc>
        <w:tc>
          <w:tcPr>
            <w:tcW w:w="7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24,510</w:t>
            </w:r>
          </w:p>
        </w:tc>
        <w:tc>
          <w:tcPr>
            <w:tcW w:w="240" w:type="dxa"/>
            <w:vAlign w:val="bottom"/>
            <w:shd w:val="clear" w:color="auto" w:fill="FCEABC"/>
          </w:tcPr>
          <w:p>
            <w:pPr>
              <w:spacing w:after="0"/>
              <w:rPr>
                <w:sz w:val="12"/>
                <w:szCs w:val="12"/>
                <w:color w:val="auto"/>
              </w:rPr>
            </w:pPr>
          </w:p>
        </w:tc>
        <w:tc>
          <w:tcPr>
            <w:tcW w:w="800" w:type="dxa"/>
            <w:vAlign w:val="bottom"/>
            <w:shd w:val="clear" w:color="auto" w:fill="FCEABC"/>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FCEAB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7.59</w:t>
            </w:r>
          </w:p>
        </w:tc>
        <w:tc>
          <w:tcPr>
            <w:tcW w:w="1060" w:type="dxa"/>
            <w:vAlign w:val="bottom"/>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4/1/2030</w:t>
            </w:r>
          </w:p>
        </w:tc>
        <w:tc>
          <w:tcPr>
            <w:tcW w:w="220" w:type="dxa"/>
            <w:vAlign w:val="bottom"/>
            <w:shd w:val="clear" w:color="auto" w:fill="FCEABC"/>
          </w:tcPr>
          <w:p>
            <w:pPr>
              <w:spacing w:after="0"/>
              <w:rPr>
                <w:sz w:val="12"/>
                <w:szCs w:val="12"/>
                <w:color w:val="auto"/>
              </w:rPr>
            </w:pPr>
          </w:p>
        </w:tc>
        <w:tc>
          <w:tcPr>
            <w:tcW w:w="7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FCEAB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FCEABC"/>
          </w:tcPr>
          <w:p>
            <w:pPr>
              <w:spacing w:after="0"/>
              <w:rPr>
                <w:sz w:val="12"/>
                <w:szCs w:val="12"/>
                <w:color w:val="auto"/>
              </w:rPr>
            </w:pPr>
          </w:p>
        </w:tc>
        <w:tc>
          <w:tcPr>
            <w:tcW w:w="700" w:type="dxa"/>
            <w:vAlign w:val="bottom"/>
            <w:shd w:val="clear" w:color="auto" w:fill="FCEAB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FCEABC"/>
          </w:tcPr>
          <w:p>
            <w:pPr>
              <w:spacing w:after="0"/>
              <w:rPr>
                <w:sz w:val="12"/>
                <w:szCs w:val="12"/>
                <w:color w:val="auto"/>
              </w:rPr>
            </w:pPr>
          </w:p>
        </w:tc>
        <w:tc>
          <w:tcPr>
            <w:tcW w:w="720" w:type="dxa"/>
            <w:vAlign w:val="bottom"/>
            <w:gridSpan w:val="2"/>
            <w:shd w:val="clear" w:color="auto" w:fill="FCEABC"/>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shd w:val="clear" w:color="auto" w:fill="FCEABC"/>
          </w:tcPr>
          <w:p>
            <w:pPr>
              <w:spacing w:after="0"/>
              <w:rPr>
                <w:sz w:val="12"/>
                <w:szCs w:val="12"/>
                <w:color w:val="auto"/>
              </w:rPr>
            </w:pPr>
          </w:p>
        </w:tc>
        <w:tc>
          <w:tcPr>
            <w:tcW w:w="600" w:type="dxa"/>
            <w:vAlign w:val="bottom"/>
            <w:shd w:val="clear" w:color="auto" w:fill="FCEABC"/>
          </w:tcPr>
          <w:p>
            <w:pPr>
              <w:spacing w:after="0"/>
              <w:rPr>
                <w:sz w:val="12"/>
                <w:szCs w:val="12"/>
                <w:color w:val="auto"/>
              </w:rPr>
            </w:pPr>
          </w:p>
        </w:tc>
        <w:tc>
          <w:tcPr>
            <w:tcW w:w="120" w:type="dxa"/>
            <w:vAlign w:val="bottom"/>
            <w:shd w:val="clear" w:color="auto" w:fill="FCEABC"/>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4/1/2024</w:t>
            </w:r>
            <w:r>
              <w:rPr>
                <w:rFonts w:ascii="Times New Roman" w:cs="Times New Roman" w:eastAsia="Times New Roman" w:hAnsi="Times New Roman"/>
                <w:sz w:val="17"/>
                <w:szCs w:val="17"/>
                <w:color w:val="auto"/>
                <w:vertAlign w:val="superscript"/>
              </w:rPr>
              <w:t>(3)</w:t>
            </w:r>
          </w:p>
        </w:tc>
        <w:tc>
          <w:tcPr>
            <w:tcW w:w="120" w:type="dxa"/>
            <w:vAlign w:val="bottom"/>
            <w:shd w:val="clear" w:color="auto" w:fill="FCEABC"/>
          </w:tcPr>
          <w:p>
            <w:pPr>
              <w:spacing w:after="0"/>
              <w:rPr>
                <w:sz w:val="12"/>
                <w:szCs w:val="12"/>
                <w:color w:val="auto"/>
              </w:rPr>
            </w:pPr>
          </w:p>
        </w:tc>
        <w:tc>
          <w:tcPr>
            <w:tcW w:w="9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CEABC"/>
          </w:tcPr>
          <w:p>
            <w:pPr>
              <w:spacing w:after="0"/>
              <w:rPr>
                <w:sz w:val="12"/>
                <w:szCs w:val="12"/>
                <w:color w:val="auto"/>
              </w:rPr>
            </w:pPr>
          </w:p>
        </w:tc>
        <w:tc>
          <w:tcPr>
            <w:tcW w:w="140" w:type="dxa"/>
            <w:vAlign w:val="bottom"/>
            <w:shd w:val="clear" w:color="auto" w:fill="FCEABC"/>
          </w:tcPr>
          <w:p>
            <w:pPr>
              <w:spacing w:after="0"/>
              <w:rPr>
                <w:sz w:val="12"/>
                <w:szCs w:val="12"/>
                <w:color w:val="auto"/>
              </w:rPr>
            </w:pPr>
          </w:p>
        </w:tc>
        <w:tc>
          <w:tcPr>
            <w:tcW w:w="7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CEABC"/>
          </w:tcPr>
          <w:p>
            <w:pPr>
              <w:spacing w:after="0"/>
              <w:rPr>
                <w:sz w:val="12"/>
                <w:szCs w:val="12"/>
                <w:color w:val="auto"/>
              </w:rPr>
            </w:pPr>
          </w:p>
        </w:tc>
        <w:tc>
          <w:tcPr>
            <w:tcW w:w="800" w:type="dxa"/>
            <w:vAlign w:val="bottom"/>
            <w:shd w:val="clear" w:color="auto" w:fill="FCEABC"/>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FCEAB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CEABC"/>
          </w:tcPr>
          <w:p>
            <w:pPr>
              <w:spacing w:after="0"/>
              <w:rPr>
                <w:sz w:val="12"/>
                <w:szCs w:val="12"/>
                <w:color w:val="auto"/>
              </w:rPr>
            </w:pPr>
          </w:p>
        </w:tc>
        <w:tc>
          <w:tcPr>
            <w:tcW w:w="8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17,381</w:t>
            </w:r>
          </w:p>
        </w:tc>
        <w:tc>
          <w:tcPr>
            <w:tcW w:w="360" w:type="dxa"/>
            <w:vAlign w:val="bottom"/>
            <w:gridSpan w:val="2"/>
            <w:shd w:val="clear" w:color="auto" w:fill="FCEAB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139,743</w:t>
            </w:r>
          </w:p>
        </w:tc>
        <w:tc>
          <w:tcPr>
            <w:tcW w:w="200" w:type="dxa"/>
            <w:vAlign w:val="bottom"/>
            <w:shd w:val="clear" w:color="auto" w:fill="FCEABC"/>
          </w:tcPr>
          <w:p>
            <w:pPr>
              <w:spacing w:after="0"/>
              <w:rPr>
                <w:sz w:val="12"/>
                <w:szCs w:val="12"/>
                <w:color w:val="auto"/>
              </w:rPr>
            </w:pPr>
          </w:p>
        </w:tc>
        <w:tc>
          <w:tcPr>
            <w:tcW w:w="700" w:type="dxa"/>
            <w:vAlign w:val="bottom"/>
            <w:shd w:val="clear" w:color="auto" w:fill="FCEAB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FCEABC"/>
          </w:tcPr>
          <w:p>
            <w:pPr>
              <w:spacing w:after="0"/>
              <w:rPr>
                <w:sz w:val="12"/>
                <w:szCs w:val="12"/>
                <w:color w:val="auto"/>
              </w:rPr>
            </w:pPr>
          </w:p>
        </w:tc>
        <w:tc>
          <w:tcPr>
            <w:tcW w:w="720" w:type="dxa"/>
            <w:vAlign w:val="bottom"/>
            <w:gridSpan w:val="2"/>
            <w:shd w:val="clear" w:color="auto" w:fill="FCEABC"/>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FCEABC"/>
          </w:tcPr>
          <w:p>
            <w:pPr>
              <w:spacing w:after="0"/>
              <w:rPr>
                <w:sz w:val="12"/>
                <w:szCs w:val="12"/>
                <w:color w:val="auto"/>
              </w:rPr>
            </w:pPr>
          </w:p>
        </w:tc>
        <w:tc>
          <w:tcPr>
            <w:tcW w:w="600" w:type="dxa"/>
            <w:vAlign w:val="bottom"/>
            <w:shd w:val="clear" w:color="auto" w:fill="FCEABC"/>
          </w:tcPr>
          <w:p>
            <w:pPr>
              <w:spacing w:after="0"/>
              <w:rPr>
                <w:sz w:val="12"/>
                <w:szCs w:val="12"/>
                <w:color w:val="auto"/>
              </w:rPr>
            </w:pPr>
          </w:p>
        </w:tc>
        <w:tc>
          <w:tcPr>
            <w:tcW w:w="120" w:type="dxa"/>
            <w:vAlign w:val="bottom"/>
            <w:shd w:val="clear" w:color="auto" w:fill="FCEABC"/>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4/1/2024</w:t>
            </w:r>
            <w:r>
              <w:rPr>
                <w:rFonts w:ascii="Times New Roman" w:cs="Times New Roman" w:eastAsia="Times New Roman" w:hAnsi="Times New Roman"/>
                <w:sz w:val="17"/>
                <w:szCs w:val="17"/>
                <w:color w:val="auto"/>
                <w:vertAlign w:val="superscript"/>
              </w:rPr>
              <w:t>(1)</w:t>
            </w:r>
          </w:p>
        </w:tc>
        <w:tc>
          <w:tcPr>
            <w:tcW w:w="120" w:type="dxa"/>
            <w:vAlign w:val="bottom"/>
            <w:shd w:val="clear" w:color="auto" w:fill="FCEABC"/>
          </w:tcPr>
          <w:p>
            <w:pPr>
              <w:spacing w:after="0"/>
              <w:rPr>
                <w:sz w:val="12"/>
                <w:szCs w:val="12"/>
                <w:color w:val="auto"/>
              </w:rPr>
            </w:pPr>
          </w:p>
        </w:tc>
        <w:tc>
          <w:tcPr>
            <w:tcW w:w="9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10,955</w:t>
            </w:r>
          </w:p>
        </w:tc>
        <w:tc>
          <w:tcPr>
            <w:tcW w:w="240" w:type="dxa"/>
            <w:vAlign w:val="bottom"/>
            <w:shd w:val="clear" w:color="auto" w:fill="FCEABC"/>
          </w:tcPr>
          <w:p>
            <w:pPr>
              <w:spacing w:after="0"/>
              <w:rPr>
                <w:sz w:val="12"/>
                <w:szCs w:val="12"/>
                <w:color w:val="auto"/>
              </w:rPr>
            </w:pPr>
          </w:p>
        </w:tc>
        <w:tc>
          <w:tcPr>
            <w:tcW w:w="140" w:type="dxa"/>
            <w:vAlign w:val="bottom"/>
            <w:shd w:val="clear" w:color="auto" w:fill="FCEABC"/>
          </w:tcPr>
          <w:p>
            <w:pPr>
              <w:spacing w:after="0"/>
              <w:rPr>
                <w:sz w:val="12"/>
                <w:szCs w:val="12"/>
                <w:color w:val="auto"/>
              </w:rPr>
            </w:pPr>
          </w:p>
        </w:tc>
        <w:tc>
          <w:tcPr>
            <w:tcW w:w="7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21,914</w:t>
            </w:r>
          </w:p>
        </w:tc>
        <w:tc>
          <w:tcPr>
            <w:tcW w:w="240" w:type="dxa"/>
            <w:vAlign w:val="bottom"/>
            <w:shd w:val="clear" w:color="auto" w:fill="FCEABC"/>
          </w:tcPr>
          <w:p>
            <w:pPr>
              <w:spacing w:after="0"/>
              <w:rPr>
                <w:sz w:val="12"/>
                <w:szCs w:val="12"/>
                <w:color w:val="auto"/>
              </w:rPr>
            </w:pPr>
          </w:p>
        </w:tc>
        <w:tc>
          <w:tcPr>
            <w:tcW w:w="800" w:type="dxa"/>
            <w:vAlign w:val="bottom"/>
            <w:shd w:val="clear" w:color="auto" w:fill="FCEABC"/>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FCEAB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w:t>
            </w:r>
          </w:p>
        </w:tc>
        <w:tc>
          <w:tcPr>
            <w:tcW w:w="1060" w:type="dxa"/>
            <w:vAlign w:val="bottom"/>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4/1/2031</w:t>
            </w:r>
          </w:p>
        </w:tc>
        <w:tc>
          <w:tcPr>
            <w:tcW w:w="220" w:type="dxa"/>
            <w:vAlign w:val="bottom"/>
            <w:shd w:val="clear" w:color="auto" w:fill="FCEABC"/>
          </w:tcPr>
          <w:p>
            <w:pPr>
              <w:spacing w:after="0"/>
              <w:rPr>
                <w:sz w:val="12"/>
                <w:szCs w:val="12"/>
                <w:color w:val="auto"/>
              </w:rPr>
            </w:pPr>
          </w:p>
        </w:tc>
        <w:tc>
          <w:tcPr>
            <w:tcW w:w="7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FCEAB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FCEABC"/>
          </w:tcPr>
          <w:p>
            <w:pPr>
              <w:spacing w:after="0"/>
              <w:rPr>
                <w:sz w:val="12"/>
                <w:szCs w:val="12"/>
                <w:color w:val="auto"/>
              </w:rPr>
            </w:pPr>
          </w:p>
        </w:tc>
        <w:tc>
          <w:tcPr>
            <w:tcW w:w="700" w:type="dxa"/>
            <w:vAlign w:val="bottom"/>
            <w:shd w:val="clear" w:color="auto" w:fill="FCEAB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FCEABC"/>
          </w:tcPr>
          <w:p>
            <w:pPr>
              <w:spacing w:after="0"/>
              <w:rPr>
                <w:sz w:val="12"/>
                <w:szCs w:val="12"/>
                <w:color w:val="auto"/>
              </w:rPr>
            </w:pPr>
          </w:p>
        </w:tc>
        <w:tc>
          <w:tcPr>
            <w:tcW w:w="720" w:type="dxa"/>
            <w:vAlign w:val="bottom"/>
            <w:gridSpan w:val="2"/>
            <w:shd w:val="clear" w:color="auto" w:fill="FCEABC"/>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shd w:val="clear" w:color="auto" w:fill="FCEABC"/>
          </w:tcPr>
          <w:p>
            <w:pPr>
              <w:spacing w:after="0"/>
              <w:rPr>
                <w:sz w:val="12"/>
                <w:szCs w:val="12"/>
                <w:color w:val="auto"/>
              </w:rPr>
            </w:pPr>
          </w:p>
        </w:tc>
        <w:tc>
          <w:tcPr>
            <w:tcW w:w="600" w:type="dxa"/>
            <w:vAlign w:val="bottom"/>
            <w:shd w:val="clear" w:color="auto" w:fill="FCEABC"/>
          </w:tcPr>
          <w:p>
            <w:pPr>
              <w:spacing w:after="0"/>
              <w:rPr>
                <w:sz w:val="12"/>
                <w:szCs w:val="12"/>
                <w:color w:val="auto"/>
              </w:rPr>
            </w:pPr>
          </w:p>
        </w:tc>
        <w:tc>
          <w:tcPr>
            <w:tcW w:w="120" w:type="dxa"/>
            <w:vAlign w:val="bottom"/>
            <w:shd w:val="clear" w:color="auto" w:fill="FCEABC"/>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11/1/2024</w:t>
            </w:r>
            <w:r>
              <w:rPr>
                <w:rFonts w:ascii="Times New Roman" w:cs="Times New Roman" w:eastAsia="Times New Roman" w:hAnsi="Times New Roman"/>
                <w:sz w:val="17"/>
                <w:szCs w:val="17"/>
                <w:color w:val="auto"/>
                <w:vertAlign w:val="superscript"/>
              </w:rPr>
              <w:t>(3)</w:t>
            </w:r>
          </w:p>
        </w:tc>
        <w:tc>
          <w:tcPr>
            <w:tcW w:w="120" w:type="dxa"/>
            <w:vAlign w:val="bottom"/>
            <w:shd w:val="clear" w:color="auto" w:fill="FCEABC"/>
          </w:tcPr>
          <w:p>
            <w:pPr>
              <w:spacing w:after="0"/>
              <w:rPr>
                <w:sz w:val="12"/>
                <w:szCs w:val="12"/>
                <w:color w:val="auto"/>
              </w:rPr>
            </w:pPr>
          </w:p>
        </w:tc>
        <w:tc>
          <w:tcPr>
            <w:tcW w:w="9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CEABC"/>
          </w:tcPr>
          <w:p>
            <w:pPr>
              <w:spacing w:after="0"/>
              <w:rPr>
                <w:sz w:val="12"/>
                <w:szCs w:val="12"/>
                <w:color w:val="auto"/>
              </w:rPr>
            </w:pPr>
          </w:p>
        </w:tc>
        <w:tc>
          <w:tcPr>
            <w:tcW w:w="140" w:type="dxa"/>
            <w:vAlign w:val="bottom"/>
            <w:shd w:val="clear" w:color="auto" w:fill="FCEABC"/>
          </w:tcPr>
          <w:p>
            <w:pPr>
              <w:spacing w:after="0"/>
              <w:rPr>
                <w:sz w:val="12"/>
                <w:szCs w:val="12"/>
                <w:color w:val="auto"/>
              </w:rPr>
            </w:pPr>
          </w:p>
        </w:tc>
        <w:tc>
          <w:tcPr>
            <w:tcW w:w="7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FCEABC"/>
          </w:tcPr>
          <w:p>
            <w:pPr>
              <w:spacing w:after="0"/>
              <w:rPr>
                <w:sz w:val="12"/>
                <w:szCs w:val="12"/>
                <w:color w:val="auto"/>
              </w:rPr>
            </w:pPr>
          </w:p>
        </w:tc>
        <w:tc>
          <w:tcPr>
            <w:tcW w:w="800" w:type="dxa"/>
            <w:vAlign w:val="bottom"/>
            <w:shd w:val="clear" w:color="auto" w:fill="FCEABC"/>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FCEAB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FCEABC"/>
          </w:tcPr>
          <w:p>
            <w:pPr>
              <w:spacing w:after="0"/>
              <w:rPr>
                <w:sz w:val="12"/>
                <w:szCs w:val="12"/>
                <w:color w:val="auto"/>
              </w:rPr>
            </w:pPr>
          </w:p>
        </w:tc>
        <w:tc>
          <w:tcPr>
            <w:tcW w:w="8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360" w:type="dxa"/>
            <w:vAlign w:val="bottom"/>
            <w:gridSpan w:val="2"/>
            <w:shd w:val="clear" w:color="auto" w:fill="FCEAB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1,608,000</w:t>
            </w:r>
          </w:p>
        </w:tc>
        <w:tc>
          <w:tcPr>
            <w:tcW w:w="200" w:type="dxa"/>
            <w:vAlign w:val="bottom"/>
            <w:shd w:val="clear" w:color="auto" w:fill="FCEABC"/>
          </w:tcPr>
          <w:p>
            <w:pPr>
              <w:spacing w:after="0"/>
              <w:rPr>
                <w:sz w:val="12"/>
                <w:szCs w:val="12"/>
                <w:color w:val="auto"/>
              </w:rPr>
            </w:pPr>
          </w:p>
        </w:tc>
        <w:tc>
          <w:tcPr>
            <w:tcW w:w="700" w:type="dxa"/>
            <w:vAlign w:val="bottom"/>
            <w:shd w:val="clear" w:color="auto" w:fill="FCEAB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FCEABC"/>
          </w:tcPr>
          <w:p>
            <w:pPr>
              <w:spacing w:after="0"/>
              <w:rPr>
                <w:sz w:val="12"/>
                <w:szCs w:val="12"/>
                <w:color w:val="auto"/>
              </w:rPr>
            </w:pPr>
          </w:p>
        </w:tc>
        <w:tc>
          <w:tcPr>
            <w:tcW w:w="720" w:type="dxa"/>
            <w:vAlign w:val="bottom"/>
            <w:gridSpan w:val="2"/>
            <w:shd w:val="clear" w:color="auto" w:fill="FCEABC"/>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320" w:type="dxa"/>
            <w:vAlign w:val="bottom"/>
            <w:tcBorders>
              <w:bottom w:val="single" w:sz="8" w:color="FCEABC"/>
            </w:tcBorders>
            <w:shd w:val="clear" w:color="auto" w:fill="FCEABC"/>
          </w:tcPr>
          <w:p>
            <w:pPr>
              <w:spacing w:after="0"/>
              <w:rPr>
                <w:sz w:val="13"/>
                <w:szCs w:val="13"/>
                <w:color w:val="auto"/>
              </w:rPr>
            </w:pPr>
          </w:p>
        </w:tc>
        <w:tc>
          <w:tcPr>
            <w:tcW w:w="600" w:type="dxa"/>
            <w:vAlign w:val="bottom"/>
            <w:tcBorders>
              <w:bottom w:val="single" w:sz="8" w:color="FCEABC"/>
            </w:tcBorders>
            <w:shd w:val="clear" w:color="auto" w:fill="FCEABC"/>
          </w:tcPr>
          <w:p>
            <w:pPr>
              <w:spacing w:after="0"/>
              <w:rPr>
                <w:sz w:val="13"/>
                <w:szCs w:val="13"/>
                <w:color w:val="auto"/>
              </w:rPr>
            </w:pPr>
          </w:p>
        </w:tc>
        <w:tc>
          <w:tcPr>
            <w:tcW w:w="120" w:type="dxa"/>
            <w:vAlign w:val="bottom"/>
            <w:tcBorders>
              <w:bottom w:val="single" w:sz="8" w:color="FCEABC"/>
            </w:tcBorders>
            <w:shd w:val="clear" w:color="auto" w:fill="FCEABC"/>
          </w:tcPr>
          <w:p>
            <w:pPr>
              <w:spacing w:after="0"/>
              <w:rPr>
                <w:sz w:val="13"/>
                <w:szCs w:val="13"/>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4/1/2025</w:t>
            </w:r>
            <w:r>
              <w:rPr>
                <w:rFonts w:ascii="Times New Roman" w:cs="Times New Roman" w:eastAsia="Times New Roman" w:hAnsi="Times New Roman"/>
                <w:sz w:val="17"/>
                <w:szCs w:val="17"/>
                <w:color w:val="auto"/>
                <w:vertAlign w:val="superscript"/>
              </w:rPr>
              <w:t>(3)</w:t>
            </w:r>
          </w:p>
        </w:tc>
        <w:tc>
          <w:tcPr>
            <w:tcW w:w="120" w:type="dxa"/>
            <w:vAlign w:val="bottom"/>
            <w:tcBorders>
              <w:bottom w:val="single" w:sz="8" w:color="FCEABC"/>
            </w:tcBorders>
            <w:shd w:val="clear" w:color="auto" w:fill="FCEABC"/>
          </w:tcPr>
          <w:p>
            <w:pPr>
              <w:spacing w:after="0"/>
              <w:rPr>
                <w:sz w:val="13"/>
                <w:szCs w:val="13"/>
                <w:color w:val="auto"/>
              </w:rPr>
            </w:pPr>
          </w:p>
        </w:tc>
        <w:tc>
          <w:tcPr>
            <w:tcW w:w="960" w:type="dxa"/>
            <w:vAlign w:val="bottom"/>
            <w:tcBorders>
              <w:bottom w:val="single" w:sz="8" w:color="FCEABC"/>
            </w:tcBorders>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FCEABC"/>
            </w:tcBorders>
            <w:shd w:val="clear" w:color="auto" w:fill="FCEABC"/>
          </w:tcPr>
          <w:p>
            <w:pPr>
              <w:spacing w:after="0"/>
              <w:rPr>
                <w:sz w:val="13"/>
                <w:szCs w:val="13"/>
                <w:color w:val="auto"/>
              </w:rPr>
            </w:pPr>
          </w:p>
        </w:tc>
        <w:tc>
          <w:tcPr>
            <w:tcW w:w="140" w:type="dxa"/>
            <w:vAlign w:val="bottom"/>
            <w:tcBorders>
              <w:bottom w:val="single" w:sz="8" w:color="FCEABC"/>
            </w:tcBorders>
            <w:shd w:val="clear" w:color="auto" w:fill="FCEABC"/>
          </w:tcPr>
          <w:p>
            <w:pPr>
              <w:spacing w:after="0"/>
              <w:rPr>
                <w:sz w:val="13"/>
                <w:szCs w:val="13"/>
                <w:color w:val="auto"/>
              </w:rPr>
            </w:pPr>
          </w:p>
        </w:tc>
        <w:tc>
          <w:tcPr>
            <w:tcW w:w="740" w:type="dxa"/>
            <w:vAlign w:val="bottom"/>
            <w:tcBorders>
              <w:bottom w:val="single" w:sz="8" w:color="FCEABC"/>
            </w:tcBorders>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FCEABC"/>
            </w:tcBorders>
            <w:shd w:val="clear" w:color="auto" w:fill="FCEABC"/>
          </w:tcPr>
          <w:p>
            <w:pPr>
              <w:spacing w:after="0"/>
              <w:rPr>
                <w:sz w:val="13"/>
                <w:szCs w:val="13"/>
                <w:color w:val="auto"/>
              </w:rPr>
            </w:pPr>
          </w:p>
        </w:tc>
        <w:tc>
          <w:tcPr>
            <w:tcW w:w="800" w:type="dxa"/>
            <w:vAlign w:val="bottom"/>
            <w:tcBorders>
              <w:bottom w:val="single" w:sz="8" w:color="FCEABC"/>
            </w:tcBorders>
            <w:shd w:val="clear" w:color="auto" w:fill="FCEABC"/>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Borders>
              <w:bottom w:val="single" w:sz="8" w:color="FCEABC"/>
            </w:tcBorders>
            <w:gridSpan w:val="2"/>
            <w:shd w:val="clear" w:color="auto" w:fill="FCEAB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FCEABC"/>
            </w:tcBorders>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FCEABC"/>
            </w:tcBorders>
            <w:shd w:val="clear" w:color="auto" w:fill="FCEABC"/>
          </w:tcPr>
          <w:p>
            <w:pPr>
              <w:spacing w:after="0"/>
              <w:rPr>
                <w:sz w:val="13"/>
                <w:szCs w:val="13"/>
                <w:color w:val="auto"/>
              </w:rPr>
            </w:pPr>
          </w:p>
        </w:tc>
        <w:tc>
          <w:tcPr>
            <w:tcW w:w="840" w:type="dxa"/>
            <w:vAlign w:val="bottom"/>
            <w:tcBorders>
              <w:bottom w:val="single" w:sz="8" w:color="FCEABC"/>
            </w:tcBorders>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FCEABC"/>
            </w:tcBorders>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84,930</w:t>
            </w:r>
          </w:p>
        </w:tc>
        <w:tc>
          <w:tcPr>
            <w:tcW w:w="360" w:type="dxa"/>
            <w:vAlign w:val="bottom"/>
            <w:tcBorders>
              <w:bottom w:val="single" w:sz="8" w:color="FCEABC"/>
            </w:tcBorders>
            <w:gridSpan w:val="2"/>
            <w:shd w:val="clear" w:color="auto" w:fill="FCEAB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FCEABC"/>
            </w:tcBorders>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682,531</w:t>
            </w:r>
          </w:p>
        </w:tc>
        <w:tc>
          <w:tcPr>
            <w:tcW w:w="200" w:type="dxa"/>
            <w:vAlign w:val="bottom"/>
            <w:tcBorders>
              <w:bottom w:val="single" w:sz="8" w:color="FCEABC"/>
            </w:tcBorders>
            <w:shd w:val="clear" w:color="auto" w:fill="FCEABC"/>
          </w:tcPr>
          <w:p>
            <w:pPr>
              <w:spacing w:after="0"/>
              <w:rPr>
                <w:sz w:val="13"/>
                <w:szCs w:val="13"/>
                <w:color w:val="auto"/>
              </w:rPr>
            </w:pPr>
          </w:p>
        </w:tc>
        <w:tc>
          <w:tcPr>
            <w:tcW w:w="700" w:type="dxa"/>
            <w:vAlign w:val="bottom"/>
            <w:tcBorders>
              <w:bottom w:val="single" w:sz="8" w:color="FCEABC"/>
            </w:tcBorders>
            <w:shd w:val="clear" w:color="auto" w:fill="FCEABC"/>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FCEABC"/>
            </w:tcBorders>
            <w:shd w:val="clear" w:color="auto" w:fill="FCEABC"/>
          </w:tcPr>
          <w:p>
            <w:pPr>
              <w:spacing w:after="0"/>
              <w:rPr>
                <w:sz w:val="13"/>
                <w:szCs w:val="13"/>
                <w:color w:val="auto"/>
              </w:rPr>
            </w:pPr>
          </w:p>
        </w:tc>
        <w:tc>
          <w:tcPr>
            <w:tcW w:w="720" w:type="dxa"/>
            <w:vAlign w:val="bottom"/>
            <w:tcBorders>
              <w:bottom w:val="single" w:sz="8" w:color="FCEABC"/>
            </w:tcBorders>
            <w:gridSpan w:val="2"/>
            <w:shd w:val="clear" w:color="auto" w:fill="FCEABC"/>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92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Bret Kravitz</w:t>
            </w:r>
          </w:p>
        </w:tc>
        <w:tc>
          <w:tcPr>
            <w:tcW w:w="12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4/1/2021</w:t>
            </w:r>
            <w:r>
              <w:rPr>
                <w:rFonts w:ascii="Times New Roman" w:cs="Times New Roman" w:eastAsia="Times New Roman" w:hAnsi="Times New Roman"/>
                <w:sz w:val="14"/>
                <w:szCs w:val="14"/>
                <w:color w:val="auto"/>
                <w:vertAlign w:val="superscript"/>
              </w:rPr>
              <w:t>(1)</w:t>
            </w:r>
          </w:p>
        </w:tc>
        <w:tc>
          <w:tcPr>
            <w:tcW w:w="120" w:type="dxa"/>
            <w:vAlign w:val="bottom"/>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7,470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0" w:type="dxa"/>
            <w:vAlign w:val="bottom"/>
          </w:tcPr>
          <w:p>
            <w:pPr>
              <w:ind w:left="640"/>
              <w:spacing w:after="0" w:line="122"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29.68</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4/1/2026</w:t>
            </w:r>
          </w:p>
        </w:tc>
        <w:tc>
          <w:tcPr>
            <w:tcW w:w="2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00" w:type="dxa"/>
            <w:vAlign w:val="bottom"/>
          </w:tcPr>
          <w:p>
            <w:pPr>
              <w:ind w:left="540"/>
              <w:spacing w:after="0" w:line="122"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0"/>
                <w:szCs w:val="10"/>
                <w:color w:val="auto"/>
              </w:rPr>
            </w:pPr>
          </w:p>
        </w:tc>
        <w:tc>
          <w:tcPr>
            <w:tcW w:w="720" w:type="dxa"/>
            <w:vAlign w:val="bottom"/>
            <w:gridSpan w:val="2"/>
          </w:tcPr>
          <w:p>
            <w:pPr>
              <w:ind w:left="4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4/1/2022</w:t>
            </w:r>
            <w:r>
              <w:rPr>
                <w:rFonts w:ascii="Times New Roman" w:cs="Times New Roman" w:eastAsia="Times New Roman" w:hAnsi="Times New Roman"/>
                <w:sz w:val="17"/>
                <w:szCs w:val="17"/>
                <w:color w:val="auto"/>
                <w:vertAlign w:val="superscript"/>
              </w:rPr>
              <w:t>(1)</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7,788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4/1/2029</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7/1/2022</w:t>
            </w:r>
            <w:r>
              <w:rPr>
                <w:rFonts w:ascii="Times New Roman" w:cs="Times New Roman" w:eastAsia="Times New Roman" w:hAnsi="Times New Roman"/>
                <w:sz w:val="17"/>
                <w:szCs w:val="17"/>
                <w:color w:val="auto"/>
                <w:vertAlign w:val="superscript"/>
              </w:rPr>
              <w:t>(2)</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19,379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7/1/2029</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1/1/2023</w:t>
            </w:r>
            <w:r>
              <w:rPr>
                <w:rFonts w:ascii="Times New Roman" w:cs="Times New Roman" w:eastAsia="Times New Roman" w:hAnsi="Times New Roman"/>
                <w:sz w:val="17"/>
                <w:szCs w:val="17"/>
                <w:color w:val="auto"/>
                <w:vertAlign w:val="superscript"/>
              </w:rPr>
              <w:t>(3)</w:t>
            </w: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8,475</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68,139</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1/1/2023</w:t>
            </w:r>
            <w:r>
              <w:rPr>
                <w:rFonts w:ascii="Times New Roman" w:cs="Times New Roman" w:eastAsia="Times New Roman" w:hAnsi="Times New Roman"/>
                <w:sz w:val="17"/>
                <w:szCs w:val="17"/>
                <w:color w:val="auto"/>
                <w:vertAlign w:val="superscript"/>
              </w:rPr>
              <w:t>(1)</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31,314</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15,658</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8.85</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1/1/2030</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4/1/2023</w:t>
            </w:r>
            <w:r>
              <w:rPr>
                <w:rFonts w:ascii="Times New Roman" w:cs="Times New Roman" w:eastAsia="Times New Roman" w:hAnsi="Times New Roman"/>
                <w:sz w:val="17"/>
                <w:szCs w:val="17"/>
                <w:color w:val="auto"/>
                <w:vertAlign w:val="superscript"/>
              </w:rPr>
              <w:t>(3)</w:t>
            </w: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10,980</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88,279</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4/1/2023</w:t>
            </w:r>
            <w:r>
              <w:rPr>
                <w:rFonts w:ascii="Times New Roman" w:cs="Times New Roman" w:eastAsia="Times New Roman" w:hAnsi="Times New Roman"/>
                <w:sz w:val="17"/>
                <w:szCs w:val="17"/>
                <w:color w:val="auto"/>
                <w:vertAlign w:val="superscript"/>
              </w:rPr>
              <w:t>(1)</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40,849</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20,425</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7.59</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4/1/2030</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4/1/2024</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6,685</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53,747</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4/1/2024</w:t>
            </w:r>
            <w:r>
              <w:rPr>
                <w:rFonts w:ascii="Times New Roman" w:cs="Times New Roman" w:eastAsia="Times New Roman" w:hAnsi="Times New Roman"/>
                <w:sz w:val="17"/>
                <w:szCs w:val="17"/>
                <w:color w:val="auto"/>
                <w:vertAlign w:val="superscript"/>
              </w:rPr>
              <w:t>(1)</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25,281</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50,572</w:t>
            </w:r>
          </w:p>
        </w:tc>
        <w:tc>
          <w:tcPr>
            <w:tcW w:w="240" w:type="dxa"/>
            <w:vAlign w:val="bottom"/>
          </w:tcPr>
          <w:p>
            <w:pPr>
              <w:spacing w:after="0"/>
              <w:rPr>
                <w:sz w:val="12"/>
                <w:szCs w:val="12"/>
                <w:color w:val="auto"/>
              </w:rPr>
            </w:pPr>
          </w:p>
        </w:tc>
        <w:tc>
          <w:tcPr>
            <w:tcW w:w="8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4/1/2031</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7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3"/>
        </w:trPr>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11/1/2024</w:t>
            </w:r>
            <w:r>
              <w:rPr>
                <w:rFonts w:ascii="Times New Roman" w:cs="Times New Roman" w:eastAsia="Times New Roman" w:hAnsi="Times New Roman"/>
                <w:sz w:val="19"/>
                <w:szCs w:val="19"/>
                <w:color w:val="auto"/>
                <w:vertAlign w:val="superscript"/>
              </w:rPr>
              <w:t>(3)</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1"/>
                <w:szCs w:val="21"/>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1,608,000</w:t>
            </w:r>
          </w:p>
        </w:tc>
        <w:tc>
          <w:tcPr>
            <w:tcW w:w="200" w:type="dxa"/>
            <w:vAlign w:val="bottom"/>
          </w:tcPr>
          <w:p>
            <w:pPr>
              <w:spacing w:after="0"/>
              <w:rPr>
                <w:sz w:val="21"/>
                <w:szCs w:val="21"/>
                <w:color w:val="auto"/>
              </w:rPr>
            </w:pPr>
          </w:p>
        </w:tc>
        <w:tc>
          <w:tcPr>
            <w:tcW w:w="700" w:type="dxa"/>
            <w:vAlign w:val="bottom"/>
          </w:tcPr>
          <w:p>
            <w:pPr>
              <w:ind w:left="5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21"/>
                <w:szCs w:val="21"/>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-4385945</wp:posOffset>
            </wp:positionV>
            <wp:extent cx="7132320" cy="1037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037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-2217420</wp:posOffset>
            </wp:positionV>
            <wp:extent cx="7132320" cy="12255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22555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Notes</w:t>
      </w:r>
      <w:r>
        <w:rPr>
          <w:rFonts w:ascii="Times New Roman" w:cs="Times New Roman" w:eastAsia="Times New Roman" w:hAnsi="Times New Roman"/>
          <w:sz w:val="14"/>
          <w:szCs w:val="14"/>
          <w:b w:val="1"/>
          <w:bCs w:val="1"/>
          <w:color w:val="auto"/>
        </w:rPr>
        <w:t>:</w:t>
      </w:r>
    </w:p>
    <w:p>
      <w:pPr>
        <w:spacing w:after="0" w:line="98" w:lineRule="exact"/>
        <w:rPr>
          <w:sz w:val="20"/>
          <w:szCs w:val="20"/>
          <w:color w:val="auto"/>
        </w:rPr>
      </w:pPr>
    </w:p>
    <w:p>
      <w:pPr>
        <w:ind w:left="380" w:hanging="372"/>
        <w:spacing w:after="0"/>
        <w:tabs>
          <w:tab w:leader="none" w:pos="3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award that vests in one-third increments on each of the first three anniversaries of the grant date.</w:t>
      </w:r>
    </w:p>
    <w:p>
      <w:pPr>
        <w:spacing w:after="0" w:line="3"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award that vested one-half on the six-month anniversary of the grant date (January 1, 2023) and one-half on the eighteen-month anniversary of the grant date (January 1, 2024).</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60" w:name="page61"/>
    <w:bookmarkEnd w:id="60"/>
    <w:p>
      <w:pPr>
        <w:ind w:left="380" w:hanging="372"/>
        <w:spacing w:after="0"/>
        <w:tabs>
          <w:tab w:leader="none" w:pos="3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RSU award that vests in one-third increments on each of the first three anniversaries of the grant date.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 Exercised and Stock Vested</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shares acquired by our NEOs in fiscal 2025 as a result of the vesting of RSUs or the exercise of options awarded under our equity compensation programs.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100" w:type="dxa"/>
            <w:vAlign w:val="bottom"/>
            <w:tcBorders>
              <w:bottom w:val="single" w:sz="8" w:color="auto"/>
            </w:tcBorders>
            <w:gridSpan w:val="4"/>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320" w:type="dxa"/>
            <w:vAlign w:val="bottom"/>
            <w:tcBorders>
              <w:bottom w:val="single" w:sz="8" w:color="auto"/>
            </w:tcBorders>
            <w:gridSpan w:val="4"/>
          </w:tcPr>
          <w:p>
            <w:pPr>
              <w:jc w:val="right"/>
              <w:ind w:right="1156"/>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6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2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40" w:type="dxa"/>
            <w:vAlign w:val="bottom"/>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46"/>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Acquired on Exercise</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84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1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(1)</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96"/>
              <w:spacing w:after="0" w:line="175" w:lineRule="exact"/>
              <w:rPr>
                <w:sz w:val="20"/>
                <w:szCs w:val="20"/>
                <w:color w:val="auto"/>
              </w:rPr>
            </w:pPr>
            <w:r>
              <w:rPr>
                <w:rFonts w:ascii="Times New Roman" w:cs="Times New Roman" w:eastAsia="Times New Roman" w:hAnsi="Times New Roman"/>
                <w:sz w:val="14"/>
                <w:szCs w:val="14"/>
                <w:b w:val="1"/>
                <w:bCs w:val="1"/>
                <w:color w:val="auto"/>
              </w:rPr>
              <w:t>Vesting ($)</w:t>
            </w:r>
            <w:r>
              <w:rPr>
                <w:rFonts w:ascii="Times New Roman" w:cs="Times New Roman" w:eastAsia="Times New Roman" w:hAnsi="Times New Roman"/>
                <w:sz w:val="19"/>
                <w:szCs w:val="19"/>
                <w:b w:val="1"/>
                <w:bCs w:val="1"/>
                <w:color w:val="auto"/>
                <w:vertAlign w:val="superscript"/>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Benjamin Kovler</w:t>
            </w:r>
          </w:p>
        </w:tc>
        <w:tc>
          <w:tcPr>
            <w:tcW w:w="1660" w:type="dxa"/>
            <w:vAlign w:val="bottom"/>
            <w:gridSpan w:val="2"/>
            <w:shd w:val="clear" w:color="auto" w:fill="FCEABC"/>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FCEAB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FCEABC"/>
          </w:tcPr>
          <w:p>
            <w:pPr>
              <w:jc w:val="right"/>
              <w:ind w:right="240"/>
              <w:spacing w:after="0"/>
              <w:rPr>
                <w:sz w:val="20"/>
                <w:szCs w:val="20"/>
                <w:color w:val="auto"/>
              </w:rPr>
            </w:pPr>
            <w:r>
              <w:rPr>
                <w:rFonts w:ascii="Times New Roman" w:cs="Times New Roman" w:eastAsia="Times New Roman" w:hAnsi="Times New Roman"/>
                <w:sz w:val="18"/>
                <w:szCs w:val="18"/>
                <w:color w:val="auto"/>
              </w:rPr>
              <w:t>261,030</w:t>
            </w:r>
          </w:p>
        </w:tc>
        <w:tc>
          <w:tcPr>
            <w:tcW w:w="1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1,830,125</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Georgiadis</w:t>
            </w:r>
          </w:p>
        </w:tc>
        <w:tc>
          <w:tcPr>
            <w:tcW w:w="1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269,960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1,877,070</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Matt Faulkner</w:t>
            </w:r>
          </w:p>
        </w:tc>
        <w:tc>
          <w:tcPr>
            <w:tcW w:w="1660" w:type="dxa"/>
            <w:vAlign w:val="bottom"/>
            <w:gridSpan w:val="2"/>
            <w:shd w:val="clear" w:color="auto" w:fill="FCEABC"/>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FCEAB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FCEABC"/>
          </w:tcPr>
          <w:p>
            <w:pPr>
              <w:jc w:val="right"/>
              <w:ind w:right="240"/>
              <w:spacing w:after="0"/>
              <w:rPr>
                <w:sz w:val="20"/>
                <w:szCs w:val="20"/>
                <w:color w:val="auto"/>
              </w:rPr>
            </w:pPr>
            <w:r>
              <w:rPr>
                <w:rFonts w:ascii="Times New Roman" w:cs="Times New Roman" w:eastAsia="Times New Roman" w:hAnsi="Times New Roman"/>
                <w:sz w:val="18"/>
                <w:szCs w:val="18"/>
                <w:color w:val="auto"/>
              </w:rPr>
              <w:t>133,548</w:t>
            </w:r>
          </w:p>
        </w:tc>
        <w:tc>
          <w:tcPr>
            <w:tcW w:w="1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930,957</w:t>
            </w:r>
          </w:p>
        </w:tc>
        <w:tc>
          <w:tcPr>
            <w:tcW w:w="0" w:type="dxa"/>
            <w:vAlign w:val="bottom"/>
          </w:tcPr>
          <w:p>
            <w:pPr>
              <w:spacing w:after="0"/>
              <w:rPr>
                <w:sz w:val="1"/>
                <w:szCs w:val="1"/>
                <w:color w:val="auto"/>
              </w:rPr>
            </w:pPr>
          </w:p>
        </w:tc>
      </w:tr>
      <w:tr>
        <w:trPr>
          <w:trHeight w:val="2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Bret Kravitz</w:t>
            </w:r>
          </w:p>
        </w:tc>
        <w:tc>
          <w:tcPr>
            <w:tcW w:w="1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124,103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867,986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Notes</w:t>
      </w:r>
      <w:r>
        <w:rPr>
          <w:rFonts w:ascii="Times New Roman" w:cs="Times New Roman" w:eastAsia="Times New Roman" w:hAnsi="Times New Roman"/>
          <w:sz w:val="14"/>
          <w:szCs w:val="14"/>
          <w:b w:val="1"/>
          <w:bCs w:val="1"/>
          <w:color w:val="auto"/>
        </w:rPr>
        <w:t>:</w:t>
      </w:r>
    </w:p>
    <w:p>
      <w:pPr>
        <w:spacing w:after="0" w:line="98"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RSUs that vested during 2025, including shares withheld for payment of applicable taxes associated with the vesting.</w:t>
      </w:r>
    </w:p>
    <w:p>
      <w:pPr>
        <w:spacing w:after="0" w:line="3" w:lineRule="exact"/>
        <w:rPr>
          <w:rFonts w:ascii="Times New Roman" w:cs="Times New Roman" w:eastAsia="Times New Roman" w:hAnsi="Times New Roman"/>
          <w:sz w:val="14"/>
          <w:szCs w:val="14"/>
          <w:color w:val="auto"/>
        </w:rPr>
      </w:pPr>
    </w:p>
    <w:p>
      <w:pPr>
        <w:ind w:left="380" w:right="140" w:hanging="372"/>
        <w:spacing w:after="0" w:line="239" w:lineRule="auto"/>
        <w:tabs>
          <w:tab w:leader="none" w:pos="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the closing price on the CSE on the date of the transaction, as converted to U.S. Dollars based on the exchange rate reported by the Bank of Canada as of the close of trading on that date.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table below provides the estimated incremental compensation for our NEOs upon termination of employment in the event of a change-in-control or the individual’s death. The amounts shown for each event assume that each NEO ceased to be employed by the Company as of December 31, 2025 (the last trading day of 2025) and the price of one of our Subordinate Voting Shares was US$8.04 based on the closing price on the OTCQX Best Market.</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Upon a “change-in-control” and loss of job within twelve months, other than a termination for “cause”, all unvested equity would become immediately vested pursuant to the terms of each applicable award agreement. Upon death, all unvested equity would become immediately vested.</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Termination in</w:t>
            </w:r>
          </w:p>
        </w:tc>
        <w:tc>
          <w:tcPr>
            <w:tcW w:w="20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connection with a</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Change-in-Control</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resulting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 than for cause</w:t>
            </w: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from death</w:t>
            </w:r>
          </w:p>
        </w:tc>
        <w:tc>
          <w:tcPr>
            <w:tcW w:w="0" w:type="dxa"/>
            <w:vAlign w:val="bottom"/>
          </w:tcPr>
          <w:p>
            <w:pPr>
              <w:spacing w:after="0"/>
              <w:rPr>
                <w:sz w:val="1"/>
                <w:szCs w:val="1"/>
                <w:color w:val="auto"/>
              </w:rPr>
            </w:pPr>
          </w:p>
        </w:tc>
      </w:tr>
      <w:tr>
        <w:trPr>
          <w:trHeight w:val="173"/>
        </w:trPr>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Benefits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b w:val="1"/>
                <w:bCs w:val="1"/>
                <w:color w:val="auto"/>
              </w:rPr>
              <w:t>Benjamin Kovler</w:t>
            </w:r>
          </w:p>
        </w:tc>
        <w:tc>
          <w:tcPr>
            <w:tcW w:w="120" w:type="dxa"/>
            <w:vAlign w:val="bottom"/>
            <w:shd w:val="clear" w:color="auto" w:fill="FCEABC"/>
          </w:tcPr>
          <w:p>
            <w:pPr>
              <w:spacing w:after="0"/>
              <w:rPr>
                <w:sz w:val="18"/>
                <w:szCs w:val="18"/>
                <w:color w:val="auto"/>
              </w:rPr>
            </w:pPr>
          </w:p>
        </w:tc>
        <w:tc>
          <w:tcPr>
            <w:tcW w:w="100" w:type="dxa"/>
            <w:vAlign w:val="bottom"/>
            <w:shd w:val="clear" w:color="auto" w:fill="FCEABC"/>
          </w:tcPr>
          <w:p>
            <w:pPr>
              <w:spacing w:after="0"/>
              <w:rPr>
                <w:sz w:val="18"/>
                <w:szCs w:val="18"/>
                <w:color w:val="auto"/>
              </w:rPr>
            </w:pPr>
          </w:p>
        </w:tc>
        <w:tc>
          <w:tcPr>
            <w:tcW w:w="1280" w:type="dxa"/>
            <w:vAlign w:val="bottom"/>
            <w:shd w:val="clear" w:color="auto" w:fill="FCEABC"/>
          </w:tcPr>
          <w:p>
            <w:pPr>
              <w:spacing w:after="0"/>
              <w:rPr>
                <w:sz w:val="18"/>
                <w:szCs w:val="18"/>
                <w:color w:val="auto"/>
              </w:rPr>
            </w:pPr>
          </w:p>
        </w:tc>
        <w:tc>
          <w:tcPr>
            <w:tcW w:w="180" w:type="dxa"/>
            <w:vAlign w:val="bottom"/>
            <w:shd w:val="clear" w:color="auto" w:fill="FCEABC"/>
          </w:tcPr>
          <w:p>
            <w:pPr>
              <w:spacing w:after="0"/>
              <w:rPr>
                <w:sz w:val="18"/>
                <w:szCs w:val="18"/>
                <w:color w:val="auto"/>
              </w:rPr>
            </w:pPr>
          </w:p>
        </w:tc>
        <w:tc>
          <w:tcPr>
            <w:tcW w:w="200" w:type="dxa"/>
            <w:vAlign w:val="bottom"/>
            <w:shd w:val="clear" w:color="auto" w:fill="FCEABC"/>
          </w:tcPr>
          <w:p>
            <w:pPr>
              <w:spacing w:after="0"/>
              <w:rPr>
                <w:sz w:val="18"/>
                <w:szCs w:val="18"/>
                <w:color w:val="auto"/>
              </w:rPr>
            </w:pPr>
          </w:p>
        </w:tc>
        <w:tc>
          <w:tcPr>
            <w:tcW w:w="1200" w:type="dxa"/>
            <w:vAlign w:val="bottom"/>
            <w:shd w:val="clear" w:color="auto" w:fill="FCEABC"/>
          </w:tcPr>
          <w:p>
            <w:pPr>
              <w:spacing w:after="0"/>
              <w:rPr>
                <w:sz w:val="18"/>
                <w:szCs w:val="18"/>
                <w:color w:val="auto"/>
              </w:rPr>
            </w:pPr>
          </w:p>
        </w:tc>
        <w:tc>
          <w:tcPr>
            <w:tcW w:w="80" w:type="dxa"/>
            <w:vAlign w:val="bottom"/>
            <w:shd w:val="clear" w:color="auto" w:fill="FCEAB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FCEABC"/>
          </w:tcPr>
          <w:p>
            <w:pPr>
              <w:ind w:left="60"/>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shd w:val="clear" w:color="auto" w:fill="FCEABC"/>
          </w:tcPr>
          <w:p>
            <w:pPr>
              <w:spacing w:after="0"/>
              <w:rPr>
                <w:sz w:val="18"/>
                <w:szCs w:val="18"/>
                <w:color w:val="auto"/>
              </w:rPr>
            </w:pPr>
          </w:p>
        </w:tc>
        <w:tc>
          <w:tcPr>
            <w:tcW w:w="1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FCEABC"/>
          </w:tcPr>
          <w:p>
            <w:pPr>
              <w:jc w:val="right"/>
              <w:ind w:right="180"/>
              <w:spacing w:after="0"/>
              <w:rPr>
                <w:sz w:val="20"/>
                <w:szCs w:val="20"/>
                <w:color w:val="auto"/>
              </w:rPr>
            </w:pPr>
            <w:r>
              <w:rPr>
                <w:rFonts w:ascii="Times New Roman" w:cs="Times New Roman" w:eastAsia="Times New Roman" w:hAnsi="Times New Roman"/>
                <w:sz w:val="18"/>
                <w:szCs w:val="18"/>
                <w:color w:val="auto"/>
              </w:rPr>
              <w:t>187,164</w:t>
            </w:r>
          </w:p>
        </w:tc>
        <w:tc>
          <w:tcPr>
            <w:tcW w:w="200" w:type="dxa"/>
            <w:vAlign w:val="bottom"/>
            <w:shd w:val="clear" w:color="auto" w:fill="FCEAB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8"/>
                <w:szCs w:val="18"/>
                <w:color w:val="auto"/>
              </w:rPr>
              <w:t>187,164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FCEABC"/>
          </w:tcPr>
          <w:p>
            <w:pPr>
              <w:ind w:left="60"/>
              <w:spacing w:after="0"/>
              <w:rPr>
                <w:sz w:val="20"/>
                <w:szCs w:val="20"/>
                <w:color w:val="auto"/>
              </w:rPr>
            </w:pPr>
            <w:r>
              <w:rPr>
                <w:rFonts w:ascii="Times New Roman" w:cs="Times New Roman" w:eastAsia="Times New Roman" w:hAnsi="Times New Roman"/>
                <w:sz w:val="18"/>
                <w:szCs w:val="18"/>
                <w:color w:val="auto"/>
              </w:rPr>
              <w:t>RSUs</w:t>
            </w:r>
          </w:p>
        </w:tc>
        <w:tc>
          <w:tcPr>
            <w:tcW w:w="120" w:type="dxa"/>
            <w:vAlign w:val="bottom"/>
            <w:shd w:val="clear" w:color="auto" w:fill="FCEABC"/>
          </w:tcPr>
          <w:p>
            <w:pPr>
              <w:spacing w:after="0"/>
              <w:rPr>
                <w:sz w:val="18"/>
                <w:szCs w:val="18"/>
                <w:color w:val="auto"/>
              </w:rPr>
            </w:pPr>
          </w:p>
        </w:tc>
        <w:tc>
          <w:tcPr>
            <w:tcW w:w="1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FCEABC"/>
          </w:tcPr>
          <w:p>
            <w:pPr>
              <w:jc w:val="right"/>
              <w:ind w:right="180"/>
              <w:spacing w:after="0"/>
              <w:rPr>
                <w:sz w:val="20"/>
                <w:szCs w:val="20"/>
                <w:color w:val="auto"/>
              </w:rPr>
            </w:pPr>
            <w:r>
              <w:rPr>
                <w:rFonts w:ascii="Times New Roman" w:cs="Times New Roman" w:eastAsia="Times New Roman" w:hAnsi="Times New Roman"/>
                <w:sz w:val="18"/>
                <w:szCs w:val="18"/>
                <w:color w:val="auto"/>
              </w:rPr>
              <w:t>4,718,435</w:t>
            </w:r>
          </w:p>
        </w:tc>
        <w:tc>
          <w:tcPr>
            <w:tcW w:w="200" w:type="dxa"/>
            <w:vAlign w:val="bottom"/>
            <w:shd w:val="clear" w:color="auto" w:fill="FCEAB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8"/>
                <w:szCs w:val="18"/>
                <w:color w:val="auto"/>
              </w:rPr>
              <w:t>4,718,435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Anthony Georgiadis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RSUs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5,064,766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5,064,766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b w:val="1"/>
                <w:bCs w:val="1"/>
                <w:color w:val="auto"/>
              </w:rPr>
              <w:t>Matt Faulkner</w:t>
            </w:r>
          </w:p>
        </w:tc>
        <w:tc>
          <w:tcPr>
            <w:tcW w:w="120" w:type="dxa"/>
            <w:vAlign w:val="bottom"/>
            <w:shd w:val="clear" w:color="auto" w:fill="FCEABC"/>
          </w:tcPr>
          <w:p>
            <w:pPr>
              <w:spacing w:after="0"/>
              <w:rPr>
                <w:sz w:val="18"/>
                <w:szCs w:val="18"/>
                <w:color w:val="auto"/>
              </w:rPr>
            </w:pPr>
          </w:p>
        </w:tc>
        <w:tc>
          <w:tcPr>
            <w:tcW w:w="100" w:type="dxa"/>
            <w:vAlign w:val="bottom"/>
            <w:shd w:val="clear" w:color="auto" w:fill="FCEABC"/>
          </w:tcPr>
          <w:p>
            <w:pPr>
              <w:spacing w:after="0"/>
              <w:rPr>
                <w:sz w:val="18"/>
                <w:szCs w:val="18"/>
                <w:color w:val="auto"/>
              </w:rPr>
            </w:pPr>
          </w:p>
        </w:tc>
        <w:tc>
          <w:tcPr>
            <w:tcW w:w="1280" w:type="dxa"/>
            <w:vAlign w:val="bottom"/>
            <w:shd w:val="clear" w:color="auto" w:fill="FCEABC"/>
          </w:tcPr>
          <w:p>
            <w:pPr>
              <w:spacing w:after="0"/>
              <w:rPr>
                <w:sz w:val="18"/>
                <w:szCs w:val="18"/>
                <w:color w:val="auto"/>
              </w:rPr>
            </w:pPr>
          </w:p>
        </w:tc>
        <w:tc>
          <w:tcPr>
            <w:tcW w:w="180" w:type="dxa"/>
            <w:vAlign w:val="bottom"/>
            <w:shd w:val="clear" w:color="auto" w:fill="FCEABC"/>
          </w:tcPr>
          <w:p>
            <w:pPr>
              <w:spacing w:after="0"/>
              <w:rPr>
                <w:sz w:val="18"/>
                <w:szCs w:val="18"/>
                <w:color w:val="auto"/>
              </w:rPr>
            </w:pPr>
          </w:p>
        </w:tc>
        <w:tc>
          <w:tcPr>
            <w:tcW w:w="200" w:type="dxa"/>
            <w:vAlign w:val="bottom"/>
            <w:shd w:val="clear" w:color="auto" w:fill="FCEABC"/>
          </w:tcPr>
          <w:p>
            <w:pPr>
              <w:spacing w:after="0"/>
              <w:rPr>
                <w:sz w:val="18"/>
                <w:szCs w:val="18"/>
                <w:color w:val="auto"/>
              </w:rPr>
            </w:pPr>
          </w:p>
        </w:tc>
        <w:tc>
          <w:tcPr>
            <w:tcW w:w="1200" w:type="dxa"/>
            <w:vAlign w:val="bottom"/>
            <w:shd w:val="clear" w:color="auto" w:fill="FCEABC"/>
          </w:tcPr>
          <w:p>
            <w:pPr>
              <w:spacing w:after="0"/>
              <w:rPr>
                <w:sz w:val="18"/>
                <w:szCs w:val="18"/>
                <w:color w:val="auto"/>
              </w:rPr>
            </w:pPr>
          </w:p>
        </w:tc>
        <w:tc>
          <w:tcPr>
            <w:tcW w:w="80" w:type="dxa"/>
            <w:vAlign w:val="bottom"/>
            <w:shd w:val="clear" w:color="auto" w:fill="FCEAB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FCEABC"/>
          </w:tcPr>
          <w:p>
            <w:pPr>
              <w:ind w:left="60"/>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shd w:val="clear" w:color="auto" w:fill="FCEABC"/>
          </w:tcPr>
          <w:p>
            <w:pPr>
              <w:spacing w:after="0"/>
              <w:rPr>
                <w:sz w:val="18"/>
                <w:szCs w:val="18"/>
                <w:color w:val="auto"/>
              </w:rPr>
            </w:pPr>
          </w:p>
        </w:tc>
        <w:tc>
          <w:tcPr>
            <w:tcW w:w="1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FCEAB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FCEAB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FCEABC"/>
          </w:tcPr>
          <w:p>
            <w:pPr>
              <w:ind w:left="60"/>
              <w:spacing w:after="0"/>
              <w:rPr>
                <w:sz w:val="20"/>
                <w:szCs w:val="20"/>
                <w:color w:val="auto"/>
              </w:rPr>
            </w:pPr>
            <w:r>
              <w:rPr>
                <w:rFonts w:ascii="Times New Roman" w:cs="Times New Roman" w:eastAsia="Times New Roman" w:hAnsi="Times New Roman"/>
                <w:sz w:val="18"/>
                <w:szCs w:val="18"/>
                <w:color w:val="auto"/>
              </w:rPr>
              <w:t>RSUs</w:t>
            </w:r>
          </w:p>
        </w:tc>
        <w:tc>
          <w:tcPr>
            <w:tcW w:w="120" w:type="dxa"/>
            <w:vAlign w:val="bottom"/>
            <w:shd w:val="clear" w:color="auto" w:fill="FCEABC"/>
          </w:tcPr>
          <w:p>
            <w:pPr>
              <w:spacing w:after="0"/>
              <w:rPr>
                <w:sz w:val="18"/>
                <w:szCs w:val="18"/>
                <w:color w:val="auto"/>
              </w:rPr>
            </w:pPr>
          </w:p>
        </w:tc>
        <w:tc>
          <w:tcPr>
            <w:tcW w:w="1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FCEABC"/>
          </w:tcPr>
          <w:p>
            <w:pPr>
              <w:jc w:val="right"/>
              <w:ind w:right="180"/>
              <w:spacing w:after="0"/>
              <w:rPr>
                <w:sz w:val="20"/>
                <w:szCs w:val="20"/>
                <w:color w:val="auto"/>
              </w:rPr>
            </w:pPr>
            <w:r>
              <w:rPr>
                <w:rFonts w:ascii="Times New Roman" w:cs="Times New Roman" w:eastAsia="Times New Roman" w:hAnsi="Times New Roman"/>
                <w:sz w:val="18"/>
                <w:szCs w:val="18"/>
                <w:color w:val="auto"/>
              </w:rPr>
              <w:t>2,596,952</w:t>
            </w:r>
          </w:p>
        </w:tc>
        <w:tc>
          <w:tcPr>
            <w:tcW w:w="200" w:type="dxa"/>
            <w:vAlign w:val="bottom"/>
            <w:shd w:val="clear" w:color="auto" w:fill="FCEAB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8"/>
                <w:szCs w:val="18"/>
                <w:color w:val="auto"/>
              </w:rPr>
              <w:t>2,596,952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Bret Kravitz</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108,491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108,491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RSUs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2,308,823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2,308,823</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Ratio</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the Company is providing the following disclosure about the relationship of the median annual total compensation of our employees to the annual total compensation of Mr. Kovler, our CEO. As of December 31, 2025, we had approximately 5,000 team members employed in roles across corporate, retail and cultivation and processing functions, in both full- and part-time capacities. We believe that the pay ratio disclosed below is a reasonable estimate calculated in a manner consistent with Item 402(u) of Regulation S-K. SEC rules for identifying the median employee and calculating the pay ratio allow companies to apply various methodologies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and apply various assumptions and, as result, the pay ratio reported by us may not be comparable to the pay ratio reported by other companies.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2025,</w:t>
      </w:r>
    </w:p>
    <w:p>
      <w:pPr>
        <w:spacing w:after="0" w:line="117"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employee’s total annual compensation was $33,405.</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Kovler’s annual total compensation, as reported in the Total column of the Summary Compensation Table above, was $2,747,714.</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this information, the ratio of the total annual compensation of Mr. Kovler to the total annual compensation of the median employee is estimated to be 82 to 1.</w:t>
      </w:r>
    </w:p>
    <w:p>
      <w:pPr>
        <w:spacing w:after="0" w:line="16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For purposes of calculating its pay ratio, the Company used the annualized compensation of the same median employee in 2025 as it did in 2024. As is permitted under the applicable SEC rules, to identify our median employee among our employee population, we used “annualized base pay”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we have calculated the total amount that individuals would have received had they been employed for the full year) as a consistently applied compensation measure.</w:t>
      </w:r>
    </w:p>
    <w:p>
      <w:pPr>
        <w:spacing w:after="0" w:line="15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calculated annualized base pay using annual base salary levels, except for hourly workers, for whom we used a reasonable estimate of hours worked during the year, determined based on payroll records, multiplied by their hourly wage to determine annualized base pay. After identifying the median employee based on annualized base pay, we calculated annual total compensation for that employee using the same methodology we use for our NEOs as set forth in the 2025 Summary Compensation Table.</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58"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Pay-versus-Performance Table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the following disclosure describes the relationship between executive compensation and the Company’s performance with respect to select financial measures. For more information regarding the Company’s executive compensation program, please see “Compensation Discussion and Analysis” above.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4"/>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6"/>
              </w:rPr>
              <w:t>Value of Initial Fixed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34"/>
              <w:spacing w:after="0" w:line="128"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80" w:type="dxa"/>
            <w:vAlign w:val="bottom"/>
          </w:tcPr>
          <w:p>
            <w:pPr>
              <w:spacing w:after="0"/>
              <w:rPr>
                <w:sz w:val="11"/>
                <w:szCs w:val="11"/>
                <w:color w:val="auto"/>
              </w:rPr>
            </w:pPr>
          </w:p>
        </w:tc>
        <w:tc>
          <w:tcPr>
            <w:tcW w:w="192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80" w:type="dxa"/>
            <w:vAlign w:val="bottom"/>
          </w:tcPr>
          <w:p>
            <w:pPr>
              <w:spacing w:after="0"/>
              <w:rPr>
                <w:sz w:val="11"/>
                <w:szCs w:val="11"/>
                <w:color w:val="auto"/>
              </w:rPr>
            </w:pPr>
          </w:p>
        </w:tc>
        <w:tc>
          <w:tcPr>
            <w:tcW w:w="1920" w:type="dxa"/>
            <w:vAlign w:val="bottom"/>
            <w:gridSpan w:val="4"/>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6"/>
              </w:rPr>
              <w:t>$100 Investment Based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5"/>
              </w:rPr>
              <w:t>Table Total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Actually Paid</w:t>
            </w: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On:</w:t>
            </w:r>
          </w:p>
        </w:tc>
        <w:tc>
          <w:tcPr>
            <w:tcW w:w="8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center"/>
              <w:ind w:right="93"/>
              <w:spacing w:after="0" w:line="109" w:lineRule="exact"/>
              <w:rPr>
                <w:sz w:val="20"/>
                <w:szCs w:val="20"/>
                <w:color w:val="auto"/>
              </w:rPr>
            </w:pPr>
            <w:r>
              <w:rPr>
                <w:rFonts w:ascii="Times New Roman" w:cs="Times New Roman" w:eastAsia="Times New Roman" w:hAnsi="Times New Roman"/>
                <w:sz w:val="12"/>
                <w:szCs w:val="12"/>
                <w:b w:val="1"/>
                <w:bCs w:val="1"/>
                <w:color w:val="auto"/>
              </w:rPr>
              <w:t>Summary</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center"/>
              <w:ind w:right="34"/>
              <w:spacing w:after="0" w:line="109" w:lineRule="exact"/>
              <w:rPr>
                <w:sz w:val="20"/>
                <w:szCs w:val="20"/>
                <w:color w:val="auto"/>
              </w:rPr>
            </w:pPr>
            <w:r>
              <w:rPr>
                <w:rFonts w:ascii="Times New Roman" w:cs="Times New Roman" w:eastAsia="Times New Roman" w:hAnsi="Times New Roman"/>
                <w:sz w:val="12"/>
                <w:szCs w:val="12"/>
                <w:b w:val="1"/>
                <w:bCs w:val="1"/>
                <w:color w:val="auto"/>
              </w:rPr>
              <w:t>for non-PEO</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jc w:val="center"/>
              <w:ind w:right="300"/>
              <w:spacing w:after="0" w:line="109" w:lineRule="exact"/>
              <w:rPr>
                <w:sz w:val="20"/>
                <w:szCs w:val="20"/>
                <w:color w:val="auto"/>
              </w:rPr>
            </w:pPr>
            <w:r>
              <w:rPr>
                <w:rFonts w:ascii="Times New Roman" w:cs="Times New Roman" w:eastAsia="Times New Roman" w:hAnsi="Times New Roman"/>
                <w:sz w:val="12"/>
                <w:szCs w:val="12"/>
                <w:b w:val="1"/>
                <w:bCs w:val="1"/>
                <w:color w:val="auto"/>
              </w:rPr>
              <w:t>to non-PEO</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right="53"/>
              <w:spacing w:after="0" w:line="109" w:lineRule="exact"/>
              <w:rPr>
                <w:sz w:val="20"/>
                <w:szCs w:val="20"/>
                <w:color w:val="auto"/>
              </w:rPr>
            </w:pPr>
            <w:r>
              <w:rPr>
                <w:rFonts w:ascii="Times New Roman" w:cs="Times New Roman" w:eastAsia="Times New Roman" w:hAnsi="Times New Roman"/>
                <w:sz w:val="12"/>
                <w:szCs w:val="12"/>
                <w:b w:val="1"/>
                <w:bCs w:val="1"/>
                <w:color w:val="auto"/>
              </w:rPr>
              <w:t>Peer Group</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93"/>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 w:type="dxa"/>
            <w:vAlign w:val="bottom"/>
          </w:tcPr>
          <w:p>
            <w:pPr>
              <w:spacing w:after="0"/>
              <w:rPr>
                <w:sz w:val="11"/>
                <w:szCs w:val="11"/>
                <w:color w:val="auto"/>
              </w:rPr>
            </w:pPr>
          </w:p>
        </w:tc>
        <w:tc>
          <w:tcPr>
            <w:tcW w:w="92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5"/>
              </w:rPr>
              <w:t>Named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Named</w:t>
            </w:r>
          </w:p>
        </w:tc>
        <w:tc>
          <w:tcPr>
            <w:tcW w:w="80" w:type="dxa"/>
            <w:vAlign w:val="bottom"/>
          </w:tcPr>
          <w:p>
            <w:pPr>
              <w:spacing w:after="0"/>
              <w:rPr>
                <w:sz w:val="11"/>
                <w:szCs w:val="11"/>
                <w:color w:val="auto"/>
              </w:rPr>
            </w:pPr>
          </w:p>
        </w:tc>
        <w:tc>
          <w:tcPr>
            <w:tcW w:w="800" w:type="dxa"/>
            <w:vAlign w:val="bottom"/>
          </w:tcPr>
          <w:p>
            <w:pPr>
              <w:jc w:val="center"/>
              <w:ind w:right="13"/>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93"/>
              <w:spacing w:after="0" w:line="128" w:lineRule="exact"/>
              <w:rPr>
                <w:sz w:val="20"/>
                <w:szCs w:val="20"/>
                <w:color w:val="auto"/>
              </w:rPr>
            </w:pPr>
            <w:r>
              <w:rPr>
                <w:rFonts w:ascii="Times New Roman" w:cs="Times New Roman" w:eastAsia="Times New Roman" w:hAnsi="Times New Roman"/>
                <w:sz w:val="13"/>
                <w:szCs w:val="13"/>
                <w:b w:val="1"/>
                <w:bCs w:val="1"/>
                <w:color w:val="auto"/>
                <w:w w:val="95"/>
              </w:rPr>
              <w:t>Table Total</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Actually Paid</w:t>
            </w:r>
          </w:p>
        </w:tc>
        <w:tc>
          <w:tcPr>
            <w:tcW w:w="100" w:type="dxa"/>
            <w:vAlign w:val="bottom"/>
          </w:tcPr>
          <w:p>
            <w:pPr>
              <w:spacing w:after="0"/>
              <w:rPr>
                <w:sz w:val="11"/>
                <w:szCs w:val="11"/>
                <w:color w:val="auto"/>
              </w:rPr>
            </w:pPr>
          </w:p>
        </w:tc>
        <w:tc>
          <w:tcPr>
            <w:tcW w:w="920" w:type="dxa"/>
            <w:vAlign w:val="bottom"/>
          </w:tcPr>
          <w:p>
            <w:pPr>
              <w:jc w:val="center"/>
              <w:ind w:right="54"/>
              <w:spacing w:after="0" w:line="128" w:lineRule="exact"/>
              <w:rPr>
                <w:sz w:val="20"/>
                <w:szCs w:val="20"/>
                <w:color w:val="auto"/>
              </w:rPr>
            </w:pPr>
            <w:r>
              <w:rPr>
                <w:rFonts w:ascii="Times New Roman" w:cs="Times New Roman" w:eastAsia="Times New Roman" w:hAnsi="Times New Roman"/>
                <w:sz w:val="13"/>
                <w:szCs w:val="13"/>
                <w:b w:val="1"/>
                <w:bCs w:val="1"/>
                <w:color w:val="auto"/>
                <w:w w:val="95"/>
              </w:rPr>
              <w:t>Executive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Executive</w:t>
            </w:r>
          </w:p>
        </w:tc>
        <w:tc>
          <w:tcPr>
            <w:tcW w:w="80" w:type="dxa"/>
            <w:vAlign w:val="bottom"/>
          </w:tcPr>
          <w:p>
            <w:pPr>
              <w:spacing w:after="0"/>
              <w:rPr>
                <w:sz w:val="11"/>
                <w:szCs w:val="11"/>
                <w:color w:val="auto"/>
              </w:rPr>
            </w:pPr>
          </w:p>
        </w:tc>
        <w:tc>
          <w:tcPr>
            <w:tcW w:w="800" w:type="dxa"/>
            <w:vAlign w:val="bottom"/>
          </w:tcPr>
          <w:p>
            <w:pPr>
              <w:jc w:val="center"/>
              <w:ind w:right="33"/>
              <w:spacing w:after="0" w:line="128"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53"/>
              <w:spacing w:after="0" w:line="128" w:lineRule="exact"/>
              <w:rPr>
                <w:sz w:val="20"/>
                <w:szCs w:val="20"/>
                <w:color w:val="auto"/>
              </w:rPr>
            </w:pPr>
            <w:r>
              <w:rPr>
                <w:rFonts w:ascii="Times New Roman" w:cs="Times New Roman" w:eastAsia="Times New Roman" w:hAnsi="Times New Roman"/>
                <w:sz w:val="13"/>
                <w:szCs w:val="13"/>
                <w:b w:val="1"/>
                <w:bCs w:val="1"/>
                <w:color w:val="auto"/>
                <w:w w:val="99"/>
              </w:rPr>
              <w:t>Shareholder</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3"/>
                <w:szCs w:val="13"/>
                <w:b w:val="1"/>
                <w:bCs w:val="1"/>
                <w:color w:val="auto"/>
              </w:rPr>
              <w:t>Adjusted</w:t>
            </w:r>
          </w:p>
        </w:tc>
        <w:tc>
          <w:tcPr>
            <w:tcW w:w="0" w:type="dxa"/>
            <w:vAlign w:val="bottom"/>
          </w:tcPr>
          <w:p>
            <w:pPr>
              <w:spacing w:after="0"/>
              <w:rPr>
                <w:sz w:val="1"/>
                <w:szCs w:val="1"/>
                <w:color w:val="auto"/>
              </w:rPr>
            </w:pPr>
          </w:p>
        </w:tc>
      </w:tr>
      <w:tr>
        <w:trPr>
          <w:trHeight w:val="162"/>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3"/>
              <w:spacing w:after="0" w:line="162" w:lineRule="exact"/>
              <w:rPr>
                <w:sz w:val="20"/>
                <w:szCs w:val="20"/>
                <w:color w:val="auto"/>
              </w:rPr>
            </w:pPr>
            <w:r>
              <w:rPr>
                <w:rFonts w:ascii="Times New Roman" w:cs="Times New Roman" w:eastAsia="Times New Roman" w:hAnsi="Times New Roman"/>
                <w:sz w:val="13"/>
                <w:szCs w:val="13"/>
                <w:b w:val="1"/>
                <w:bCs w:val="1"/>
                <w:color w:val="auto"/>
                <w:w w:val="91"/>
              </w:rPr>
              <w:t>for PEO</w:t>
            </w:r>
            <w:r>
              <w:rPr>
                <w:rFonts w:ascii="Times New Roman" w:cs="Times New Roman" w:eastAsia="Times New Roman" w:hAnsi="Times New Roman"/>
                <w:sz w:val="16"/>
                <w:szCs w:val="16"/>
                <w:b w:val="1"/>
                <w:bCs w:val="1"/>
                <w:color w:val="auto"/>
                <w:w w:val="91"/>
                <w:vertAlign w:val="superscript"/>
              </w:rPr>
              <w:t>(1)</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1"/>
              <w:spacing w:after="0" w:line="162" w:lineRule="exact"/>
              <w:rPr>
                <w:sz w:val="20"/>
                <w:szCs w:val="20"/>
                <w:color w:val="auto"/>
              </w:rPr>
            </w:pPr>
            <w:r>
              <w:rPr>
                <w:rFonts w:ascii="Times New Roman" w:cs="Times New Roman" w:eastAsia="Times New Roman" w:hAnsi="Times New Roman"/>
                <w:sz w:val="13"/>
                <w:szCs w:val="13"/>
                <w:b w:val="1"/>
                <w:bCs w:val="1"/>
                <w:color w:val="auto"/>
                <w:w w:val="93"/>
              </w:rPr>
              <w:t>to PEO</w:t>
            </w:r>
            <w:r>
              <w:rPr>
                <w:rFonts w:ascii="Times New Roman" w:cs="Times New Roman" w:eastAsia="Times New Roman" w:hAnsi="Times New Roman"/>
                <w:sz w:val="16"/>
                <w:szCs w:val="16"/>
                <w:b w:val="1"/>
                <w:bCs w:val="1"/>
                <w:color w:val="auto"/>
                <w:w w:val="93"/>
                <w:vertAlign w:val="superscript"/>
              </w:rPr>
              <w:t>(2)</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4"/>
              <w:spacing w:after="0" w:line="162" w:lineRule="exact"/>
              <w:rPr>
                <w:sz w:val="20"/>
                <w:szCs w:val="20"/>
                <w:color w:val="auto"/>
              </w:rPr>
            </w:pPr>
            <w:r>
              <w:rPr>
                <w:rFonts w:ascii="Times New Roman" w:cs="Times New Roman" w:eastAsia="Times New Roman" w:hAnsi="Times New Roman"/>
                <w:sz w:val="13"/>
                <w:szCs w:val="13"/>
                <w:b w:val="1"/>
                <w:bCs w:val="1"/>
                <w:color w:val="auto"/>
                <w:w w:val="94"/>
              </w:rPr>
              <w:t>Officers</w:t>
            </w:r>
            <w:r>
              <w:rPr>
                <w:rFonts w:ascii="Times New Roman" w:cs="Times New Roman" w:eastAsia="Times New Roman" w:hAnsi="Times New Roman"/>
                <w:sz w:val="16"/>
                <w:szCs w:val="16"/>
                <w:b w:val="1"/>
                <w:bCs w:val="1"/>
                <w:color w:val="auto"/>
                <w:w w:val="94"/>
                <w:vertAlign w:val="superscript"/>
              </w:rPr>
              <w:t>(3)</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4"/>
              <w:spacing w:after="0" w:line="162" w:lineRule="exact"/>
              <w:rPr>
                <w:sz w:val="20"/>
                <w:szCs w:val="20"/>
                <w:color w:val="auto"/>
              </w:rPr>
            </w:pPr>
            <w:r>
              <w:rPr>
                <w:rFonts w:ascii="Times New Roman" w:cs="Times New Roman" w:eastAsia="Times New Roman" w:hAnsi="Times New Roman"/>
                <w:sz w:val="13"/>
                <w:szCs w:val="13"/>
                <w:b w:val="1"/>
                <w:bCs w:val="1"/>
                <w:color w:val="auto"/>
                <w:w w:val="94"/>
              </w:rPr>
              <w:t>Officers</w:t>
            </w:r>
            <w:r>
              <w:rPr>
                <w:rFonts w:ascii="Times New Roman" w:cs="Times New Roman" w:eastAsia="Times New Roman" w:hAnsi="Times New Roman"/>
                <w:sz w:val="16"/>
                <w:szCs w:val="16"/>
                <w:b w:val="1"/>
                <w:bCs w:val="1"/>
                <w:color w:val="auto"/>
                <w:w w:val="94"/>
                <w:vertAlign w:val="superscript"/>
              </w:rPr>
              <w:t>(4)</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line="162" w:lineRule="exact"/>
              <w:rPr>
                <w:sz w:val="20"/>
                <w:szCs w:val="20"/>
                <w:color w:val="auto"/>
              </w:rPr>
            </w:pPr>
            <w:r>
              <w:rPr>
                <w:rFonts w:ascii="Times New Roman" w:cs="Times New Roman" w:eastAsia="Times New Roman" w:hAnsi="Times New Roman"/>
                <w:sz w:val="13"/>
                <w:szCs w:val="13"/>
                <w:b w:val="1"/>
                <w:bCs w:val="1"/>
                <w:color w:val="auto"/>
                <w:w w:val="91"/>
              </w:rPr>
              <w:t>Return</w:t>
            </w:r>
            <w:r>
              <w:rPr>
                <w:rFonts w:ascii="Times New Roman" w:cs="Times New Roman" w:eastAsia="Times New Roman" w:hAnsi="Times New Roman"/>
                <w:sz w:val="16"/>
                <w:szCs w:val="16"/>
                <w:b w:val="1"/>
                <w:bCs w:val="1"/>
                <w:color w:val="auto"/>
                <w:w w:val="91"/>
                <w:vertAlign w:val="superscript"/>
              </w:rPr>
              <w:t>(5)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3"/>
              <w:spacing w:after="0" w:line="162" w:lineRule="exact"/>
              <w:rPr>
                <w:sz w:val="20"/>
                <w:szCs w:val="20"/>
                <w:color w:val="auto"/>
              </w:rPr>
            </w:pPr>
            <w:r>
              <w:rPr>
                <w:rFonts w:ascii="Times New Roman" w:cs="Times New Roman" w:eastAsia="Times New Roman" w:hAnsi="Times New Roman"/>
                <w:sz w:val="13"/>
                <w:szCs w:val="13"/>
                <w:b w:val="1"/>
                <w:bCs w:val="1"/>
                <w:color w:val="auto"/>
                <w:w w:val="91"/>
              </w:rPr>
              <w:t>Return</w:t>
            </w:r>
            <w:r>
              <w:rPr>
                <w:rFonts w:ascii="Times New Roman" w:cs="Times New Roman" w:eastAsia="Times New Roman" w:hAnsi="Times New Roman"/>
                <w:sz w:val="16"/>
                <w:szCs w:val="16"/>
                <w:b w:val="1"/>
                <w:bCs w:val="1"/>
                <w:color w:val="auto"/>
                <w:w w:val="91"/>
                <w:vertAlign w:val="superscript"/>
              </w:rPr>
              <w:t>(5)</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1"/>
              <w:spacing w:after="0" w:line="162" w:lineRule="exact"/>
              <w:rPr>
                <w:sz w:val="20"/>
                <w:szCs w:val="20"/>
                <w:color w:val="auto"/>
              </w:rPr>
            </w:pPr>
            <w:r>
              <w:rPr>
                <w:rFonts w:ascii="Times New Roman" w:cs="Times New Roman" w:eastAsia="Times New Roman" w:hAnsi="Times New Roman"/>
                <w:sz w:val="13"/>
                <w:szCs w:val="13"/>
                <w:b w:val="1"/>
                <w:bCs w:val="1"/>
                <w:color w:val="auto"/>
                <w:w w:val="99"/>
              </w:rPr>
              <w:t>EBIDTA</w:t>
            </w:r>
            <w:r>
              <w:rPr>
                <w:rFonts w:ascii="Times New Roman" w:cs="Times New Roman" w:eastAsia="Times New Roman" w:hAnsi="Times New Roman"/>
                <w:sz w:val="16"/>
                <w:szCs w:val="16"/>
                <w:b w:val="1"/>
                <w:bCs w:val="1"/>
                <w:color w:val="auto"/>
                <w:w w:val="99"/>
                <w:vertAlign w:val="superscript"/>
              </w:rPr>
              <w:t>(6)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 w:type="dxa"/>
            <w:vAlign w:val="bottom"/>
            <w:gridSpan w:val="2"/>
            <w:shd w:val="clear" w:color="auto" w:fill="FCEABC"/>
          </w:tcPr>
          <w:p>
            <w:pPr>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680" w:type="dxa"/>
            <w:vAlign w:val="bottom"/>
            <w:gridSpan w:val="2"/>
            <w:shd w:val="clear" w:color="auto" w:fill="FCEAB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FCEABC"/>
          </w:tcPr>
          <w:p>
            <w:pPr>
              <w:jc w:val="right"/>
              <w:spacing w:after="0" w:line="142" w:lineRule="exact"/>
              <w:rPr>
                <w:sz w:val="20"/>
                <w:szCs w:val="20"/>
                <w:color w:val="auto"/>
              </w:rPr>
            </w:pPr>
            <w:r>
              <w:rPr>
                <w:rFonts w:ascii="Times New Roman" w:cs="Times New Roman" w:eastAsia="Times New Roman" w:hAnsi="Times New Roman"/>
                <w:sz w:val="14"/>
                <w:szCs w:val="14"/>
                <w:color w:val="auto"/>
              </w:rPr>
              <w:t>2,747,714</w:t>
            </w:r>
          </w:p>
        </w:tc>
        <w:tc>
          <w:tcPr>
            <w:tcW w:w="340" w:type="dxa"/>
            <w:vAlign w:val="bottom"/>
            <w:gridSpan w:val="2"/>
            <w:shd w:val="clear" w:color="auto" w:fill="FCEAB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FCEABC"/>
          </w:tcPr>
          <w:p>
            <w:pPr>
              <w:jc w:val="right"/>
              <w:spacing w:after="0" w:line="142" w:lineRule="exact"/>
              <w:rPr>
                <w:sz w:val="20"/>
                <w:szCs w:val="20"/>
                <w:color w:val="auto"/>
              </w:rPr>
            </w:pPr>
            <w:r>
              <w:rPr>
                <w:rFonts w:ascii="Times New Roman" w:cs="Times New Roman" w:eastAsia="Times New Roman" w:hAnsi="Times New Roman"/>
                <w:sz w:val="14"/>
                <w:szCs w:val="14"/>
                <w:color w:val="auto"/>
              </w:rPr>
              <w:t>2,349,452</w:t>
            </w:r>
          </w:p>
        </w:tc>
        <w:tc>
          <w:tcPr>
            <w:tcW w:w="240" w:type="dxa"/>
            <w:vAlign w:val="bottom"/>
            <w:shd w:val="clear" w:color="auto" w:fill="FCEABC"/>
          </w:tcPr>
          <w:p>
            <w:pPr>
              <w:spacing w:after="0"/>
              <w:rPr>
                <w:sz w:val="12"/>
                <w:szCs w:val="12"/>
                <w:color w:val="auto"/>
              </w:rPr>
            </w:pPr>
          </w:p>
        </w:tc>
        <w:tc>
          <w:tcPr>
            <w:tcW w:w="100" w:type="dxa"/>
            <w:vAlign w:val="bottom"/>
            <w:shd w:val="clear" w:color="auto" w:fill="FCEAB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FCEABC"/>
          </w:tcPr>
          <w:p>
            <w:pPr>
              <w:jc w:val="right"/>
              <w:spacing w:after="0" w:line="142" w:lineRule="exact"/>
              <w:rPr>
                <w:sz w:val="20"/>
                <w:szCs w:val="20"/>
                <w:color w:val="auto"/>
              </w:rPr>
            </w:pPr>
            <w:r>
              <w:rPr>
                <w:rFonts w:ascii="Times New Roman" w:cs="Times New Roman" w:eastAsia="Times New Roman" w:hAnsi="Times New Roman"/>
                <w:sz w:val="14"/>
                <w:szCs w:val="14"/>
                <w:color w:val="auto"/>
              </w:rPr>
              <w:t>2,138,919</w:t>
            </w:r>
          </w:p>
        </w:tc>
        <w:tc>
          <w:tcPr>
            <w:tcW w:w="300" w:type="dxa"/>
            <w:vAlign w:val="bottom"/>
            <w:gridSpan w:val="2"/>
            <w:shd w:val="clear" w:color="auto" w:fill="FCEAB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FCEABC"/>
          </w:tcPr>
          <w:p>
            <w:pPr>
              <w:jc w:val="right"/>
              <w:spacing w:after="0" w:line="142" w:lineRule="exact"/>
              <w:rPr>
                <w:sz w:val="20"/>
                <w:szCs w:val="20"/>
                <w:color w:val="auto"/>
              </w:rPr>
            </w:pPr>
            <w:r>
              <w:rPr>
                <w:rFonts w:ascii="Times New Roman" w:cs="Times New Roman" w:eastAsia="Times New Roman" w:hAnsi="Times New Roman"/>
                <w:sz w:val="14"/>
                <w:szCs w:val="14"/>
                <w:color w:val="auto"/>
              </w:rPr>
              <w:t>1,940,611</w:t>
            </w:r>
          </w:p>
        </w:tc>
        <w:tc>
          <w:tcPr>
            <w:tcW w:w="220" w:type="dxa"/>
            <w:vAlign w:val="bottom"/>
            <w:shd w:val="clear" w:color="auto" w:fill="FCEABC"/>
          </w:tcPr>
          <w:p>
            <w:pPr>
              <w:spacing w:after="0"/>
              <w:rPr>
                <w:sz w:val="12"/>
                <w:szCs w:val="12"/>
                <w:color w:val="auto"/>
              </w:rPr>
            </w:pPr>
          </w:p>
        </w:tc>
        <w:tc>
          <w:tcPr>
            <w:tcW w:w="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FCEABC"/>
          </w:tcPr>
          <w:p>
            <w:pPr>
              <w:jc w:val="right"/>
              <w:spacing w:after="0" w:line="142" w:lineRule="exact"/>
              <w:rPr>
                <w:sz w:val="20"/>
                <w:szCs w:val="20"/>
                <w:color w:val="auto"/>
              </w:rPr>
            </w:pPr>
            <w:r>
              <w:rPr>
                <w:rFonts w:ascii="Times New Roman" w:cs="Times New Roman" w:eastAsia="Times New Roman" w:hAnsi="Times New Roman"/>
                <w:sz w:val="14"/>
                <w:szCs w:val="14"/>
                <w:color w:val="auto"/>
              </w:rPr>
              <w:t>33.25</w:t>
            </w:r>
          </w:p>
        </w:tc>
        <w:tc>
          <w:tcPr>
            <w:tcW w:w="320" w:type="dxa"/>
            <w:vAlign w:val="bottom"/>
            <w:gridSpan w:val="2"/>
            <w:shd w:val="clear" w:color="auto" w:fill="FCEAB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FCEABC"/>
          </w:tcPr>
          <w:p>
            <w:pPr>
              <w:jc w:val="right"/>
              <w:spacing w:after="0" w:line="142" w:lineRule="exact"/>
              <w:rPr>
                <w:sz w:val="20"/>
                <w:szCs w:val="20"/>
                <w:color w:val="auto"/>
              </w:rPr>
            </w:pPr>
            <w:r>
              <w:rPr>
                <w:rFonts w:ascii="Times New Roman" w:cs="Times New Roman" w:eastAsia="Times New Roman" w:hAnsi="Times New Roman"/>
                <w:sz w:val="14"/>
                <w:szCs w:val="14"/>
                <w:color w:val="auto"/>
              </w:rPr>
              <w:t>17.13</w:t>
            </w:r>
          </w:p>
        </w:tc>
        <w:tc>
          <w:tcPr>
            <w:tcW w:w="360" w:type="dxa"/>
            <w:vAlign w:val="bottom"/>
            <w:gridSpan w:val="2"/>
            <w:shd w:val="clear" w:color="auto" w:fill="FCEAB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FCEABC"/>
          </w:tcPr>
          <w:p>
            <w:pPr>
              <w:jc w:val="right"/>
              <w:spacing w:after="0" w:line="142" w:lineRule="exact"/>
              <w:rPr>
                <w:sz w:val="20"/>
                <w:szCs w:val="20"/>
                <w:color w:val="auto"/>
              </w:rPr>
            </w:pPr>
            <w:r>
              <w:rPr>
                <w:rFonts w:ascii="Times New Roman" w:cs="Times New Roman" w:eastAsia="Times New Roman" w:hAnsi="Times New Roman"/>
                <w:sz w:val="14"/>
                <w:szCs w:val="14"/>
                <w:color w:val="auto"/>
              </w:rPr>
              <w:t>114,152,000</w:t>
            </w:r>
          </w:p>
        </w:tc>
        <w:tc>
          <w:tcPr>
            <w:tcW w:w="360" w:type="dxa"/>
            <w:vAlign w:val="bottom"/>
            <w:gridSpan w:val="2"/>
            <w:shd w:val="clear" w:color="auto" w:fill="FCEAB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FCEABC"/>
          </w:tcPr>
          <w:p>
            <w:pPr>
              <w:jc w:val="right"/>
              <w:spacing w:after="0" w:line="142" w:lineRule="exact"/>
              <w:rPr>
                <w:sz w:val="20"/>
                <w:szCs w:val="20"/>
                <w:color w:val="auto"/>
              </w:rPr>
            </w:pPr>
            <w:r>
              <w:rPr>
                <w:rFonts w:ascii="Times New Roman" w:cs="Times New Roman" w:eastAsia="Times New Roman" w:hAnsi="Times New Roman"/>
                <w:sz w:val="14"/>
                <w:szCs w:val="14"/>
                <w:color w:val="auto"/>
              </w:rPr>
              <w:t>341,589,000</w:t>
            </w:r>
          </w:p>
        </w:tc>
        <w:tc>
          <w:tcPr>
            <w:tcW w:w="100" w:type="dxa"/>
            <w:vAlign w:val="bottom"/>
            <w:shd w:val="clear" w:color="auto" w:fill="FCEAB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10,388,077</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7,436,782</w:t>
            </w:r>
          </w:p>
        </w:tc>
        <w:tc>
          <w:tcPr>
            <w:tcW w:w="2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6,496,900</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4,723,985</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84.33</w:t>
            </w: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14.94</w:t>
            </w: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73,083,000</w:t>
            </w: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371,318,000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gridSpan w:val="2"/>
            <w:shd w:val="clear" w:color="auto" w:fill="FCEABC"/>
          </w:tcPr>
          <w:p>
            <w:pPr>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680" w:type="dxa"/>
            <w:vAlign w:val="bottom"/>
            <w:gridSpan w:val="2"/>
            <w:shd w:val="clear" w:color="auto" w:fill="FCEAB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1,822,722</w:t>
            </w:r>
          </w:p>
        </w:tc>
        <w:tc>
          <w:tcPr>
            <w:tcW w:w="340" w:type="dxa"/>
            <w:vAlign w:val="bottom"/>
            <w:gridSpan w:val="2"/>
            <w:shd w:val="clear" w:color="auto" w:fill="FCEAB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2,341,023</w:t>
            </w:r>
          </w:p>
        </w:tc>
        <w:tc>
          <w:tcPr>
            <w:tcW w:w="240" w:type="dxa"/>
            <w:vAlign w:val="bottom"/>
            <w:shd w:val="clear" w:color="auto" w:fill="FCEABC"/>
          </w:tcPr>
          <w:p>
            <w:pPr>
              <w:spacing w:after="0"/>
              <w:rPr>
                <w:sz w:val="12"/>
                <w:szCs w:val="12"/>
                <w:color w:val="auto"/>
              </w:rPr>
            </w:pPr>
          </w:p>
        </w:tc>
        <w:tc>
          <w:tcPr>
            <w:tcW w:w="10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1,778,267</w:t>
            </w:r>
          </w:p>
        </w:tc>
        <w:tc>
          <w:tcPr>
            <w:tcW w:w="300" w:type="dxa"/>
            <w:vAlign w:val="bottom"/>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2,232,578</w:t>
            </w:r>
          </w:p>
        </w:tc>
        <w:tc>
          <w:tcPr>
            <w:tcW w:w="220" w:type="dxa"/>
            <w:vAlign w:val="bottom"/>
            <w:shd w:val="clear" w:color="auto" w:fill="FCEABC"/>
          </w:tcPr>
          <w:p>
            <w:pPr>
              <w:spacing w:after="0"/>
              <w:rPr>
                <w:sz w:val="12"/>
                <w:szCs w:val="12"/>
                <w:color w:val="auto"/>
              </w:rPr>
            </w:pPr>
          </w:p>
        </w:tc>
        <w:tc>
          <w:tcPr>
            <w:tcW w:w="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120.12</w:t>
            </w:r>
          </w:p>
        </w:tc>
        <w:tc>
          <w:tcPr>
            <w:tcW w:w="320" w:type="dxa"/>
            <w:vAlign w:val="bottom"/>
            <w:gridSpan w:val="2"/>
            <w:shd w:val="clear" w:color="auto" w:fill="FCEAB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43.79</w:t>
            </w:r>
          </w:p>
        </w:tc>
        <w:tc>
          <w:tcPr>
            <w:tcW w:w="360" w:type="dxa"/>
            <w:vAlign w:val="bottom"/>
            <w:gridSpan w:val="2"/>
            <w:shd w:val="clear" w:color="auto" w:fill="FCEAB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36,267,000</w:t>
            </w:r>
          </w:p>
        </w:tc>
        <w:tc>
          <w:tcPr>
            <w:tcW w:w="360" w:type="dxa"/>
            <w:vAlign w:val="bottom"/>
            <w:gridSpan w:val="2"/>
            <w:shd w:val="clear" w:color="auto" w:fill="FCEAB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325,839,000</w:t>
            </w:r>
          </w:p>
        </w:tc>
        <w:tc>
          <w:tcPr>
            <w:tcW w:w="100" w:type="dxa"/>
            <w:vAlign w:val="bottom"/>
            <w:shd w:val="clear" w:color="auto" w:fill="FCEAB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1,890,654</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(379,804)</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1,970,222</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(141,643)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94.50</w:t>
            </w:r>
          </w:p>
        </w:tc>
        <w:tc>
          <w:tcPr>
            <w:tcW w:w="3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46.02</w:t>
            </w: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11,978,000</w:t>
            </w:r>
          </w:p>
        </w:tc>
        <w:tc>
          <w:tcPr>
            <w:tcW w:w="3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311,478,000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gridSpan w:val="2"/>
            <w:shd w:val="clear" w:color="auto" w:fill="FCEABC"/>
          </w:tcPr>
          <w:p>
            <w:pPr>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680" w:type="dxa"/>
            <w:vAlign w:val="bottom"/>
            <w:gridSpan w:val="2"/>
            <w:shd w:val="clear" w:color="auto" w:fill="FCEAB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1,714,256</w:t>
            </w:r>
          </w:p>
        </w:tc>
        <w:tc>
          <w:tcPr>
            <w:tcW w:w="340" w:type="dxa"/>
            <w:vAlign w:val="bottom"/>
            <w:gridSpan w:val="2"/>
            <w:shd w:val="clear" w:color="auto" w:fill="FCEAB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FCEAB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(2,168,649)</w:t>
            </w:r>
          </w:p>
        </w:tc>
        <w:tc>
          <w:tcPr>
            <w:tcW w:w="10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1,290,081</w:t>
            </w:r>
          </w:p>
        </w:tc>
        <w:tc>
          <w:tcPr>
            <w:tcW w:w="300" w:type="dxa"/>
            <w:vAlign w:val="bottom"/>
            <w:gridSpan w:val="2"/>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FCEAB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(871,329)</w:t>
            </w:r>
          </w:p>
        </w:tc>
        <w:tc>
          <w:tcPr>
            <w:tcW w:w="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228.29</w:t>
            </w:r>
          </w:p>
        </w:tc>
        <w:tc>
          <w:tcPr>
            <w:tcW w:w="320" w:type="dxa"/>
            <w:vAlign w:val="bottom"/>
            <w:gridSpan w:val="2"/>
            <w:shd w:val="clear" w:color="auto" w:fill="FCEAB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119.75</w:t>
            </w:r>
          </w:p>
        </w:tc>
        <w:tc>
          <w:tcPr>
            <w:tcW w:w="360" w:type="dxa"/>
            <w:vAlign w:val="bottom"/>
            <w:gridSpan w:val="2"/>
            <w:shd w:val="clear" w:color="auto" w:fill="FCEAB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75,436,000</w:t>
            </w:r>
          </w:p>
        </w:tc>
        <w:tc>
          <w:tcPr>
            <w:tcW w:w="360" w:type="dxa"/>
            <w:vAlign w:val="bottom"/>
            <w:gridSpan w:val="2"/>
            <w:shd w:val="clear" w:color="auto" w:fill="FCEAB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FCEABC"/>
          </w:tcPr>
          <w:p>
            <w:pPr>
              <w:jc w:val="right"/>
              <w:spacing w:after="0" w:line="149" w:lineRule="exact"/>
              <w:rPr>
                <w:sz w:val="20"/>
                <w:szCs w:val="20"/>
                <w:color w:val="auto"/>
              </w:rPr>
            </w:pPr>
            <w:r>
              <w:rPr>
                <w:rFonts w:ascii="Times New Roman" w:cs="Times New Roman" w:eastAsia="Times New Roman" w:hAnsi="Times New Roman"/>
                <w:sz w:val="14"/>
                <w:szCs w:val="14"/>
                <w:color w:val="auto"/>
              </w:rPr>
              <w:t>307,834,000</w:t>
            </w:r>
          </w:p>
        </w:tc>
        <w:tc>
          <w:tcPr>
            <w:tcW w:w="100" w:type="dxa"/>
            <w:vAlign w:val="bottom"/>
            <w:shd w:val="clear" w:color="auto" w:fill="FCEABC"/>
          </w:tcPr>
          <w:p>
            <w:pPr>
              <w:spacing w:after="0"/>
              <w:rPr>
                <w:sz w:val="12"/>
                <w:szCs w:val="1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are the total compensation reported for Benjamin Kovler for each fiscal year in the “Total” column of the Summary Compensation Table above.</w:t>
      </w:r>
    </w:p>
    <w:p>
      <w:pPr>
        <w:spacing w:after="0" w:line="3" w:lineRule="exact"/>
        <w:rPr>
          <w:rFonts w:ascii="Times New Roman" w:cs="Times New Roman" w:eastAsia="Times New Roman" w:hAnsi="Times New Roman"/>
          <w:sz w:val="14"/>
          <w:szCs w:val="14"/>
          <w:color w:val="auto"/>
        </w:rPr>
      </w:pPr>
    </w:p>
    <w:p>
      <w:pPr>
        <w:ind w:left="380" w:hanging="372"/>
        <w:spacing w:after="0" w:line="230" w:lineRule="auto"/>
        <w:tabs>
          <w:tab w:leader="none" w:pos="3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for each fiscal year are equal to the “compensation actually paid,” as computed in accordance with Item 402(v) of Regulation S-K. The dollar amounts reported do not reflect the actual amount of compensation earned by or paid to the applicable individual(s) for each applicable fiscal year and are based on valuation assumptions required by the SEC, which are unlikely to reflect actual amounts realized at vesting or exercise (as applicable). In accordance with the requirements of Item 402(v) of Regulation S-K, the reported “Total” in the Summary Compensation Table for Mr. Kovler for the applicable year is adjusted to determine the “compensation actually paid” amount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Change in</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Change in Fair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11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Average Total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Change in</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RSUs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Fair Value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Change in</w:t>
            </w:r>
          </w:p>
        </w:tc>
        <w:tc>
          <w:tcPr>
            <w:tcW w:w="160" w:type="dxa"/>
            <w:vAlign w:val="bottom"/>
          </w:tcPr>
          <w:p>
            <w:pPr>
              <w:spacing w:after="0"/>
              <w:rPr>
                <w:sz w:val="11"/>
                <w:szCs w:val="11"/>
                <w:color w:val="auto"/>
              </w:rPr>
            </w:pPr>
          </w:p>
        </w:tc>
        <w:tc>
          <w:tcPr>
            <w:tcW w:w="10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RSUs</w:t>
            </w: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Change 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Granted 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11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as Reported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160" w:type="dxa"/>
            <w:vAlign w:val="bottom"/>
          </w:tcPr>
          <w:p>
            <w:pPr>
              <w:spacing w:after="0"/>
              <w:rPr>
                <w:sz w:val="11"/>
                <w:szCs w:val="11"/>
                <w:color w:val="auto"/>
              </w:rPr>
            </w:pPr>
          </w:p>
        </w:tc>
        <w:tc>
          <w:tcPr>
            <w:tcW w:w="10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Granted</w:t>
            </w:r>
          </w:p>
        </w:tc>
        <w:tc>
          <w:tcPr>
            <w:tcW w:w="90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Prior Fiscal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Total Change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 the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Granted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Options</w:t>
            </w:r>
          </w:p>
        </w:tc>
        <w:tc>
          <w:tcPr>
            <w:tcW w:w="160" w:type="dxa"/>
            <w:vAlign w:val="bottom"/>
          </w:tcPr>
          <w:p>
            <w:pPr>
              <w:spacing w:after="0"/>
              <w:rPr>
                <w:sz w:val="11"/>
                <w:szCs w:val="11"/>
                <w:color w:val="auto"/>
              </w:rPr>
            </w:pPr>
          </w:p>
        </w:tc>
        <w:tc>
          <w:tcPr>
            <w:tcW w:w="10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During the</w:t>
            </w:r>
          </w:p>
        </w:tc>
        <w:tc>
          <w:tcPr>
            <w:tcW w:w="8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RSUs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Year that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 Fair Value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11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During the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Granted in</w:t>
            </w:r>
          </w:p>
        </w:tc>
        <w:tc>
          <w:tcPr>
            <w:tcW w:w="160" w:type="dxa"/>
            <w:vAlign w:val="bottom"/>
          </w:tcPr>
          <w:p>
            <w:pPr>
              <w:spacing w:after="0"/>
              <w:rPr>
                <w:sz w:val="11"/>
                <w:szCs w:val="11"/>
                <w:color w:val="auto"/>
              </w:rPr>
            </w:pPr>
          </w:p>
        </w:tc>
        <w:tc>
          <w:tcPr>
            <w:tcW w:w="10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Current</w:t>
            </w: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Granted 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Vested in the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Equity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Current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Previous</w:t>
            </w:r>
          </w:p>
        </w:tc>
        <w:tc>
          <w:tcPr>
            <w:tcW w:w="160" w:type="dxa"/>
            <w:vAlign w:val="bottom"/>
          </w:tcPr>
          <w:p>
            <w:pPr>
              <w:spacing w:after="0"/>
              <w:rPr>
                <w:sz w:val="11"/>
                <w:szCs w:val="11"/>
                <w:color w:val="auto"/>
              </w:rPr>
            </w:pPr>
          </w:p>
        </w:tc>
        <w:tc>
          <w:tcPr>
            <w:tcW w:w="106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Fiscal</w:t>
            </w: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Previous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Current Fiscal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(RSUs and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Compensation</w:t>
            </w:r>
          </w:p>
        </w:tc>
      </w:tr>
      <w:tr>
        <w:trPr>
          <w:trHeight w:val="155"/>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8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rPr>
              <w:t>Table</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8"/>
              </w:rPr>
              <w:t>Fiscal Year</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6"/>
              </w:rPr>
              <w:t>Fiscal Years</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Year</w:t>
            </w:r>
          </w:p>
        </w:tc>
        <w:tc>
          <w:tcPr>
            <w:tcW w:w="220" w:type="dxa"/>
            <w:vAlign w:val="bottom"/>
          </w:tcPr>
          <w:p>
            <w:pPr>
              <w:spacing w:after="0"/>
              <w:rPr>
                <w:sz w:val="13"/>
                <w:szCs w:val="13"/>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Fiscal Years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w w:val="97"/>
              </w:rPr>
              <w:t>Actually Paid</w:t>
            </w:r>
          </w:p>
        </w:tc>
        <w:tc>
          <w:tcPr>
            <w:tcW w:w="100" w:type="dxa"/>
            <w:vAlign w:val="bottom"/>
          </w:tcPr>
          <w:p>
            <w:pPr>
              <w:spacing w:after="0"/>
              <w:rPr>
                <w:sz w:val="13"/>
                <w:szCs w:val="13"/>
                <w:color w:val="auto"/>
              </w:rPr>
            </w:pPr>
          </w:p>
        </w:tc>
      </w:tr>
      <w:tr>
        <w:trPr>
          <w:trHeight w:val="196"/>
        </w:trPr>
        <w:tc>
          <w:tcPr>
            <w:tcW w:w="114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shd w:val="clear" w:color="auto" w:fill="FCEAB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2,747,714</w:t>
            </w:r>
          </w:p>
        </w:tc>
        <w:tc>
          <w:tcPr>
            <w:tcW w:w="40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172,640</w:t>
            </w:r>
          </w:p>
        </w:tc>
        <w:tc>
          <w:tcPr>
            <w:tcW w:w="160" w:type="dxa"/>
            <w:vAlign w:val="bottom"/>
            <w:shd w:val="clear" w:color="auto" w:fill="FCEABC"/>
          </w:tcPr>
          <w:p>
            <w:pPr>
              <w:spacing w:after="0"/>
              <w:rPr>
                <w:sz w:val="17"/>
                <w:szCs w:val="17"/>
                <w:color w:val="auto"/>
              </w:rPr>
            </w:pPr>
          </w:p>
        </w:tc>
        <w:tc>
          <w:tcPr>
            <w:tcW w:w="24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FCEABC"/>
          </w:tcPr>
          <w:p>
            <w:pPr>
              <w:jc w:val="right"/>
              <w:ind w:right="160"/>
              <w:spacing w:after="0"/>
              <w:rPr>
                <w:sz w:val="20"/>
                <w:szCs w:val="20"/>
                <w:color w:val="auto"/>
              </w:rPr>
            </w:pPr>
            <w:r>
              <w:rPr>
                <w:rFonts w:ascii="Times New Roman" w:cs="Times New Roman" w:eastAsia="Times New Roman" w:hAnsi="Times New Roman"/>
                <w:sz w:val="16"/>
                <w:szCs w:val="16"/>
                <w:color w:val="auto"/>
              </w:rPr>
              <w:t>(321,532)</w:t>
            </w:r>
          </w:p>
        </w:tc>
        <w:tc>
          <w:tcPr>
            <w:tcW w:w="16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120,019</w:t>
            </w:r>
          </w:p>
        </w:tc>
        <w:tc>
          <w:tcPr>
            <w:tcW w:w="220" w:type="dxa"/>
            <w:vAlign w:val="bottom"/>
            <w:shd w:val="clear" w:color="auto" w:fill="FCEABC"/>
          </w:tcPr>
          <w:p>
            <w:pPr>
              <w:spacing w:after="0"/>
              <w:rPr>
                <w:sz w:val="17"/>
                <w:szCs w:val="17"/>
                <w:color w:val="auto"/>
              </w:rPr>
            </w:pPr>
          </w:p>
        </w:tc>
        <w:tc>
          <w:tcPr>
            <w:tcW w:w="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(66,897)</w:t>
            </w:r>
          </w:p>
        </w:tc>
        <w:tc>
          <w:tcPr>
            <w:tcW w:w="18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(302,492)</w:t>
            </w:r>
          </w:p>
        </w:tc>
        <w:tc>
          <w:tcPr>
            <w:tcW w:w="180" w:type="dxa"/>
            <w:vAlign w:val="bottom"/>
            <w:gridSpan w:val="2"/>
            <w:shd w:val="clear" w:color="auto" w:fill="FCEAB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(398,262)</w:t>
            </w:r>
          </w:p>
        </w:tc>
        <w:tc>
          <w:tcPr>
            <w:tcW w:w="180" w:type="dxa"/>
            <w:vAlign w:val="bottom"/>
            <w:gridSpan w:val="2"/>
            <w:shd w:val="clear" w:color="auto" w:fill="FCEAB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2,349,452</w:t>
            </w:r>
          </w:p>
        </w:tc>
        <w:tc>
          <w:tcPr>
            <w:tcW w:w="100" w:type="dxa"/>
            <w:vAlign w:val="bottom"/>
            <w:shd w:val="clear" w:color="auto" w:fill="FCEABC"/>
          </w:tcPr>
          <w:p>
            <w:pPr>
              <w:spacing w:after="0"/>
              <w:rPr>
                <w:sz w:val="17"/>
                <w:szCs w:val="17"/>
                <w:color w:val="auto"/>
              </w:rPr>
            </w:pPr>
          </w:p>
        </w:tc>
      </w:tr>
      <w:tr>
        <w:trPr>
          <w:trHeight w:val="203"/>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10,388,077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(242,730)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(1,027,882)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(1,662,619)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(45,838)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27,774</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(2,951,295)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7,436,782</w:t>
            </w:r>
          </w:p>
        </w:tc>
        <w:tc>
          <w:tcPr>
            <w:tcW w:w="100" w:type="dxa"/>
            <w:vAlign w:val="bottom"/>
          </w:tcPr>
          <w:p>
            <w:pPr>
              <w:spacing w:after="0"/>
              <w:rPr>
                <w:sz w:val="17"/>
                <w:szCs w:val="17"/>
                <w:color w:val="auto"/>
              </w:rPr>
            </w:pPr>
          </w:p>
        </w:tc>
      </w:tr>
      <w:tr>
        <w:trPr>
          <w:trHeight w:val="203"/>
        </w:trPr>
        <w:tc>
          <w:tcPr>
            <w:tcW w:w="114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shd w:val="clear" w:color="auto" w:fill="FCEAB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1,822,722</w:t>
            </w:r>
          </w:p>
        </w:tc>
        <w:tc>
          <w:tcPr>
            <w:tcW w:w="40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441,665</w:t>
            </w:r>
          </w:p>
        </w:tc>
        <w:tc>
          <w:tcPr>
            <w:tcW w:w="160" w:type="dxa"/>
            <w:vAlign w:val="bottom"/>
            <w:shd w:val="clear" w:color="auto" w:fill="FCEABC"/>
          </w:tcPr>
          <w:p>
            <w:pPr>
              <w:spacing w:after="0"/>
              <w:rPr>
                <w:sz w:val="17"/>
                <w:szCs w:val="17"/>
                <w:color w:val="auto"/>
              </w:rPr>
            </w:pPr>
          </w:p>
        </w:tc>
        <w:tc>
          <w:tcPr>
            <w:tcW w:w="24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FCEABC"/>
          </w:tcPr>
          <w:p>
            <w:pPr>
              <w:jc w:val="right"/>
              <w:ind w:right="160"/>
              <w:spacing w:after="0"/>
              <w:rPr>
                <w:sz w:val="20"/>
                <w:szCs w:val="20"/>
                <w:color w:val="auto"/>
              </w:rPr>
            </w:pPr>
            <w:r>
              <w:rPr>
                <w:rFonts w:ascii="Times New Roman" w:cs="Times New Roman" w:eastAsia="Times New Roman" w:hAnsi="Times New Roman"/>
                <w:sz w:val="16"/>
                <w:szCs w:val="16"/>
                <w:color w:val="auto"/>
              </w:rPr>
              <w:t>(5,113)</w:t>
            </w:r>
          </w:p>
        </w:tc>
        <w:tc>
          <w:tcPr>
            <w:tcW w:w="16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81,749</w:t>
            </w:r>
          </w:p>
        </w:tc>
        <w:tc>
          <w:tcPr>
            <w:tcW w:w="220" w:type="dxa"/>
            <w:vAlign w:val="bottom"/>
            <w:shd w:val="clear" w:color="auto" w:fill="FCEABC"/>
          </w:tcPr>
          <w:p>
            <w:pPr>
              <w:spacing w:after="0"/>
              <w:rPr>
                <w:sz w:val="17"/>
                <w:szCs w:val="17"/>
                <w:color w:val="auto"/>
              </w:rPr>
            </w:pPr>
          </w:p>
        </w:tc>
        <w:tc>
          <w:tcPr>
            <w:tcW w:w="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FCEAB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FCEAB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FCEAB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518,301</w:t>
            </w:r>
          </w:p>
        </w:tc>
        <w:tc>
          <w:tcPr>
            <w:tcW w:w="140" w:type="dxa"/>
            <w:vAlign w:val="bottom"/>
            <w:shd w:val="clear" w:color="auto" w:fill="FCEABC"/>
          </w:tcPr>
          <w:p>
            <w:pPr>
              <w:spacing w:after="0"/>
              <w:rPr>
                <w:sz w:val="17"/>
                <w:szCs w:val="17"/>
                <w:color w:val="auto"/>
              </w:rPr>
            </w:pPr>
          </w:p>
        </w:tc>
        <w:tc>
          <w:tcPr>
            <w:tcW w:w="180" w:type="dxa"/>
            <w:vAlign w:val="bottom"/>
            <w:gridSpan w:val="2"/>
            <w:shd w:val="clear" w:color="auto" w:fill="FCEAB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2,341,023</w:t>
            </w:r>
          </w:p>
        </w:tc>
        <w:tc>
          <w:tcPr>
            <w:tcW w:w="100" w:type="dxa"/>
            <w:vAlign w:val="bottom"/>
            <w:shd w:val="clear" w:color="auto" w:fill="FCEABC"/>
          </w:tcPr>
          <w:p>
            <w:pPr>
              <w:spacing w:after="0"/>
              <w:rPr>
                <w:sz w:val="17"/>
                <w:szCs w:val="17"/>
                <w:color w:val="auto"/>
              </w:rPr>
            </w:pPr>
          </w:p>
        </w:tc>
      </w:tr>
      <w:tr>
        <w:trPr>
          <w:trHeight w:val="203"/>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1,890,654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(470,257)</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(1,603,864)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(196,337)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(2,270,458)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(379,804)</w:t>
            </w:r>
          </w:p>
        </w:tc>
      </w:tr>
      <w:tr>
        <w:trPr>
          <w:trHeight w:val="203"/>
        </w:trPr>
        <w:tc>
          <w:tcPr>
            <w:tcW w:w="114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6"/>
                <w:szCs w:val="16"/>
                <w:color w:val="auto"/>
              </w:rPr>
              <w:t>2021</w:t>
            </w:r>
          </w:p>
        </w:tc>
        <w:tc>
          <w:tcPr>
            <w:tcW w:w="180" w:type="dxa"/>
            <w:vAlign w:val="bottom"/>
            <w:shd w:val="clear" w:color="auto" w:fill="FCEAB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1,714,256</w:t>
            </w:r>
          </w:p>
        </w:tc>
        <w:tc>
          <w:tcPr>
            <w:tcW w:w="40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6"/>
                <w:szCs w:val="16"/>
                <w:color w:val="auto"/>
              </w:rPr>
              <w:t>(147,541)</w:t>
            </w:r>
          </w:p>
        </w:tc>
        <w:tc>
          <w:tcPr>
            <w:tcW w:w="24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FCEABC"/>
          </w:tcPr>
          <w:p>
            <w:pPr>
              <w:jc w:val="right"/>
              <w:ind w:right="160"/>
              <w:spacing w:after="0"/>
              <w:rPr>
                <w:sz w:val="20"/>
                <w:szCs w:val="20"/>
                <w:color w:val="auto"/>
              </w:rPr>
            </w:pPr>
            <w:r>
              <w:rPr>
                <w:rFonts w:ascii="Times New Roman" w:cs="Times New Roman" w:eastAsia="Times New Roman" w:hAnsi="Times New Roman"/>
                <w:sz w:val="16"/>
                <w:szCs w:val="16"/>
                <w:color w:val="auto"/>
              </w:rPr>
              <w:t>(3,798,694)</w:t>
            </w:r>
          </w:p>
        </w:tc>
        <w:tc>
          <w:tcPr>
            <w:tcW w:w="16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FCEAB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(75,002)</w:t>
            </w:r>
          </w:p>
        </w:tc>
        <w:tc>
          <w:tcPr>
            <w:tcW w:w="18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138,332</w:t>
            </w:r>
          </w:p>
        </w:tc>
        <w:tc>
          <w:tcPr>
            <w:tcW w:w="140" w:type="dxa"/>
            <w:vAlign w:val="bottom"/>
            <w:shd w:val="clear" w:color="auto" w:fill="FCEABC"/>
          </w:tcPr>
          <w:p>
            <w:pPr>
              <w:spacing w:after="0"/>
              <w:rPr>
                <w:sz w:val="17"/>
                <w:szCs w:val="17"/>
                <w:color w:val="auto"/>
              </w:rPr>
            </w:pPr>
          </w:p>
        </w:tc>
        <w:tc>
          <w:tcPr>
            <w:tcW w:w="180" w:type="dxa"/>
            <w:vAlign w:val="bottom"/>
            <w:gridSpan w:val="2"/>
            <w:shd w:val="clear" w:color="auto" w:fill="FCEAB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(3,882,905)</w:t>
            </w:r>
          </w:p>
        </w:tc>
        <w:tc>
          <w:tcPr>
            <w:tcW w:w="180" w:type="dxa"/>
            <w:vAlign w:val="bottom"/>
            <w:gridSpan w:val="2"/>
            <w:shd w:val="clear" w:color="auto" w:fill="FCEAB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6"/>
                <w:szCs w:val="16"/>
                <w:color w:val="auto"/>
              </w:rPr>
              <w:t>(2,168,649)</w:t>
            </w:r>
          </w:p>
        </w:tc>
      </w:tr>
    </w:tbl>
    <w:p>
      <w:pPr>
        <w:spacing w:after="0" w:line="220" w:lineRule="exact"/>
        <w:rPr>
          <w:sz w:val="20"/>
          <w:szCs w:val="20"/>
          <w:color w:val="auto"/>
        </w:rPr>
      </w:pPr>
    </w:p>
    <w:p>
      <w:pPr>
        <w:ind w:left="520" w:right="120" w:hanging="512"/>
        <w:spacing w:after="0" w:line="229"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average of the amounts reported for the Company’s NEOs as a group (excluding the CEO) in the “Total” column of the Summary Compensation Table in each applicable fiscal year. The NEOs included for the purpose of calculating the average amounts in each applicable year are as follows: (i) for 2023, 2024 and 2025, Mr. Georgiadis, Mr. Faulkner, and Mr. Kravitz; (ii) for 2022, Mr. Georgiadis; and (iii) for 2021, Mr. Georgiadis and Beth Burk.</w:t>
      </w:r>
    </w:p>
    <w:p>
      <w:pPr>
        <w:ind w:left="520" w:right="20" w:hanging="512"/>
        <w:spacing w:after="0" w:line="230"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average amount of “compensation actually paid” to the NEOs as a group (excluding the CEO), as computed in accordance with Item 402(v) of Regulation S-K. The dollar amounts do not reflect the actual amount of compensation earned by or paid to these NEOs as a group during such fiscal years and are based on valuation assumptions required by the SEC, which are unlikely to reflect actual amounts realized at vesting or exercise (as applicable). The average total compensation as reported in the Summary Compensation Table for those NEOs as a group for each year was adjusted using the same methodology as used to determine the Compensation Actually Paid for Mr. Kovler,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Change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Change in Fair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11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Average Total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Change in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Value of RSUs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Fair Value of</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Change in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RSUs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Change 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Granted in</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11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as Reported</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Granted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Prior Fiscal</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Total Change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 the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Granted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Options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During the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RSUs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Year that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 Fair Value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11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During the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Granted in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Current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Granted 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Vested in the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Equity</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Current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Previous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Fiscal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Previous</w:t>
            </w:r>
          </w:p>
        </w:tc>
        <w:tc>
          <w:tcPr>
            <w:tcW w:w="80" w:type="dxa"/>
            <w:vAlign w:val="bottom"/>
          </w:tcPr>
          <w:p>
            <w:pPr>
              <w:spacing w:after="0"/>
              <w:rPr>
                <w:sz w:val="11"/>
                <w:szCs w:val="11"/>
                <w:color w:val="auto"/>
              </w:rPr>
            </w:pPr>
          </w:p>
        </w:tc>
        <w:tc>
          <w:tcPr>
            <w:tcW w:w="104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Current Fiscal</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(RSUs and</w:t>
            </w:r>
          </w:p>
        </w:tc>
        <w:tc>
          <w:tcPr>
            <w:tcW w:w="80" w:type="dxa"/>
            <w:vAlign w:val="bottom"/>
          </w:tcPr>
          <w:p>
            <w:pPr>
              <w:spacing w:after="0"/>
              <w:rPr>
                <w:sz w:val="11"/>
                <w:szCs w:val="11"/>
                <w:color w:val="auto"/>
              </w:rPr>
            </w:pPr>
          </w:p>
        </w:tc>
        <w:tc>
          <w:tcPr>
            <w:tcW w:w="98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Compensation</w:t>
            </w:r>
          </w:p>
        </w:tc>
      </w:tr>
      <w:tr>
        <w:trPr>
          <w:trHeight w:val="155"/>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8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rPr>
              <w:t>Table</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8"/>
              </w:rPr>
              <w:t>Fiscal Year</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6"/>
              </w:rPr>
              <w:t>Fiscal Years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6"/>
              </w:rPr>
              <w:t>Fiscal Years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3"/>
                <w:szCs w:val="13"/>
                <w:b w:val="1"/>
                <w:bCs w:val="1"/>
                <w:color w:val="auto"/>
                <w:w w:val="94"/>
              </w:rPr>
              <w:t>Options)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Actually Paid</w:t>
            </w:r>
          </w:p>
        </w:tc>
        <w:tc>
          <w:tcPr>
            <w:tcW w:w="100" w:type="dxa"/>
            <w:vAlign w:val="bottom"/>
          </w:tcPr>
          <w:p>
            <w:pPr>
              <w:spacing w:after="0"/>
              <w:rPr>
                <w:sz w:val="13"/>
                <w:szCs w:val="13"/>
                <w:color w:val="auto"/>
              </w:rPr>
            </w:pPr>
          </w:p>
        </w:tc>
      </w:tr>
      <w:tr>
        <w:trPr>
          <w:trHeight w:val="196"/>
        </w:trPr>
        <w:tc>
          <w:tcPr>
            <w:tcW w:w="114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shd w:val="clear" w:color="auto" w:fill="FCEAB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2,138,919</w:t>
            </w:r>
          </w:p>
        </w:tc>
        <w:tc>
          <w:tcPr>
            <w:tcW w:w="40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43,160</w:t>
            </w:r>
          </w:p>
        </w:tc>
        <w:tc>
          <w:tcPr>
            <w:tcW w:w="160" w:type="dxa"/>
            <w:vAlign w:val="bottom"/>
            <w:shd w:val="clear" w:color="auto" w:fill="FCEABC"/>
          </w:tcPr>
          <w:p>
            <w:pPr>
              <w:spacing w:after="0"/>
              <w:rPr>
                <w:sz w:val="17"/>
                <w:szCs w:val="17"/>
                <w:color w:val="auto"/>
              </w:rPr>
            </w:pPr>
          </w:p>
        </w:tc>
        <w:tc>
          <w:tcPr>
            <w:tcW w:w="22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(157,394)</w:t>
            </w:r>
          </w:p>
        </w:tc>
        <w:tc>
          <w:tcPr>
            <w:tcW w:w="22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170,028</w:t>
            </w:r>
          </w:p>
        </w:tc>
        <w:tc>
          <w:tcPr>
            <w:tcW w:w="140" w:type="dxa"/>
            <w:vAlign w:val="bottom"/>
            <w:shd w:val="clear" w:color="auto" w:fill="FCEABC"/>
          </w:tcPr>
          <w:p>
            <w:pPr>
              <w:spacing w:after="0"/>
              <w:rPr>
                <w:sz w:val="17"/>
                <w:szCs w:val="17"/>
                <w:color w:val="auto"/>
              </w:rPr>
            </w:pPr>
          </w:p>
        </w:tc>
        <w:tc>
          <w:tcPr>
            <w:tcW w:w="180" w:type="dxa"/>
            <w:vAlign w:val="bottom"/>
            <w:gridSpan w:val="2"/>
            <w:shd w:val="clear" w:color="auto" w:fill="FCEAB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(42,578)</w:t>
            </w:r>
          </w:p>
        </w:tc>
        <w:tc>
          <w:tcPr>
            <w:tcW w:w="18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(211,523)</w:t>
            </w:r>
          </w:p>
        </w:tc>
        <w:tc>
          <w:tcPr>
            <w:tcW w:w="24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(198,308)</w:t>
            </w:r>
          </w:p>
        </w:tc>
        <w:tc>
          <w:tcPr>
            <w:tcW w:w="22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1,940,611</w:t>
            </w:r>
          </w:p>
        </w:tc>
        <w:tc>
          <w:tcPr>
            <w:tcW w:w="100" w:type="dxa"/>
            <w:vAlign w:val="bottom"/>
            <w:shd w:val="clear" w:color="auto" w:fill="FCEABC"/>
          </w:tcPr>
          <w:p>
            <w:pPr>
              <w:spacing w:after="0"/>
              <w:rPr>
                <w:sz w:val="17"/>
                <w:szCs w:val="17"/>
                <w:color w:val="auto"/>
              </w:rPr>
            </w:pPr>
          </w:p>
        </w:tc>
      </w:tr>
      <w:tr>
        <w:trPr>
          <w:trHeight w:val="203"/>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6,496,900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(203,538)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(465,051)</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(1,035,695)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(102,910)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34,279</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(1,772,915)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4,723,985</w:t>
            </w:r>
          </w:p>
        </w:tc>
        <w:tc>
          <w:tcPr>
            <w:tcW w:w="100" w:type="dxa"/>
            <w:vAlign w:val="bottom"/>
          </w:tcPr>
          <w:p>
            <w:pPr>
              <w:spacing w:after="0"/>
              <w:rPr>
                <w:sz w:val="17"/>
                <w:szCs w:val="17"/>
                <w:color w:val="auto"/>
              </w:rPr>
            </w:pPr>
          </w:p>
        </w:tc>
      </w:tr>
      <w:tr>
        <w:trPr>
          <w:trHeight w:val="203"/>
        </w:trPr>
        <w:tc>
          <w:tcPr>
            <w:tcW w:w="114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shd w:val="clear" w:color="auto" w:fill="FCEAB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1,778,267</w:t>
            </w:r>
          </w:p>
        </w:tc>
        <w:tc>
          <w:tcPr>
            <w:tcW w:w="40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245,218</w:t>
            </w:r>
          </w:p>
        </w:tc>
        <w:tc>
          <w:tcPr>
            <w:tcW w:w="160" w:type="dxa"/>
            <w:vAlign w:val="bottom"/>
            <w:shd w:val="clear" w:color="auto" w:fill="FCEABC"/>
          </w:tcPr>
          <w:p>
            <w:pPr>
              <w:spacing w:after="0"/>
              <w:rPr>
                <w:sz w:val="17"/>
                <w:szCs w:val="17"/>
                <w:color w:val="auto"/>
              </w:rPr>
            </w:pPr>
          </w:p>
        </w:tc>
        <w:tc>
          <w:tcPr>
            <w:tcW w:w="22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15,265</w:t>
            </w:r>
          </w:p>
        </w:tc>
        <w:tc>
          <w:tcPr>
            <w:tcW w:w="120" w:type="dxa"/>
            <w:vAlign w:val="bottom"/>
            <w:shd w:val="clear" w:color="auto" w:fill="FCEABC"/>
          </w:tcPr>
          <w:p>
            <w:pPr>
              <w:spacing w:after="0"/>
              <w:rPr>
                <w:sz w:val="17"/>
                <w:szCs w:val="17"/>
                <w:color w:val="auto"/>
              </w:rPr>
            </w:pPr>
          </w:p>
        </w:tc>
        <w:tc>
          <w:tcPr>
            <w:tcW w:w="22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191,033</w:t>
            </w:r>
          </w:p>
        </w:tc>
        <w:tc>
          <w:tcPr>
            <w:tcW w:w="140" w:type="dxa"/>
            <w:vAlign w:val="bottom"/>
            <w:shd w:val="clear" w:color="auto" w:fill="FCEABC"/>
          </w:tcPr>
          <w:p>
            <w:pPr>
              <w:spacing w:after="0"/>
              <w:rPr>
                <w:sz w:val="17"/>
                <w:szCs w:val="17"/>
                <w:color w:val="auto"/>
              </w:rPr>
            </w:pPr>
          </w:p>
        </w:tc>
        <w:tc>
          <w:tcPr>
            <w:tcW w:w="180" w:type="dxa"/>
            <w:vAlign w:val="bottom"/>
            <w:gridSpan w:val="2"/>
            <w:shd w:val="clear" w:color="auto" w:fill="FCEAB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11,263</w:t>
            </w:r>
          </w:p>
        </w:tc>
        <w:tc>
          <w:tcPr>
            <w:tcW w:w="120" w:type="dxa"/>
            <w:vAlign w:val="bottom"/>
            <w:shd w:val="clear" w:color="auto" w:fill="FCEABC"/>
          </w:tcPr>
          <w:p>
            <w:pPr>
              <w:spacing w:after="0"/>
              <w:rPr>
                <w:sz w:val="17"/>
                <w:szCs w:val="17"/>
                <w:color w:val="auto"/>
              </w:rPr>
            </w:pPr>
          </w:p>
        </w:tc>
        <w:tc>
          <w:tcPr>
            <w:tcW w:w="18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(8,468)</w:t>
            </w:r>
          </w:p>
        </w:tc>
        <w:tc>
          <w:tcPr>
            <w:tcW w:w="24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454,311</w:t>
            </w:r>
          </w:p>
        </w:tc>
        <w:tc>
          <w:tcPr>
            <w:tcW w:w="140" w:type="dxa"/>
            <w:vAlign w:val="bottom"/>
            <w:shd w:val="clear" w:color="auto" w:fill="FCEABC"/>
          </w:tcPr>
          <w:p>
            <w:pPr>
              <w:spacing w:after="0"/>
              <w:rPr>
                <w:sz w:val="17"/>
                <w:szCs w:val="17"/>
                <w:color w:val="auto"/>
              </w:rPr>
            </w:pPr>
          </w:p>
        </w:tc>
        <w:tc>
          <w:tcPr>
            <w:tcW w:w="22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2,232,578</w:t>
            </w:r>
          </w:p>
        </w:tc>
        <w:tc>
          <w:tcPr>
            <w:tcW w:w="100" w:type="dxa"/>
            <w:vAlign w:val="bottom"/>
            <w:shd w:val="clear" w:color="auto" w:fill="FCEABC"/>
          </w:tcPr>
          <w:p>
            <w:pPr>
              <w:spacing w:after="0"/>
              <w:rPr>
                <w:sz w:val="17"/>
                <w:szCs w:val="17"/>
                <w:color w:val="auto"/>
              </w:rPr>
            </w:pPr>
          </w:p>
        </w:tc>
      </w:tr>
      <w:tr>
        <w:trPr>
          <w:trHeight w:val="203"/>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1,970,222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(323,813)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(1,533,474)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(107,328)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(147,250)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(2,111,865)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(141,643)</w:t>
            </w:r>
          </w:p>
        </w:tc>
      </w:tr>
      <w:tr>
        <w:trPr>
          <w:trHeight w:val="203"/>
        </w:trPr>
        <w:tc>
          <w:tcPr>
            <w:tcW w:w="114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6"/>
                <w:szCs w:val="16"/>
                <w:color w:val="auto"/>
              </w:rPr>
              <w:t>2021</w:t>
            </w:r>
          </w:p>
        </w:tc>
        <w:tc>
          <w:tcPr>
            <w:tcW w:w="180" w:type="dxa"/>
            <w:vAlign w:val="bottom"/>
            <w:shd w:val="clear" w:color="auto" w:fill="FCEAB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1,290,081</w:t>
            </w:r>
          </w:p>
        </w:tc>
        <w:tc>
          <w:tcPr>
            <w:tcW w:w="40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6"/>
                <w:szCs w:val="16"/>
                <w:color w:val="auto"/>
              </w:rPr>
              <w:t>(151,314)</w:t>
            </w:r>
          </w:p>
        </w:tc>
        <w:tc>
          <w:tcPr>
            <w:tcW w:w="22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(2,033,911)</w:t>
            </w:r>
          </w:p>
        </w:tc>
        <w:tc>
          <w:tcPr>
            <w:tcW w:w="22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FCEAB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FCEAB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(58,215)</w:t>
            </w:r>
          </w:p>
        </w:tc>
        <w:tc>
          <w:tcPr>
            <w:tcW w:w="18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81,941</w:t>
            </w:r>
          </w:p>
        </w:tc>
        <w:tc>
          <w:tcPr>
            <w:tcW w:w="140" w:type="dxa"/>
            <w:vAlign w:val="bottom"/>
            <w:shd w:val="clear" w:color="auto" w:fill="FCEABC"/>
          </w:tcPr>
          <w:p>
            <w:pPr>
              <w:spacing w:after="0"/>
              <w:rPr>
                <w:sz w:val="17"/>
                <w:szCs w:val="17"/>
                <w:color w:val="auto"/>
              </w:rPr>
            </w:pPr>
          </w:p>
        </w:tc>
        <w:tc>
          <w:tcPr>
            <w:tcW w:w="24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6"/>
                <w:szCs w:val="16"/>
                <w:color w:val="auto"/>
              </w:rPr>
              <w:t>(2,161,409)</w:t>
            </w:r>
          </w:p>
        </w:tc>
        <w:tc>
          <w:tcPr>
            <w:tcW w:w="22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6"/>
                <w:szCs w:val="16"/>
                <w:color w:val="auto"/>
              </w:rPr>
              <w:t>(871,329)</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3" w:name="page64"/>
    <w:bookmarkEnd w:id="63"/>
    <w:p>
      <w:pPr>
        <w:ind w:left="380" w:right="200" w:hanging="372"/>
        <w:spacing w:after="0" w:line="233"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Part II, Item 5 of the 2025 Form 10-K, and our Annual Report on Form 10-K for the fiscal years ended December 31, 2025, December 31, 2024, and December 31, 2023, respectively. For each year reported, our Peer Group included Cresco Labs Inc., Curaleaf Holdings, Inc. and Trulieve Cannabis Corp., and Verano Holdings Corp.</w:t>
      </w:r>
    </w:p>
    <w:p>
      <w:pPr>
        <w:jc w:val="both"/>
        <w:ind w:left="380" w:right="140" w:hanging="372"/>
        <w:spacing w:after="0" w:line="230" w:lineRule="auto"/>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required by Item 402(v) of Regulation S-K, the Company has determined that Adjusted EBIDTA is the Company Selected Measure, as it is the most important financial performance measure (that is not otherwise required to be disclosed in the table) used to link compensation actually paid to the NEOs to Company performance for the most recently completed fiscal year. Adjusted EBITDA is defined as earnings before interest, taxes, depreciation, and amortization, adjusted for other income, non-cash share-based compensation, one-time transaction related expenses, or other non-operating costs. See </w:t>
      </w:r>
      <w:r>
        <w:rPr>
          <w:rFonts w:ascii="Times New Roman" w:cs="Times New Roman" w:eastAsia="Times New Roman" w:hAnsi="Times New Roman"/>
          <w:sz w:val="14"/>
          <w:szCs w:val="14"/>
          <w:u w:val="single" w:color="auto"/>
          <w:color w:val="auto"/>
        </w:rPr>
        <w:t>Appendix A</w:t>
      </w:r>
      <w:r>
        <w:rPr>
          <w:rFonts w:ascii="Times New Roman" w:cs="Times New Roman" w:eastAsia="Times New Roman" w:hAnsi="Times New Roman"/>
          <w:sz w:val="14"/>
          <w:szCs w:val="14"/>
          <w:color w:val="auto"/>
        </w:rPr>
        <w:t xml:space="preserve"> for a reconciliation of non-GAAP financial measures.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Relationship between Pay and Performance</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Given the emerging and federally illegal nature of our industry, our stock price is highly volatile and often not reflective of the financial or operating performance of the Company. The Company maintains a conservative approach to cash management and places a significant emphasis on equity compensation, which makes the price of our Subordinate Voting Shares the largest variable in the calculation of “compensation actually paid” (as defined by the SEC). As a result, “compensation actually paid” may not be highly correlated with Company performance as shown by the financial measures above at any particular date. However, the Company believes that potential future growth of our share price as our industry matures, and the use of Adjusted EBITDA, Normalized EBITDA, and Revenue as the financial metrics that determine the payouts under our Annual Bonus program (as described under “Compensation Discussion and Analysis – Elements of Compensation – </w:t>
      </w:r>
      <w:r>
        <w:rPr>
          <w:rFonts w:ascii="Times New Roman" w:cs="Times New Roman" w:eastAsia="Times New Roman" w:hAnsi="Times New Roman"/>
          <w:sz w:val="18"/>
          <w:szCs w:val="18"/>
          <w:i w:val="1"/>
          <w:iCs w:val="1"/>
          <w:color w:val="auto"/>
        </w:rPr>
        <w:t>Short-Term Incentive Awards</w:t>
      </w:r>
      <w:r>
        <w:rPr>
          <w:rFonts w:ascii="Times New Roman" w:cs="Times New Roman" w:eastAsia="Times New Roman" w:hAnsi="Times New Roman"/>
          <w:sz w:val="18"/>
          <w:szCs w:val="18"/>
          <w:color w:val="auto"/>
        </w:rPr>
        <w:t>” above) results in compensation for our NEOs that significantly reflects the Company’s overall performance.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Important Financial Measures Used to Determine Compensation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Below is an unranked list of the most important financial performance measures the Company used to link “compensation actually paid” to the NEOs for the year ended December 31, 2025 to Company performance.</w:t>
      </w:r>
    </w:p>
    <w:p>
      <w:pPr>
        <w:spacing w:after="0" w:line="1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Most Important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-106045</wp:posOffset>
            </wp:positionV>
            <wp:extent cx="3566160"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66160" cy="128905"/>
                    </a:xfrm>
                    <a:prstGeom prst="rect">
                      <a:avLst/>
                    </a:prstGeom>
                    <a:noFill/>
                  </pic:spPr>
                </pic:pic>
              </a:graphicData>
            </a:graphic>
          </wp:anchor>
        </w:drawing>
      </w:r>
    </w:p>
    <w:p>
      <w:pPr>
        <w:spacing w:after="0" w:line="8" w:lineRule="exact"/>
        <w:rPr>
          <w:sz w:val="20"/>
          <w:szCs w:val="20"/>
          <w:color w:val="auto"/>
        </w:rPr>
      </w:pPr>
    </w:p>
    <w:p>
      <w:pPr>
        <w:ind w:left="3160" w:hanging="171"/>
        <w:spacing w:after="0"/>
        <w:tabs>
          <w:tab w:leader="none" w:pos="31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w:t>
      </w:r>
    </w:p>
    <w:p>
      <w:pPr>
        <w:spacing w:after="0" w:line="18" w:lineRule="exact"/>
        <w:rPr>
          <w:rFonts w:ascii="Times New Roman" w:cs="Times New Roman" w:eastAsia="Times New Roman" w:hAnsi="Times New Roman"/>
          <w:sz w:val="16"/>
          <w:szCs w:val="16"/>
          <w:color w:val="auto"/>
        </w:rPr>
      </w:pPr>
    </w:p>
    <w:p>
      <w:pPr>
        <w:ind w:left="3160" w:hanging="171"/>
        <w:spacing w:after="0"/>
        <w:tabs>
          <w:tab w:leader="none" w:pos="31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EBIDTA</w:t>
      </w:r>
    </w:p>
    <w:p>
      <w:pPr>
        <w:spacing w:after="0" w:line="18" w:lineRule="exact"/>
        <w:rPr>
          <w:rFonts w:ascii="Times New Roman" w:cs="Times New Roman" w:eastAsia="Times New Roman" w:hAnsi="Times New Roman"/>
          <w:sz w:val="16"/>
          <w:szCs w:val="16"/>
          <w:color w:val="auto"/>
        </w:rPr>
      </w:pPr>
    </w:p>
    <w:p>
      <w:pPr>
        <w:ind w:left="3160" w:hanging="171"/>
        <w:spacing w:after="0"/>
        <w:tabs>
          <w:tab w:leader="none" w:pos="31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Normalized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-240665</wp:posOffset>
            </wp:positionV>
            <wp:extent cx="356616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66160" cy="128905"/>
                    </a:xfrm>
                    <a:prstGeom prst="rect">
                      <a:avLst/>
                    </a:prstGeom>
                    <a:noFill/>
                  </pic:spPr>
                </pic:pic>
              </a:graphicData>
            </a:graphic>
          </wp:anchor>
        </w:drawing>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discussed under “Compensation, Discussion and Analysis—Elements of Compensation—</w:t>
      </w:r>
      <w:r>
        <w:rPr>
          <w:rFonts w:ascii="Times New Roman" w:cs="Times New Roman" w:eastAsia="Times New Roman" w:hAnsi="Times New Roman"/>
          <w:sz w:val="18"/>
          <w:szCs w:val="18"/>
          <w:i w:val="1"/>
          <w:iCs w:val="1"/>
          <w:color w:val="auto"/>
        </w:rPr>
        <w:t>Short-Term Incentive Awards</w:t>
      </w:r>
      <w:r>
        <w:rPr>
          <w:rFonts w:ascii="Times New Roman" w:cs="Times New Roman" w:eastAsia="Times New Roman" w:hAnsi="Times New Roman"/>
          <w:sz w:val="18"/>
          <w:szCs w:val="18"/>
          <w:color w:val="auto"/>
        </w:rPr>
        <w:t>” above, the Compensation Committee believes that Revenue, Adjusted EBITDA, and Normalized EBITDA are the most appropriate financial measures to use in our incentive-based compensation elements for our NEOs. Although the Compensation Committee considers generally the Company’s overall financial performance, including with respect to Free Cash Flow, Cash Reserves, Gross Margin, and other metrics, no other measures are specifically or quantitatively tied to our NEOs’ compensation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64" w:name="page65"/>
    <w:bookmarkEnd w:id="6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Effective December 1, 2022, at the recommendation of the Compensation Committee, the Board adopted the following director compensation program for non-employee directors, with all elements to be paid in quarterly installments, as follows:</w:t>
      </w:r>
    </w:p>
    <w:p>
      <w:pPr>
        <w:spacing w:after="0" w:line="54" w:lineRule="exact"/>
        <w:rPr>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 annual cash retainer;</w:t>
      </w:r>
    </w:p>
    <w:p>
      <w:pPr>
        <w:spacing w:after="0" w:line="117"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$65,000 additional annual retainer for the chair of the Audit Committee, to be paid in cash or immediately vested RSUs at the recipient’s election;</w:t>
      </w:r>
    </w:p>
    <w:p>
      <w:pPr>
        <w:spacing w:after="0" w:line="53"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additional annual cash retainer for the chair of the Compensation Committee, to be paid in cash or immediately vested RSUs at the recipient’s election;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$175,000 annual award of fully-vested RSUs.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Under the director compensation program, quarterly compensation is paid on the first date of the third month of each calendar quarter and is prorated for individuals who join during the middle of a quarter based on the number of days served.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all compensation paid to or earned by each of our non-employee directors during fiscal year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117"/>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0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117"/>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117"/>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Dawn Wilson Barnes</w:t>
            </w:r>
          </w:p>
        </w:tc>
        <w:tc>
          <w:tcPr>
            <w:tcW w:w="52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8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174,981</w:t>
            </w:r>
          </w:p>
        </w:tc>
        <w:tc>
          <w:tcPr>
            <w:tcW w:w="30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FCEABC"/>
          </w:tcPr>
          <w:p>
            <w:pPr>
              <w:ind w:left="40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FCEAB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FCEAB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FCEABC"/>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FCEABC"/>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249,981</w:t>
            </w:r>
          </w:p>
        </w:tc>
        <w:tc>
          <w:tcPr>
            <w:tcW w:w="100" w:type="dxa"/>
            <w:vAlign w:val="bottom"/>
            <w:shd w:val="clear" w:color="auto" w:fill="FCEAB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Jeffrey Goldman</w:t>
            </w:r>
            <w:r>
              <w:rPr>
                <w:rFonts w:ascii="Times New Roman" w:cs="Times New Roman" w:eastAsia="Times New Roman" w:hAnsi="Times New Roman"/>
                <w:sz w:val="24"/>
                <w:szCs w:val="24"/>
                <w:color w:val="auto"/>
                <w:vertAlign w:val="superscript"/>
              </w:rPr>
              <w:t>(2)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224,981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Ethan Nadelmann</w:t>
            </w:r>
          </w:p>
        </w:tc>
        <w:tc>
          <w:tcPr>
            <w:tcW w:w="52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8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174,981</w:t>
            </w:r>
          </w:p>
        </w:tc>
        <w:tc>
          <w:tcPr>
            <w:tcW w:w="30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FCEABC"/>
          </w:tcPr>
          <w:p>
            <w:pPr>
              <w:ind w:left="40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FCEAB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FCEAB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FCEABC"/>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FCEABC"/>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249,981</w:t>
            </w:r>
          </w:p>
        </w:tc>
        <w:tc>
          <w:tcPr>
            <w:tcW w:w="100" w:type="dxa"/>
            <w:vAlign w:val="bottom"/>
            <w:shd w:val="clear" w:color="auto" w:fill="FCEAB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Richard Reisin</w:t>
            </w:r>
            <w:r>
              <w:rPr>
                <w:rFonts w:ascii="Times New Roman" w:cs="Times New Roman" w:eastAsia="Times New Roman" w:hAnsi="Times New Roman"/>
                <w:sz w:val="24"/>
                <w:szCs w:val="24"/>
                <w:color w:val="auto"/>
                <w:vertAlign w:val="superscript"/>
              </w:rPr>
              <w:t>(3)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239,992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Hannah (Buchan) Ross</w:t>
            </w:r>
          </w:p>
        </w:tc>
        <w:tc>
          <w:tcPr>
            <w:tcW w:w="52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8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174,981</w:t>
            </w:r>
          </w:p>
        </w:tc>
        <w:tc>
          <w:tcPr>
            <w:tcW w:w="30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FCEABC"/>
          </w:tcPr>
          <w:p>
            <w:pPr>
              <w:ind w:left="40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FCEAB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FCEAB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FCEABC"/>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FCEABC"/>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249,981</w:t>
            </w:r>
          </w:p>
        </w:tc>
        <w:tc>
          <w:tcPr>
            <w:tcW w:w="100" w:type="dxa"/>
            <w:vAlign w:val="bottom"/>
            <w:shd w:val="clear" w:color="auto" w:fill="FCEABC"/>
          </w:tcPr>
          <w:p>
            <w:pPr>
              <w:spacing w:after="0"/>
              <w:rPr>
                <w:sz w:val="18"/>
                <w:szCs w:val="1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380" w:hanging="372"/>
        <w:spacing w:after="0"/>
        <w:tabs>
          <w:tab w:leader="none" w:pos="3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2025, our directors with continued service received four quarterly awards of immediately vested RSUs, the grant date fair value of each of which were:</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March 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June 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September 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58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Dawn Wilson Barnes</w:t>
            </w:r>
          </w:p>
        </w:tc>
        <w:tc>
          <w:tcPr>
            <w:tcW w:w="114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43,743</w:t>
            </w:r>
          </w:p>
        </w:tc>
        <w:tc>
          <w:tcPr>
            <w:tcW w:w="480" w:type="dxa"/>
            <w:vAlign w:val="bottom"/>
            <w:gridSpan w:val="2"/>
            <w:shd w:val="clear" w:color="auto" w:fill="FCEAB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43,749</w:t>
            </w:r>
          </w:p>
        </w:tc>
        <w:tc>
          <w:tcPr>
            <w:tcW w:w="38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43,745</w:t>
            </w:r>
          </w:p>
        </w:tc>
        <w:tc>
          <w:tcPr>
            <w:tcW w:w="36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43,744</w:t>
            </w:r>
          </w:p>
        </w:tc>
        <w:tc>
          <w:tcPr>
            <w:tcW w:w="480" w:type="dxa"/>
            <w:vAlign w:val="bottom"/>
            <w:gridSpan w:val="2"/>
            <w:shd w:val="clear" w:color="auto" w:fill="FCEAB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174,981</w:t>
            </w:r>
          </w:p>
        </w:tc>
        <w:tc>
          <w:tcPr>
            <w:tcW w:w="100" w:type="dxa"/>
            <w:vAlign w:val="bottom"/>
            <w:shd w:val="clear" w:color="auto" w:fill="FCEAB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Goldman</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56,246</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Ethan Nadelmann</w:t>
            </w:r>
          </w:p>
        </w:tc>
        <w:tc>
          <w:tcPr>
            <w:tcW w:w="114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43,743</w:t>
            </w:r>
          </w:p>
        </w:tc>
        <w:tc>
          <w:tcPr>
            <w:tcW w:w="480" w:type="dxa"/>
            <w:vAlign w:val="bottom"/>
            <w:gridSpan w:val="2"/>
            <w:shd w:val="clear" w:color="auto" w:fill="FCEAB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43,749</w:t>
            </w:r>
          </w:p>
        </w:tc>
        <w:tc>
          <w:tcPr>
            <w:tcW w:w="38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43,745</w:t>
            </w:r>
          </w:p>
        </w:tc>
        <w:tc>
          <w:tcPr>
            <w:tcW w:w="36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43,744</w:t>
            </w:r>
          </w:p>
        </w:tc>
        <w:tc>
          <w:tcPr>
            <w:tcW w:w="480" w:type="dxa"/>
            <w:vAlign w:val="bottom"/>
            <w:gridSpan w:val="2"/>
            <w:shd w:val="clear" w:color="auto" w:fill="FCEAB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174,981</w:t>
            </w:r>
          </w:p>
        </w:tc>
        <w:tc>
          <w:tcPr>
            <w:tcW w:w="100" w:type="dxa"/>
            <w:vAlign w:val="bottom"/>
            <w:shd w:val="clear" w:color="auto" w:fill="FCEAB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Reisin</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59,999</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FCEABC"/>
          </w:tcPr>
          <w:p>
            <w:pPr>
              <w:spacing w:after="0"/>
              <w:rPr>
                <w:sz w:val="20"/>
                <w:szCs w:val="20"/>
                <w:color w:val="auto"/>
              </w:rPr>
            </w:pPr>
            <w:r>
              <w:rPr>
                <w:rFonts w:ascii="Times New Roman" w:cs="Times New Roman" w:eastAsia="Times New Roman" w:hAnsi="Times New Roman"/>
                <w:sz w:val="18"/>
                <w:szCs w:val="18"/>
                <w:color w:val="auto"/>
              </w:rPr>
              <w:t>Hannah (Buchan) Ross</w:t>
            </w:r>
          </w:p>
        </w:tc>
        <w:tc>
          <w:tcPr>
            <w:tcW w:w="1140" w:type="dxa"/>
            <w:vAlign w:val="bottom"/>
            <w:gridSpan w:val="2"/>
            <w:shd w:val="clear" w:color="auto" w:fill="FCEAB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43,743</w:t>
            </w:r>
          </w:p>
        </w:tc>
        <w:tc>
          <w:tcPr>
            <w:tcW w:w="480" w:type="dxa"/>
            <w:vAlign w:val="bottom"/>
            <w:gridSpan w:val="2"/>
            <w:shd w:val="clear" w:color="auto" w:fill="FCEAB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43,749</w:t>
            </w:r>
          </w:p>
        </w:tc>
        <w:tc>
          <w:tcPr>
            <w:tcW w:w="38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43,745</w:t>
            </w:r>
          </w:p>
        </w:tc>
        <w:tc>
          <w:tcPr>
            <w:tcW w:w="36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43,744</w:t>
            </w:r>
          </w:p>
        </w:tc>
        <w:tc>
          <w:tcPr>
            <w:tcW w:w="480" w:type="dxa"/>
            <w:vAlign w:val="bottom"/>
            <w:gridSpan w:val="2"/>
            <w:shd w:val="clear" w:color="auto" w:fill="FCEAB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174,981</w:t>
            </w:r>
          </w:p>
        </w:tc>
        <w:tc>
          <w:tcPr>
            <w:tcW w:w="100" w:type="dxa"/>
            <w:vAlign w:val="bottom"/>
            <w:shd w:val="clear" w:color="auto" w:fill="FCEABC"/>
          </w:tcPr>
          <w:p>
            <w:pPr>
              <w:spacing w:after="0"/>
              <w:rPr>
                <w:sz w:val="18"/>
                <w:szCs w:val="1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80" w:hanging="372"/>
        <w:spacing w:after="0"/>
        <w:tabs>
          <w:tab w:leader="none" w:pos="3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Goldman’s 2025 compensation includes amounts for his services as Chair of the Compensation Committee, which he elected to receive in RSUs.</w:t>
      </w:r>
    </w:p>
    <w:p>
      <w:pPr>
        <w:spacing w:after="0" w:line="3"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Reisin’s 2025 compensation includes amounts for his service as Chair of the Audit Committee, which he elected to receive in RSUs. </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 2025, Jeffrey Goldman (Chair), Ethan Nadelmann, and Hannah (Buchan) Ross served as members of the Compensation Committee.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had a consulting relationship with the Company for which he was last compensated in July 2022, as previously disclosed.</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None of our executive officers served as a member of the compensation committee (or other board committee performing equivalent functions or, in the absence of any such committee, the entire board of directors) of another entity, one of whose executive officers served as our director or on the Compensation Committee, during fiscal 2025. None of our executive officers served as a director of another entity, one of whose executive officers served on our Compensation Committee, during fiscal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5" w:name="page66"/>
    <w:bookmarkEnd w:id="6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any persons who beneficially own more than 10% of our common stock, to file with the SEC initial reports of ownership and reports of changes in ownership of our common stock. To our knowledge, based solely on a review of copies of such reports and representations received from our directors and executive officers, we believe that during the year ended December 31, 2025, our directors and executive officers and 10% shareholders complied with their Section 16(a) filing requirements on a timely basis.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66" w:name="page67"/>
    <w:bookmarkEnd w:id="6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APPROVAL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and the sending of this proxy statement have been approved by the Board of Directors of the Company.</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DATED as of April [•],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 xml:space="preserve">/s/ </w:t>
      </w:r>
      <w:r>
        <w:rPr>
          <w:rFonts w:ascii="Times New Roman" w:cs="Times New Roman" w:eastAsia="Times New Roman" w:hAnsi="Times New Roman"/>
          <w:sz w:val="18"/>
          <w:szCs w:val="18"/>
          <w:i w:val="1"/>
          <w:iCs w:val="1"/>
          <w:u w:val="single" w:color="auto"/>
          <w:color w:val="auto"/>
        </w:rPr>
        <w:t>Benjamin Kovler</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Benjamin Kovler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Executive Officer, Chairman and Founder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7" w:name="page68"/>
    <w:bookmarkEnd w:id="67"/>
    <w:p>
      <w:pPr>
        <w:ind w:left="1010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INFORMATION</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“Compensation Discussion and Analysis” and “2025 Pay-versus-Performance Table” sections of the preceding Proxy Statement of Green Thumb Industries Inc. include certain non-GAAP financial measures as defined by the Securities and Exchange Commission and applicable Canadian securities laws, including Adjusted EBITDA, Normalized EBIDTA and EBITDA. Adjusted EBITDA, Normalized EBITDA and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w:t>
            </w:r>
          </w:p>
        </w:tc>
        <w:tc>
          <w:tcPr>
            <w:tcW w:w="1780" w:type="dxa"/>
            <w:vAlign w:val="bottom"/>
            <w:gridSpan w:val="2"/>
            <w:shd w:val="clear" w:color="auto" w:fill="FCEAB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116,053</w:t>
            </w:r>
          </w:p>
        </w:tc>
        <w:tc>
          <w:tcPr>
            <w:tcW w:w="80" w:type="dxa"/>
            <w:vAlign w:val="bottom"/>
            <w:shd w:val="clear" w:color="auto" w:fill="FCEABC"/>
          </w:tcPr>
          <w:p>
            <w:pPr>
              <w:spacing w:after="0"/>
              <w:rPr>
                <w:sz w:val="18"/>
                <w:szCs w:val="18"/>
                <w:color w:val="auto"/>
              </w:rPr>
            </w:pPr>
          </w:p>
        </w:tc>
        <w:tc>
          <w:tcPr>
            <w:tcW w:w="32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73,851</w:t>
            </w:r>
          </w:p>
        </w:tc>
        <w:tc>
          <w:tcPr>
            <w:tcW w:w="200" w:type="dxa"/>
            <w:vAlign w:val="bottom"/>
            <w:shd w:val="clear" w:color="auto" w:fill="FCEABC"/>
          </w:tcPr>
          <w:p>
            <w:pPr>
              <w:spacing w:after="0"/>
              <w:rPr>
                <w:sz w:val="18"/>
                <w:szCs w:val="18"/>
                <w:color w:val="auto"/>
              </w:rPr>
            </w:pPr>
          </w:p>
        </w:tc>
        <w:tc>
          <w:tcPr>
            <w:tcW w:w="340" w:type="dxa"/>
            <w:vAlign w:val="bottom"/>
            <w:gridSpan w:val="2"/>
            <w:shd w:val="clear" w:color="auto" w:fill="FCEAB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37,419</w:t>
            </w:r>
          </w:p>
        </w:tc>
        <w:tc>
          <w:tcPr>
            <w:tcW w:w="120" w:type="dxa"/>
            <w:vAlign w:val="bottom"/>
            <w:shd w:val="clear" w:color="auto" w:fill="FCEAB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(9,074)</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(6,697)</w:t>
            </w:r>
          </w:p>
        </w:tc>
        <w:tc>
          <w:tcPr>
            <w:tcW w:w="0" w:type="dxa"/>
            <w:vAlign w:val="bottom"/>
          </w:tcPr>
          <w:p>
            <w:pPr>
              <w:spacing w:after="0"/>
              <w:rPr>
                <w:sz w:val="1"/>
                <w:szCs w:val="1"/>
                <w:color w:val="auto"/>
              </w:rPr>
            </w:pPr>
          </w:p>
        </w:tc>
      </w:tr>
      <w:tr>
        <w:trPr>
          <w:trHeight w:val="216"/>
        </w:trPr>
        <w:tc>
          <w:tcPr>
            <w:tcW w:w="520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80" w:type="dxa"/>
            <w:vAlign w:val="bottom"/>
            <w:shd w:val="clear" w:color="auto" w:fill="FCEABC"/>
          </w:tcPr>
          <w:p>
            <w:pPr>
              <w:spacing w:after="0"/>
              <w:rPr>
                <w:sz w:val="18"/>
                <w:szCs w:val="18"/>
                <w:color w:val="auto"/>
              </w:rPr>
            </w:pPr>
          </w:p>
        </w:tc>
        <w:tc>
          <w:tcPr>
            <w:tcW w:w="300" w:type="dxa"/>
            <w:vAlign w:val="bottom"/>
            <w:shd w:val="clear" w:color="auto" w:fill="FCEABC"/>
          </w:tcPr>
          <w:p>
            <w:pPr>
              <w:spacing w:after="0"/>
              <w:rPr>
                <w:sz w:val="18"/>
                <w:szCs w:val="18"/>
                <w:color w:val="auto"/>
              </w:rPr>
            </w:pPr>
          </w:p>
        </w:tc>
        <w:tc>
          <w:tcPr>
            <w:tcW w:w="10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20,018</w:t>
            </w:r>
          </w:p>
        </w:tc>
        <w:tc>
          <w:tcPr>
            <w:tcW w:w="80" w:type="dxa"/>
            <w:vAlign w:val="bottom"/>
            <w:shd w:val="clear" w:color="auto" w:fill="FCEABC"/>
          </w:tcPr>
          <w:p>
            <w:pPr>
              <w:spacing w:after="0"/>
              <w:rPr>
                <w:sz w:val="18"/>
                <w:szCs w:val="18"/>
                <w:color w:val="auto"/>
              </w:rPr>
            </w:pPr>
          </w:p>
        </w:tc>
        <w:tc>
          <w:tcPr>
            <w:tcW w:w="160" w:type="dxa"/>
            <w:vAlign w:val="bottom"/>
            <w:shd w:val="clear" w:color="auto" w:fill="FCEABC"/>
          </w:tcPr>
          <w:p>
            <w:pPr>
              <w:spacing w:after="0"/>
              <w:rPr>
                <w:sz w:val="18"/>
                <w:szCs w:val="18"/>
                <w:color w:val="auto"/>
              </w:rPr>
            </w:pPr>
          </w:p>
        </w:tc>
        <w:tc>
          <w:tcPr>
            <w:tcW w:w="160" w:type="dxa"/>
            <w:vAlign w:val="bottom"/>
            <w:shd w:val="clear" w:color="auto" w:fill="FCEABC"/>
          </w:tcPr>
          <w:p>
            <w:pPr>
              <w:spacing w:after="0"/>
              <w:rPr>
                <w:sz w:val="18"/>
                <w:szCs w:val="18"/>
                <w:color w:val="auto"/>
              </w:rPr>
            </w:pPr>
          </w:p>
        </w:tc>
        <w:tc>
          <w:tcPr>
            <w:tcW w:w="11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24,266</w:t>
            </w:r>
          </w:p>
        </w:tc>
        <w:tc>
          <w:tcPr>
            <w:tcW w:w="200" w:type="dxa"/>
            <w:vAlign w:val="bottom"/>
            <w:shd w:val="clear" w:color="auto" w:fill="FCEABC"/>
          </w:tcPr>
          <w:p>
            <w:pPr>
              <w:spacing w:after="0"/>
              <w:rPr>
                <w:sz w:val="18"/>
                <w:szCs w:val="18"/>
                <w:color w:val="auto"/>
              </w:rPr>
            </w:pPr>
          </w:p>
        </w:tc>
        <w:tc>
          <w:tcPr>
            <w:tcW w:w="40" w:type="dxa"/>
            <w:vAlign w:val="bottom"/>
            <w:shd w:val="clear" w:color="auto" w:fill="FCEABC"/>
          </w:tcPr>
          <w:p>
            <w:pPr>
              <w:spacing w:after="0"/>
              <w:rPr>
                <w:sz w:val="18"/>
                <w:szCs w:val="18"/>
                <w:color w:val="auto"/>
              </w:rPr>
            </w:pPr>
          </w:p>
        </w:tc>
        <w:tc>
          <w:tcPr>
            <w:tcW w:w="300" w:type="dxa"/>
            <w:vAlign w:val="bottom"/>
            <w:shd w:val="clear" w:color="auto" w:fill="FCEABC"/>
          </w:tcPr>
          <w:p>
            <w:pPr>
              <w:spacing w:after="0"/>
              <w:rPr>
                <w:sz w:val="18"/>
                <w:szCs w:val="18"/>
                <w:color w:val="auto"/>
              </w:rPr>
            </w:pPr>
          </w:p>
        </w:tc>
        <w:tc>
          <w:tcPr>
            <w:tcW w:w="102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19,073</w:t>
            </w:r>
          </w:p>
        </w:tc>
        <w:tc>
          <w:tcPr>
            <w:tcW w:w="120" w:type="dxa"/>
            <w:vAlign w:val="bottom"/>
            <w:shd w:val="clear" w:color="auto" w:fill="FCEAB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126,288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80" w:type="dxa"/>
            <w:vAlign w:val="bottom"/>
            <w:shd w:val="clear" w:color="auto" w:fill="FCEABC"/>
          </w:tcPr>
          <w:p>
            <w:pPr>
              <w:spacing w:after="0"/>
              <w:rPr>
                <w:sz w:val="18"/>
                <w:szCs w:val="18"/>
                <w:color w:val="auto"/>
              </w:rPr>
            </w:pPr>
          </w:p>
        </w:tc>
        <w:tc>
          <w:tcPr>
            <w:tcW w:w="300" w:type="dxa"/>
            <w:vAlign w:val="bottom"/>
            <w:shd w:val="clear" w:color="auto" w:fill="FCEABC"/>
          </w:tcPr>
          <w:p>
            <w:pPr>
              <w:spacing w:after="0"/>
              <w:rPr>
                <w:sz w:val="18"/>
                <w:szCs w:val="18"/>
                <w:color w:val="auto"/>
              </w:rPr>
            </w:pPr>
          </w:p>
        </w:tc>
        <w:tc>
          <w:tcPr>
            <w:tcW w:w="1080" w:type="dxa"/>
            <w:vAlign w:val="bottom"/>
            <w:gridSpan w:val="2"/>
            <w:shd w:val="clear" w:color="auto" w:fill="FCEABC"/>
          </w:tcPr>
          <w:p>
            <w:pPr>
              <w:jc w:val="right"/>
              <w:ind w:right="20"/>
              <w:spacing w:after="0"/>
              <w:rPr>
                <w:sz w:val="20"/>
                <w:szCs w:val="20"/>
                <w:color w:val="auto"/>
              </w:rPr>
            </w:pPr>
            <w:r>
              <w:rPr>
                <w:rFonts w:ascii="Times New Roman" w:cs="Times New Roman" w:eastAsia="Times New Roman" w:hAnsi="Times New Roman"/>
                <w:sz w:val="18"/>
                <w:szCs w:val="18"/>
                <w:color w:val="auto"/>
              </w:rPr>
              <w:t>(134,296)</w:t>
            </w:r>
          </w:p>
        </w:tc>
        <w:tc>
          <w:tcPr>
            <w:tcW w:w="160" w:type="dxa"/>
            <w:vAlign w:val="bottom"/>
            <w:shd w:val="clear" w:color="auto" w:fill="FCEABC"/>
          </w:tcPr>
          <w:p>
            <w:pPr>
              <w:spacing w:after="0"/>
              <w:rPr>
                <w:sz w:val="18"/>
                <w:szCs w:val="18"/>
                <w:color w:val="auto"/>
              </w:rPr>
            </w:pPr>
          </w:p>
        </w:tc>
        <w:tc>
          <w:tcPr>
            <w:tcW w:w="160" w:type="dxa"/>
            <w:vAlign w:val="bottom"/>
            <w:shd w:val="clear" w:color="auto" w:fill="FCEABC"/>
          </w:tcPr>
          <w:p>
            <w:pPr>
              <w:spacing w:after="0"/>
              <w:rPr>
                <w:sz w:val="18"/>
                <w:szCs w:val="18"/>
                <w:color w:val="auto"/>
              </w:rPr>
            </w:pPr>
          </w:p>
        </w:tc>
        <w:tc>
          <w:tcPr>
            <w:tcW w:w="11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200" w:type="dxa"/>
            <w:vAlign w:val="bottom"/>
            <w:shd w:val="clear" w:color="auto" w:fill="FCEABC"/>
          </w:tcPr>
          <w:p>
            <w:pPr>
              <w:spacing w:after="0"/>
              <w:rPr>
                <w:sz w:val="18"/>
                <w:szCs w:val="18"/>
                <w:color w:val="auto"/>
              </w:rPr>
            </w:pPr>
          </w:p>
        </w:tc>
        <w:tc>
          <w:tcPr>
            <w:tcW w:w="40" w:type="dxa"/>
            <w:vAlign w:val="bottom"/>
            <w:shd w:val="clear" w:color="auto" w:fill="FCEABC"/>
          </w:tcPr>
          <w:p>
            <w:pPr>
              <w:spacing w:after="0"/>
              <w:rPr>
                <w:sz w:val="18"/>
                <w:szCs w:val="18"/>
                <w:color w:val="auto"/>
              </w:rPr>
            </w:pPr>
          </w:p>
        </w:tc>
        <w:tc>
          <w:tcPr>
            <w:tcW w:w="300" w:type="dxa"/>
            <w:vAlign w:val="bottom"/>
            <w:shd w:val="clear" w:color="auto" w:fill="FCEABC"/>
          </w:tcPr>
          <w:p>
            <w:pPr>
              <w:spacing w:after="0"/>
              <w:rPr>
                <w:sz w:val="18"/>
                <w:szCs w:val="18"/>
                <w:color w:val="auto"/>
              </w:rPr>
            </w:pPr>
          </w:p>
        </w:tc>
        <w:tc>
          <w:tcPr>
            <w:tcW w:w="102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16,207</w:t>
            </w:r>
          </w:p>
        </w:tc>
        <w:tc>
          <w:tcPr>
            <w:tcW w:w="120" w:type="dxa"/>
            <w:vAlign w:val="bottom"/>
            <w:shd w:val="clear" w:color="auto" w:fill="FCEAB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113,210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200" w:type="dxa"/>
            <w:vAlign w:val="bottom"/>
            <w:shd w:val="clear" w:color="auto" w:fill="FCEAB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Earnings Before Interest, Taxes, Depreciation and Amortization</w:t>
            </w:r>
          </w:p>
        </w:tc>
        <w:tc>
          <w:tcPr>
            <w:tcW w:w="1780" w:type="dxa"/>
            <w:vAlign w:val="bottom"/>
            <w:gridSpan w:val="2"/>
            <w:vMerge w:val="restart"/>
            <w:shd w:val="clear" w:color="auto" w:fill="FCEAB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shd w:val="clear" w:color="auto" w:fill="FCEABC"/>
          </w:tcPr>
          <w:p>
            <w:pPr>
              <w:jc w:val="right"/>
              <w:spacing w:after="0"/>
              <w:rPr>
                <w:sz w:val="20"/>
                <w:szCs w:val="20"/>
                <w:color w:val="auto"/>
              </w:rPr>
            </w:pPr>
            <w:r>
              <w:rPr>
                <w:rFonts w:ascii="Times New Roman" w:cs="Times New Roman" w:eastAsia="Times New Roman" w:hAnsi="Times New Roman"/>
                <w:sz w:val="18"/>
                <w:szCs w:val="18"/>
                <w:b w:val="1"/>
                <w:bCs w:val="1"/>
                <w:color w:val="auto"/>
              </w:rPr>
              <w:t>283,149</w:t>
            </w:r>
          </w:p>
        </w:tc>
        <w:tc>
          <w:tcPr>
            <w:tcW w:w="80" w:type="dxa"/>
            <w:vAlign w:val="bottom"/>
            <w:shd w:val="clear" w:color="auto" w:fill="FCEABC"/>
          </w:tcPr>
          <w:p>
            <w:pPr>
              <w:spacing w:after="0"/>
              <w:rPr>
                <w:sz w:val="16"/>
                <w:szCs w:val="16"/>
                <w:color w:val="auto"/>
              </w:rPr>
            </w:pPr>
          </w:p>
        </w:tc>
        <w:tc>
          <w:tcPr>
            <w:tcW w:w="320" w:type="dxa"/>
            <w:vAlign w:val="bottom"/>
            <w:gridSpan w:val="2"/>
            <w:vMerge w:val="restart"/>
            <w:shd w:val="clear" w:color="auto" w:fill="FCEAB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vMerge w:val="restart"/>
            <w:shd w:val="clear" w:color="auto" w:fill="FCEABC"/>
          </w:tcPr>
          <w:p>
            <w:pPr>
              <w:jc w:val="right"/>
              <w:spacing w:after="0"/>
              <w:rPr>
                <w:sz w:val="20"/>
                <w:szCs w:val="20"/>
                <w:color w:val="auto"/>
              </w:rPr>
            </w:pPr>
            <w:r>
              <w:rPr>
                <w:rFonts w:ascii="Times New Roman" w:cs="Times New Roman" w:eastAsia="Times New Roman" w:hAnsi="Times New Roman"/>
                <w:sz w:val="18"/>
                <w:szCs w:val="18"/>
                <w:b w:val="1"/>
                <w:bCs w:val="1"/>
                <w:color w:val="auto"/>
              </w:rPr>
              <w:t>337,635</w:t>
            </w:r>
          </w:p>
        </w:tc>
        <w:tc>
          <w:tcPr>
            <w:tcW w:w="200" w:type="dxa"/>
            <w:vAlign w:val="bottom"/>
            <w:shd w:val="clear" w:color="auto" w:fill="FCEABC"/>
          </w:tcPr>
          <w:p>
            <w:pPr>
              <w:spacing w:after="0"/>
              <w:rPr>
                <w:sz w:val="16"/>
                <w:szCs w:val="16"/>
                <w:color w:val="auto"/>
              </w:rPr>
            </w:pPr>
          </w:p>
        </w:tc>
        <w:tc>
          <w:tcPr>
            <w:tcW w:w="340" w:type="dxa"/>
            <w:vAlign w:val="bottom"/>
            <w:gridSpan w:val="2"/>
            <w:vMerge w:val="restart"/>
            <w:shd w:val="clear" w:color="auto" w:fill="FCEAB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shd w:val="clear" w:color="auto" w:fill="FCEABC"/>
          </w:tcPr>
          <w:p>
            <w:pPr>
              <w:jc w:val="right"/>
              <w:spacing w:after="0"/>
              <w:rPr>
                <w:sz w:val="20"/>
                <w:szCs w:val="20"/>
                <w:color w:val="auto"/>
              </w:rPr>
            </w:pPr>
            <w:r>
              <w:rPr>
                <w:rFonts w:ascii="Times New Roman" w:cs="Times New Roman" w:eastAsia="Times New Roman" w:hAnsi="Times New Roman"/>
                <w:sz w:val="18"/>
                <w:szCs w:val="18"/>
                <w:b w:val="1"/>
                <w:bCs w:val="1"/>
                <w:color w:val="auto"/>
              </w:rPr>
              <w:t>285,422</w:t>
            </w:r>
          </w:p>
        </w:tc>
        <w:tc>
          <w:tcPr>
            <w:tcW w:w="120" w:type="dxa"/>
            <w:vAlign w:val="bottom"/>
            <w:shd w:val="clear" w:color="auto" w:fill="FCEAB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00" w:type="dxa"/>
            <w:vAlign w:val="bottom"/>
            <w:shd w:val="clear" w:color="auto" w:fill="FCEABC"/>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(EBITDA) (non-GAAP measure)</w:t>
            </w:r>
          </w:p>
        </w:tc>
        <w:tc>
          <w:tcPr>
            <w:tcW w:w="1780" w:type="dxa"/>
            <w:vAlign w:val="bottom"/>
            <w:gridSpan w:val="2"/>
            <w:vMerge w:val="continue"/>
            <w:shd w:val="clear" w:color="auto" w:fill="FCEABC"/>
          </w:tcPr>
          <w:p>
            <w:pPr>
              <w:spacing w:after="0"/>
              <w:rPr>
                <w:sz w:val="20"/>
                <w:szCs w:val="20"/>
                <w:color w:val="auto"/>
              </w:rPr>
            </w:pPr>
          </w:p>
        </w:tc>
        <w:tc>
          <w:tcPr>
            <w:tcW w:w="1000" w:type="dxa"/>
            <w:vAlign w:val="bottom"/>
            <w:vMerge w:val="continue"/>
            <w:shd w:val="clear" w:color="auto" w:fill="FCEABC"/>
          </w:tcPr>
          <w:p>
            <w:pPr>
              <w:spacing w:after="0"/>
              <w:rPr>
                <w:sz w:val="20"/>
                <w:szCs w:val="20"/>
                <w:color w:val="auto"/>
              </w:rPr>
            </w:pPr>
          </w:p>
        </w:tc>
        <w:tc>
          <w:tcPr>
            <w:tcW w:w="80" w:type="dxa"/>
            <w:vAlign w:val="bottom"/>
            <w:shd w:val="clear" w:color="auto" w:fill="FCEABC"/>
          </w:tcPr>
          <w:p>
            <w:pPr>
              <w:spacing w:after="0"/>
              <w:rPr>
                <w:sz w:val="20"/>
                <w:szCs w:val="20"/>
                <w:color w:val="auto"/>
              </w:rPr>
            </w:pPr>
          </w:p>
        </w:tc>
        <w:tc>
          <w:tcPr>
            <w:tcW w:w="320" w:type="dxa"/>
            <w:vAlign w:val="bottom"/>
            <w:gridSpan w:val="2"/>
            <w:vMerge w:val="continue"/>
            <w:shd w:val="clear" w:color="auto" w:fill="FCEABC"/>
          </w:tcPr>
          <w:p>
            <w:pPr>
              <w:spacing w:after="0"/>
              <w:rPr>
                <w:sz w:val="20"/>
                <w:szCs w:val="20"/>
                <w:color w:val="auto"/>
              </w:rPr>
            </w:pPr>
          </w:p>
        </w:tc>
        <w:tc>
          <w:tcPr>
            <w:tcW w:w="1180" w:type="dxa"/>
            <w:vAlign w:val="bottom"/>
            <w:vMerge w:val="continue"/>
            <w:shd w:val="clear" w:color="auto" w:fill="FCEABC"/>
          </w:tcPr>
          <w:p>
            <w:pPr>
              <w:spacing w:after="0"/>
              <w:rPr>
                <w:sz w:val="20"/>
                <w:szCs w:val="20"/>
                <w:color w:val="auto"/>
              </w:rPr>
            </w:pPr>
          </w:p>
        </w:tc>
        <w:tc>
          <w:tcPr>
            <w:tcW w:w="200" w:type="dxa"/>
            <w:vAlign w:val="bottom"/>
            <w:shd w:val="clear" w:color="auto" w:fill="FCEABC"/>
          </w:tcPr>
          <w:p>
            <w:pPr>
              <w:spacing w:after="0"/>
              <w:rPr>
                <w:sz w:val="20"/>
                <w:szCs w:val="20"/>
                <w:color w:val="auto"/>
              </w:rPr>
            </w:pPr>
          </w:p>
        </w:tc>
        <w:tc>
          <w:tcPr>
            <w:tcW w:w="340" w:type="dxa"/>
            <w:vAlign w:val="bottom"/>
            <w:gridSpan w:val="2"/>
            <w:vMerge w:val="continue"/>
            <w:shd w:val="clear" w:color="auto" w:fill="FCEABC"/>
          </w:tcPr>
          <w:p>
            <w:pPr>
              <w:spacing w:after="0"/>
              <w:rPr>
                <w:sz w:val="20"/>
                <w:szCs w:val="20"/>
                <w:color w:val="auto"/>
              </w:rPr>
            </w:pPr>
          </w:p>
        </w:tc>
        <w:tc>
          <w:tcPr>
            <w:tcW w:w="1020" w:type="dxa"/>
            <w:vAlign w:val="bottom"/>
            <w:vMerge w:val="continue"/>
            <w:shd w:val="clear" w:color="auto" w:fill="FCEABC"/>
          </w:tcPr>
          <w:p>
            <w:pPr>
              <w:spacing w:after="0"/>
              <w:rPr>
                <w:sz w:val="20"/>
                <w:szCs w:val="20"/>
                <w:color w:val="auto"/>
              </w:rPr>
            </w:pPr>
          </w:p>
        </w:tc>
        <w:tc>
          <w:tcPr>
            <w:tcW w:w="120" w:type="dxa"/>
            <w:vAlign w:val="bottom"/>
            <w:shd w:val="clear" w:color="auto" w:fill="FCEAB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200" w:type="dxa"/>
            <w:vAlign w:val="bottom"/>
            <w:tcBorders>
              <w:top w:val="single" w:sz="8" w:color="FCEABC"/>
            </w:tcBorders>
          </w:tcPr>
          <w:p>
            <w:pPr>
              <w:spacing w:after="0" w:line="196" w:lineRule="exact"/>
              <w:rPr>
                <w:sz w:val="20"/>
                <w:szCs w:val="20"/>
                <w:color w:val="auto"/>
              </w:rPr>
            </w:pPr>
            <w:r>
              <w:rPr>
                <w:rFonts w:ascii="Times New Roman" w:cs="Times New Roman" w:eastAsia="Times New Roman" w:hAnsi="Times New Roman"/>
                <w:sz w:val="18"/>
                <w:szCs w:val="18"/>
                <w:color w:val="auto"/>
              </w:rPr>
              <w:t>Goodwill Impairment Charges</w:t>
            </w:r>
          </w:p>
        </w:tc>
        <w:tc>
          <w:tcPr>
            <w:tcW w:w="1480" w:type="dxa"/>
            <w:vAlign w:val="bottom"/>
            <w:tcBorders>
              <w:top w:val="single" w:sz="8" w:color="FCEAB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FCEABC"/>
            </w:tcBorders>
          </w:tcPr>
          <w:p>
            <w:pPr>
              <w:spacing w:after="0"/>
              <w:rPr>
                <w:sz w:val="17"/>
                <w:szCs w:val="17"/>
                <w:color w:val="auto"/>
              </w:rPr>
            </w:pPr>
          </w:p>
        </w:tc>
        <w:tc>
          <w:tcPr>
            <w:tcW w:w="160" w:type="dxa"/>
            <w:vAlign w:val="bottom"/>
            <w:tcBorders>
              <w:top w:val="single" w:sz="8" w:color="FCEAB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FCEABC"/>
            </w:tcBorders>
          </w:tcPr>
          <w:p>
            <w:pPr>
              <w:spacing w:after="0"/>
              <w:rPr>
                <w:sz w:val="17"/>
                <w:szCs w:val="17"/>
                <w:color w:val="auto"/>
              </w:rPr>
            </w:pPr>
          </w:p>
        </w:tc>
        <w:tc>
          <w:tcPr>
            <w:tcW w:w="40" w:type="dxa"/>
            <w:vAlign w:val="bottom"/>
            <w:tcBorders>
              <w:top w:val="single" w:sz="8" w:color="FCEAB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FCEAB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color w:val="auto"/>
              </w:rPr>
              <w:t>Write-off of Trade Names</w:t>
            </w:r>
          </w:p>
        </w:tc>
        <w:tc>
          <w:tcPr>
            <w:tcW w:w="1480" w:type="dxa"/>
            <w:vAlign w:val="bottom"/>
            <w:shd w:val="clear" w:color="auto" w:fill="FCEABC"/>
          </w:tcPr>
          <w:p>
            <w:pPr>
              <w:spacing w:after="0"/>
              <w:rPr>
                <w:sz w:val="18"/>
                <w:szCs w:val="18"/>
                <w:color w:val="auto"/>
              </w:rPr>
            </w:pPr>
          </w:p>
        </w:tc>
        <w:tc>
          <w:tcPr>
            <w:tcW w:w="300" w:type="dxa"/>
            <w:vAlign w:val="bottom"/>
            <w:shd w:val="clear" w:color="auto" w:fill="FCEABC"/>
          </w:tcPr>
          <w:p>
            <w:pPr>
              <w:spacing w:after="0"/>
              <w:rPr>
                <w:sz w:val="18"/>
                <w:szCs w:val="18"/>
                <w:color w:val="auto"/>
              </w:rPr>
            </w:pPr>
          </w:p>
        </w:tc>
        <w:tc>
          <w:tcPr>
            <w:tcW w:w="1080" w:type="dxa"/>
            <w:vAlign w:val="bottom"/>
            <w:gridSpan w:val="2"/>
            <w:shd w:val="clear" w:color="auto" w:fill="FCEAB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FCEABC"/>
          </w:tcPr>
          <w:p>
            <w:pPr>
              <w:spacing w:after="0"/>
              <w:rPr>
                <w:sz w:val="18"/>
                <w:szCs w:val="18"/>
                <w:color w:val="auto"/>
              </w:rPr>
            </w:pPr>
          </w:p>
        </w:tc>
        <w:tc>
          <w:tcPr>
            <w:tcW w:w="160" w:type="dxa"/>
            <w:vAlign w:val="bottom"/>
            <w:shd w:val="clear" w:color="auto" w:fill="FCEABC"/>
          </w:tcPr>
          <w:p>
            <w:pPr>
              <w:spacing w:after="0"/>
              <w:rPr>
                <w:sz w:val="18"/>
                <w:szCs w:val="18"/>
                <w:color w:val="auto"/>
              </w:rPr>
            </w:pPr>
          </w:p>
        </w:tc>
        <w:tc>
          <w:tcPr>
            <w:tcW w:w="1380" w:type="dxa"/>
            <w:vAlign w:val="bottom"/>
            <w:gridSpan w:val="2"/>
            <w:shd w:val="clear" w:color="auto" w:fill="FCEAB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FCEABC"/>
          </w:tcPr>
          <w:p>
            <w:pPr>
              <w:spacing w:after="0"/>
              <w:rPr>
                <w:sz w:val="18"/>
                <w:szCs w:val="18"/>
                <w:color w:val="auto"/>
              </w:rPr>
            </w:pPr>
          </w:p>
        </w:tc>
        <w:tc>
          <w:tcPr>
            <w:tcW w:w="300" w:type="dxa"/>
            <w:vAlign w:val="bottom"/>
            <w:shd w:val="clear" w:color="auto" w:fill="FCEABC"/>
          </w:tcPr>
          <w:p>
            <w:pPr>
              <w:spacing w:after="0"/>
              <w:rPr>
                <w:sz w:val="18"/>
                <w:szCs w:val="18"/>
                <w:color w:val="auto"/>
              </w:rPr>
            </w:pPr>
          </w:p>
        </w:tc>
        <w:tc>
          <w:tcPr>
            <w:tcW w:w="1140" w:type="dxa"/>
            <w:vAlign w:val="bottom"/>
            <w:gridSpan w:val="2"/>
            <w:shd w:val="clear" w:color="auto" w:fill="FCEAB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Non-Cash</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FCEABC"/>
            </w:tcBorders>
            <w:shd w:val="clear" w:color="auto" w:fill="FCEABC"/>
          </w:tcPr>
          <w:p>
            <w:pPr>
              <w:spacing w:after="0"/>
              <w:rPr>
                <w:sz w:val="20"/>
                <w:szCs w:val="20"/>
                <w:color w:val="auto"/>
              </w:rPr>
            </w:pPr>
            <w:r>
              <w:rPr>
                <w:rFonts w:ascii="Times New Roman" w:cs="Times New Roman" w:eastAsia="Times New Roman" w:hAnsi="Times New Roman"/>
                <w:sz w:val="18"/>
                <w:szCs w:val="18"/>
                <w:color w:val="auto"/>
              </w:rPr>
              <w:t>Acquisition, Transaction and Other Non-operating Costs (Income)</w:t>
            </w:r>
          </w:p>
        </w:tc>
        <w:tc>
          <w:tcPr>
            <w:tcW w:w="1480" w:type="dxa"/>
            <w:vAlign w:val="bottom"/>
            <w:tcBorders>
              <w:bottom w:val="single" w:sz="8" w:color="FCEABC"/>
            </w:tcBorders>
            <w:shd w:val="clear" w:color="auto" w:fill="FCEABC"/>
          </w:tcPr>
          <w:p>
            <w:pPr>
              <w:spacing w:after="0"/>
              <w:rPr>
                <w:sz w:val="18"/>
                <w:szCs w:val="18"/>
                <w:color w:val="auto"/>
              </w:rPr>
            </w:pPr>
          </w:p>
        </w:tc>
        <w:tc>
          <w:tcPr>
            <w:tcW w:w="300" w:type="dxa"/>
            <w:vAlign w:val="bottom"/>
            <w:tcBorders>
              <w:bottom w:val="single" w:sz="8" w:color="auto"/>
            </w:tcBorders>
            <w:shd w:val="clear" w:color="auto" w:fill="FCEABC"/>
          </w:tcPr>
          <w:p>
            <w:pPr>
              <w:spacing w:after="0"/>
              <w:rPr>
                <w:sz w:val="18"/>
                <w:szCs w:val="18"/>
                <w:color w:val="auto"/>
              </w:rPr>
            </w:pPr>
          </w:p>
        </w:tc>
        <w:tc>
          <w:tcPr>
            <w:tcW w:w="1000" w:type="dxa"/>
            <w:vAlign w:val="bottom"/>
            <w:tcBorders>
              <w:bottom w:val="single" w:sz="8" w:color="auto"/>
            </w:tcBorders>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13,507</w:t>
            </w:r>
          </w:p>
        </w:tc>
        <w:tc>
          <w:tcPr>
            <w:tcW w:w="80" w:type="dxa"/>
            <w:vAlign w:val="bottom"/>
            <w:tcBorders>
              <w:bottom w:val="single" w:sz="8" w:color="FCEABC"/>
            </w:tcBorders>
            <w:shd w:val="clear" w:color="auto" w:fill="FCEABC"/>
          </w:tcPr>
          <w:p>
            <w:pPr>
              <w:spacing w:after="0"/>
              <w:rPr>
                <w:sz w:val="18"/>
                <w:szCs w:val="18"/>
                <w:color w:val="auto"/>
              </w:rPr>
            </w:pPr>
          </w:p>
        </w:tc>
        <w:tc>
          <w:tcPr>
            <w:tcW w:w="160" w:type="dxa"/>
            <w:vAlign w:val="bottom"/>
            <w:tcBorders>
              <w:bottom w:val="single" w:sz="8" w:color="FCEABC"/>
            </w:tcBorders>
            <w:shd w:val="clear" w:color="auto" w:fill="FCEABC"/>
          </w:tcPr>
          <w:p>
            <w:pPr>
              <w:spacing w:after="0"/>
              <w:rPr>
                <w:sz w:val="18"/>
                <w:szCs w:val="18"/>
                <w:color w:val="auto"/>
              </w:rPr>
            </w:pPr>
          </w:p>
        </w:tc>
        <w:tc>
          <w:tcPr>
            <w:tcW w:w="160" w:type="dxa"/>
            <w:vAlign w:val="bottom"/>
            <w:tcBorders>
              <w:bottom w:val="single" w:sz="8" w:color="auto"/>
            </w:tcBorders>
            <w:shd w:val="clear" w:color="auto" w:fill="FCEABC"/>
          </w:tcPr>
          <w:p>
            <w:pPr>
              <w:spacing w:after="0"/>
              <w:rPr>
                <w:sz w:val="18"/>
                <w:szCs w:val="18"/>
                <w:color w:val="auto"/>
              </w:rPr>
            </w:pPr>
          </w:p>
        </w:tc>
        <w:tc>
          <w:tcPr>
            <w:tcW w:w="1180" w:type="dxa"/>
            <w:vAlign w:val="bottom"/>
            <w:tcBorders>
              <w:bottom w:val="single" w:sz="8" w:color="auto"/>
            </w:tcBorders>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0" w:type="dxa"/>
            <w:vAlign w:val="bottom"/>
            <w:tcBorders>
              <w:bottom w:val="single" w:sz="8" w:color="FCEABC"/>
            </w:tcBorders>
            <w:shd w:val="clear" w:color="auto" w:fill="FCEABC"/>
          </w:tcPr>
          <w:p>
            <w:pPr>
              <w:spacing w:after="0"/>
              <w:rPr>
                <w:sz w:val="18"/>
                <w:szCs w:val="18"/>
                <w:color w:val="auto"/>
              </w:rPr>
            </w:pPr>
          </w:p>
        </w:tc>
        <w:tc>
          <w:tcPr>
            <w:tcW w:w="40" w:type="dxa"/>
            <w:vAlign w:val="bottom"/>
            <w:tcBorders>
              <w:bottom w:val="single" w:sz="8" w:color="FCEABC"/>
            </w:tcBorders>
            <w:shd w:val="clear" w:color="auto" w:fill="FCEABC"/>
          </w:tcPr>
          <w:p>
            <w:pPr>
              <w:spacing w:after="0"/>
              <w:rPr>
                <w:sz w:val="18"/>
                <w:szCs w:val="18"/>
                <w:color w:val="auto"/>
              </w:rPr>
            </w:pPr>
          </w:p>
        </w:tc>
        <w:tc>
          <w:tcPr>
            <w:tcW w:w="300" w:type="dxa"/>
            <w:vAlign w:val="bottom"/>
            <w:tcBorders>
              <w:bottom w:val="single" w:sz="8" w:color="auto"/>
            </w:tcBorders>
            <w:shd w:val="clear" w:color="auto" w:fill="FCEABC"/>
          </w:tcPr>
          <w:p>
            <w:pPr>
              <w:spacing w:after="0"/>
              <w:rPr>
                <w:sz w:val="18"/>
                <w:szCs w:val="18"/>
                <w:color w:val="auto"/>
              </w:rPr>
            </w:pPr>
          </w:p>
        </w:tc>
        <w:tc>
          <w:tcPr>
            <w:tcW w:w="1020" w:type="dxa"/>
            <w:vAlign w:val="bottom"/>
            <w:tcBorders>
              <w:bottom w:val="single" w:sz="8" w:color="auto"/>
            </w:tcBorders>
            <w:shd w:val="clear" w:color="auto" w:fill="FCEABC"/>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120" w:type="dxa"/>
            <w:vAlign w:val="bottom"/>
            <w:tcBorders>
              <w:bottom w:val="single" w:sz="8" w:color="FCEABC"/>
            </w:tcBorders>
            <w:shd w:val="clear" w:color="auto" w:fill="FCEAB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 Measure)</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341,589</w:t>
            </w:r>
          </w:p>
        </w:tc>
        <w:tc>
          <w:tcPr>
            <w:tcW w:w="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371,318</w:t>
            </w:r>
          </w:p>
        </w:tc>
        <w:tc>
          <w:tcPr>
            <w:tcW w:w="20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325,839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shd w:val="clear" w:color="auto" w:fill="FCEABC"/>
          </w:tcPr>
          <w:p>
            <w:pPr>
              <w:spacing w:after="0"/>
              <w:rPr>
                <w:sz w:val="17"/>
                <w:szCs w:val="17"/>
                <w:color w:val="auto"/>
              </w:rPr>
            </w:pPr>
          </w:p>
        </w:tc>
        <w:tc>
          <w:tcPr>
            <w:tcW w:w="1480" w:type="dxa"/>
            <w:vAlign w:val="bottom"/>
            <w:shd w:val="clear" w:color="auto" w:fill="FCEABC"/>
          </w:tcPr>
          <w:p>
            <w:pPr>
              <w:spacing w:after="0"/>
              <w:rPr>
                <w:sz w:val="17"/>
                <w:szCs w:val="17"/>
                <w:color w:val="auto"/>
              </w:rPr>
            </w:pPr>
          </w:p>
        </w:tc>
        <w:tc>
          <w:tcPr>
            <w:tcW w:w="300" w:type="dxa"/>
            <w:vAlign w:val="bottom"/>
            <w:shd w:val="clear" w:color="auto" w:fill="FCEABC"/>
          </w:tcPr>
          <w:p>
            <w:pPr>
              <w:spacing w:after="0"/>
              <w:rPr>
                <w:sz w:val="17"/>
                <w:szCs w:val="17"/>
                <w:color w:val="auto"/>
              </w:rPr>
            </w:pPr>
          </w:p>
        </w:tc>
        <w:tc>
          <w:tcPr>
            <w:tcW w:w="1000" w:type="dxa"/>
            <w:vAlign w:val="bottom"/>
            <w:shd w:val="clear" w:color="auto" w:fill="FCEABC"/>
          </w:tcPr>
          <w:p>
            <w:pPr>
              <w:spacing w:after="0"/>
              <w:rPr>
                <w:sz w:val="17"/>
                <w:szCs w:val="17"/>
                <w:color w:val="auto"/>
              </w:rPr>
            </w:pPr>
          </w:p>
        </w:tc>
        <w:tc>
          <w:tcPr>
            <w:tcW w:w="80" w:type="dxa"/>
            <w:vAlign w:val="bottom"/>
            <w:shd w:val="clear" w:color="auto" w:fill="FCEABC"/>
          </w:tcPr>
          <w:p>
            <w:pPr>
              <w:spacing w:after="0"/>
              <w:rPr>
                <w:sz w:val="17"/>
                <w:szCs w:val="17"/>
                <w:color w:val="auto"/>
              </w:rPr>
            </w:pPr>
          </w:p>
        </w:tc>
        <w:tc>
          <w:tcPr>
            <w:tcW w:w="160" w:type="dxa"/>
            <w:vAlign w:val="bottom"/>
            <w:shd w:val="clear" w:color="auto" w:fill="FCEABC"/>
          </w:tcPr>
          <w:p>
            <w:pPr>
              <w:spacing w:after="0"/>
              <w:rPr>
                <w:sz w:val="17"/>
                <w:szCs w:val="17"/>
                <w:color w:val="auto"/>
              </w:rPr>
            </w:pPr>
          </w:p>
        </w:tc>
        <w:tc>
          <w:tcPr>
            <w:tcW w:w="160" w:type="dxa"/>
            <w:vAlign w:val="bottom"/>
            <w:shd w:val="clear" w:color="auto" w:fill="FCEABC"/>
          </w:tcPr>
          <w:p>
            <w:pPr>
              <w:spacing w:after="0"/>
              <w:rPr>
                <w:sz w:val="17"/>
                <w:szCs w:val="17"/>
                <w:color w:val="auto"/>
              </w:rPr>
            </w:pPr>
          </w:p>
        </w:tc>
        <w:tc>
          <w:tcPr>
            <w:tcW w:w="1180" w:type="dxa"/>
            <w:vAlign w:val="bottom"/>
            <w:shd w:val="clear" w:color="auto" w:fill="FCEABC"/>
          </w:tcPr>
          <w:p>
            <w:pPr>
              <w:spacing w:after="0"/>
              <w:rPr>
                <w:sz w:val="17"/>
                <w:szCs w:val="17"/>
                <w:color w:val="auto"/>
              </w:rPr>
            </w:pPr>
          </w:p>
        </w:tc>
        <w:tc>
          <w:tcPr>
            <w:tcW w:w="200" w:type="dxa"/>
            <w:vAlign w:val="bottom"/>
            <w:shd w:val="clear" w:color="auto" w:fill="FCEABC"/>
          </w:tcPr>
          <w:p>
            <w:pPr>
              <w:spacing w:after="0"/>
              <w:rPr>
                <w:sz w:val="17"/>
                <w:szCs w:val="17"/>
                <w:color w:val="auto"/>
              </w:rPr>
            </w:pPr>
          </w:p>
        </w:tc>
        <w:tc>
          <w:tcPr>
            <w:tcW w:w="40" w:type="dxa"/>
            <w:vAlign w:val="bottom"/>
            <w:shd w:val="clear" w:color="auto" w:fill="FCEABC"/>
          </w:tcPr>
          <w:p>
            <w:pPr>
              <w:spacing w:after="0"/>
              <w:rPr>
                <w:sz w:val="17"/>
                <w:szCs w:val="17"/>
                <w:color w:val="auto"/>
              </w:rPr>
            </w:pPr>
          </w:p>
        </w:tc>
        <w:tc>
          <w:tcPr>
            <w:tcW w:w="300" w:type="dxa"/>
            <w:vAlign w:val="bottom"/>
            <w:shd w:val="clear" w:color="auto" w:fill="FCEABC"/>
          </w:tcPr>
          <w:p>
            <w:pPr>
              <w:spacing w:after="0"/>
              <w:rPr>
                <w:sz w:val="17"/>
                <w:szCs w:val="17"/>
                <w:color w:val="auto"/>
              </w:rPr>
            </w:pPr>
          </w:p>
        </w:tc>
        <w:tc>
          <w:tcPr>
            <w:tcW w:w="1020" w:type="dxa"/>
            <w:vAlign w:val="bottom"/>
            <w:shd w:val="clear" w:color="auto" w:fill="FCEABC"/>
          </w:tcPr>
          <w:p>
            <w:pPr>
              <w:spacing w:after="0"/>
              <w:rPr>
                <w:sz w:val="17"/>
                <w:szCs w:val="17"/>
                <w:color w:val="auto"/>
              </w:rPr>
            </w:pPr>
          </w:p>
        </w:tc>
        <w:tc>
          <w:tcPr>
            <w:tcW w:w="120" w:type="dxa"/>
            <w:vAlign w:val="bottom"/>
            <w:shd w:val="clear" w:color="auto" w:fill="FCEAB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License Fee recorded in Cost of Sales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200" w:type="dxa"/>
            <w:vAlign w:val="bottom"/>
            <w:shd w:val="clear" w:color="auto" w:fill="FCEABC"/>
          </w:tcPr>
          <w:p>
            <w:pPr>
              <w:spacing w:after="0"/>
              <w:rPr>
                <w:sz w:val="20"/>
                <w:szCs w:val="20"/>
                <w:color w:val="auto"/>
              </w:rPr>
            </w:pPr>
            <w:r>
              <w:rPr>
                <w:rFonts w:ascii="Times New Roman" w:cs="Times New Roman" w:eastAsia="Times New Roman" w:hAnsi="Times New Roman"/>
                <w:sz w:val="18"/>
                <w:szCs w:val="18"/>
                <w:b w:val="1"/>
                <w:bCs w:val="1"/>
                <w:color w:val="auto"/>
              </w:rPr>
              <w:t>Normalized EBITDA (Non-GAAP Measure)</w:t>
            </w:r>
          </w:p>
        </w:tc>
        <w:tc>
          <w:tcPr>
            <w:tcW w:w="1780" w:type="dxa"/>
            <w:vAlign w:val="bottom"/>
            <w:gridSpan w:val="2"/>
            <w:shd w:val="clear" w:color="auto" w:fill="FCEAB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b w:val="1"/>
                <w:bCs w:val="1"/>
                <w:color w:val="auto"/>
              </w:rPr>
              <w:t>348,390</w:t>
            </w:r>
          </w:p>
        </w:tc>
        <w:tc>
          <w:tcPr>
            <w:tcW w:w="80" w:type="dxa"/>
            <w:vAlign w:val="bottom"/>
            <w:shd w:val="clear" w:color="auto" w:fill="FCEABC"/>
          </w:tcPr>
          <w:p>
            <w:pPr>
              <w:spacing w:after="0"/>
              <w:rPr>
                <w:sz w:val="22"/>
                <w:szCs w:val="22"/>
                <w:color w:val="auto"/>
              </w:rPr>
            </w:pPr>
          </w:p>
        </w:tc>
        <w:tc>
          <w:tcPr>
            <w:tcW w:w="320" w:type="dxa"/>
            <w:vAlign w:val="bottom"/>
            <w:gridSpan w:val="2"/>
            <w:shd w:val="clear" w:color="auto" w:fill="FCEAB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b w:val="1"/>
                <w:bCs w:val="1"/>
                <w:color w:val="auto"/>
              </w:rPr>
              <w:t>371,318</w:t>
            </w:r>
          </w:p>
        </w:tc>
        <w:tc>
          <w:tcPr>
            <w:tcW w:w="200" w:type="dxa"/>
            <w:vAlign w:val="bottom"/>
            <w:shd w:val="clear" w:color="auto" w:fill="FCEABC"/>
          </w:tcPr>
          <w:p>
            <w:pPr>
              <w:spacing w:after="0"/>
              <w:rPr>
                <w:sz w:val="22"/>
                <w:szCs w:val="22"/>
                <w:color w:val="auto"/>
              </w:rPr>
            </w:pPr>
          </w:p>
        </w:tc>
        <w:tc>
          <w:tcPr>
            <w:tcW w:w="340" w:type="dxa"/>
            <w:vAlign w:val="bottom"/>
            <w:gridSpan w:val="2"/>
            <w:shd w:val="clear" w:color="auto" w:fill="FCEAB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FCEABC"/>
          </w:tcPr>
          <w:p>
            <w:pPr>
              <w:jc w:val="right"/>
              <w:spacing w:after="0"/>
              <w:rPr>
                <w:sz w:val="20"/>
                <w:szCs w:val="20"/>
                <w:color w:val="auto"/>
              </w:rPr>
            </w:pPr>
            <w:r>
              <w:rPr>
                <w:rFonts w:ascii="Times New Roman" w:cs="Times New Roman" w:eastAsia="Times New Roman" w:hAnsi="Times New Roman"/>
                <w:sz w:val="18"/>
                <w:szCs w:val="18"/>
                <w:b w:val="1"/>
                <w:bCs w:val="1"/>
                <w:color w:val="auto"/>
              </w:rPr>
              <w:t>325,839</w:t>
            </w:r>
          </w:p>
        </w:tc>
        <w:tc>
          <w:tcPr>
            <w:tcW w:w="120" w:type="dxa"/>
            <w:vAlign w:val="bottom"/>
            <w:shd w:val="clear" w:color="auto" w:fill="FCEABC"/>
          </w:tcPr>
          <w:p>
            <w:pPr>
              <w:spacing w:after="0"/>
              <w:rPr>
                <w:sz w:val="22"/>
                <w:szCs w:val="22"/>
                <w:color w:val="auto"/>
              </w:rPr>
            </w:pPr>
          </w:p>
        </w:tc>
        <w:tc>
          <w:tcPr>
            <w:tcW w:w="0" w:type="dxa"/>
            <w:vAlign w:val="bottom"/>
          </w:tcPr>
          <w:p>
            <w:pPr>
              <w:spacing w:after="0"/>
              <w:rPr>
                <w:sz w:val="1"/>
                <w:szCs w:val="1"/>
                <w:color w:val="auto"/>
              </w:rPr>
            </w:pPr>
          </w:p>
        </w:tc>
      </w:tr>
      <w:tr>
        <w:trPr>
          <w:trHeight w:val="872"/>
        </w:trPr>
        <w:tc>
          <w:tcPr>
            <w:tcW w:w="5200" w:type="dxa"/>
            <w:vAlign w:val="bottom"/>
            <w:tcBorders>
              <w:top w:val="single" w:sz="8" w:color="FCEABC"/>
            </w:tcBorders>
          </w:tcPr>
          <w:p>
            <w:pPr>
              <w:spacing w:after="0"/>
              <w:rPr>
                <w:sz w:val="24"/>
                <w:szCs w:val="24"/>
                <w:color w:val="auto"/>
              </w:rPr>
            </w:pPr>
          </w:p>
        </w:tc>
        <w:tc>
          <w:tcPr>
            <w:tcW w:w="1480" w:type="dxa"/>
            <w:vAlign w:val="bottom"/>
            <w:tcBorders>
              <w:top w:val="single" w:sz="8" w:color="FCEABC"/>
            </w:tcBorders>
          </w:tcPr>
          <w:p>
            <w:pPr>
              <w:ind w:left="280"/>
              <w:spacing w:after="0"/>
              <w:rPr>
                <w:sz w:val="20"/>
                <w:szCs w:val="20"/>
                <w:color w:val="auto"/>
              </w:rPr>
            </w:pPr>
            <w:r>
              <w:rPr>
                <w:rFonts w:ascii="Times New Roman" w:cs="Times New Roman" w:eastAsia="Times New Roman" w:hAnsi="Times New Roman"/>
                <w:sz w:val="18"/>
                <w:szCs w:val="18"/>
                <w:color w:val="auto"/>
              </w:rPr>
              <w:t>A-1</w:t>
            </w: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FCEABC"/>
            </w:tcBorders>
          </w:tcPr>
          <w:p>
            <w:pPr>
              <w:spacing w:after="0"/>
              <w:rPr>
                <w:sz w:val="24"/>
                <w:szCs w:val="24"/>
                <w:color w:val="auto"/>
              </w:rPr>
            </w:pPr>
          </w:p>
        </w:tc>
        <w:tc>
          <w:tcPr>
            <w:tcW w:w="160" w:type="dxa"/>
            <w:vAlign w:val="bottom"/>
            <w:tcBorders>
              <w:top w:val="single" w:sz="8" w:color="FCEAB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FCEABC"/>
            </w:tcBorders>
          </w:tcPr>
          <w:p>
            <w:pPr>
              <w:spacing w:after="0"/>
              <w:rPr>
                <w:sz w:val="24"/>
                <w:szCs w:val="24"/>
                <w:color w:val="auto"/>
              </w:rPr>
            </w:pPr>
          </w:p>
        </w:tc>
        <w:tc>
          <w:tcPr>
            <w:tcW w:w="40" w:type="dxa"/>
            <w:vAlign w:val="bottom"/>
            <w:tcBorders>
              <w:top w:val="single" w:sz="8" w:color="FCEAB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FCEAB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-2245360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-2228215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-2245360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-2228215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-2245360</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-2228215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-1670685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-1670685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-1670685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-1087755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-1070610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-1087755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-1070610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-1087755</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8991600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825500</wp:posOffset>
            </wp:positionH>
            <wp:positionV relativeFrom="page">
              <wp:posOffset>697865</wp:posOffset>
            </wp:positionV>
            <wp:extent cx="5906135" cy="76892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06135" cy="7689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8803005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739775</wp:posOffset>
            </wp:positionH>
            <wp:positionV relativeFrom="page">
              <wp:posOffset>637540</wp:posOffset>
            </wp:positionV>
            <wp:extent cx="6077585" cy="75609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77585" cy="7560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lowerLetter"/>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lowerRoman"/>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2"/>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lowerLetter"/>
      <w:start w:val="1"/>
    </w:lvl>
  </w:abstractNum>
  <w:abstractNum w:abstractNumId="24">
    <w:nsid w:val="5C482A97"/>
    <w:multiLevelType w:val="hybridMultilevel"/>
    <w:lvl w:ilvl="0">
      <w:lvlJc w:val="left"/>
      <w:lvlText w:val="(%1)"/>
      <w:numFmt w:val="lowerLetter"/>
      <w:start w:val="2"/>
    </w:lvl>
  </w:abstractNum>
  <w:abstractNum w:abstractNumId="25">
    <w:nsid w:val="2463B9EA"/>
    <w:multiLevelType w:val="hybridMultilevel"/>
    <w:lvl w:ilvl="0">
      <w:lvlJc w:val="left"/>
      <w:lvlText w:val="(%1)"/>
      <w:numFmt w:val="lowerLetter"/>
      <w:start w:val="3"/>
    </w:lvl>
  </w:abstractNum>
  <w:abstractNum w:abstractNumId="26">
    <w:nsid w:val="5E884ADC"/>
    <w:multiLevelType w:val="hybridMultilevel"/>
    <w:lvl w:ilvl="0">
      <w:lvlJc w:val="left"/>
      <w:lvlText w:val="(%1)"/>
      <w:numFmt w:val="lowerLetter"/>
      <w:start w:val="4"/>
    </w:lvl>
  </w:abstractNum>
  <w:abstractNum w:abstractNumId="27">
    <w:nsid w:val="51EAD36B"/>
    <w:multiLevelType w:val="hybridMultilevel"/>
    <w:lvl w:ilvl="0">
      <w:lvlJc w:val="left"/>
      <w:lvlText w:val="(%1)"/>
      <w:numFmt w:val="lowerLetter"/>
      <w:start w:val="5"/>
    </w:lvl>
  </w:abstractNum>
  <w:abstractNum w:abstractNumId="28">
    <w:nsid w:val="2D517796"/>
    <w:multiLevelType w:val="hybridMultilevel"/>
    <w:lvl w:ilvl="0">
      <w:lvlJc w:val="left"/>
      <w:lvlText w:val="(%1)"/>
      <w:numFmt w:val="lowerRoman"/>
      <w:start w:val="7"/>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lowerRoman"/>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endash "/>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3"/>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3"/>
    </w:lvl>
  </w:abstractNum>
  <w:abstractNum w:abstractNumId="46">
    <w:nsid w:val="684A481A"/>
    <w:multiLevelType w:val="hybridMultilevel"/>
    <w:lvl w:ilvl="0">
      <w:lvlJc w:val="left"/>
      <w:lvlText w:val="(%1)"/>
      <w:numFmt w:val="decimal"/>
      <w:start w:val="5"/>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2026-04-15T05:32:44Z</dcterms:created>
  <dcterms:modified xsi:type="dcterms:W3CDTF">2026-04-15T05:32:44Z</dcterms:modified>
</cp:coreProperties>
</file>